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Code of Business Conduct and Ethics</w:t>
      </w:r>
    </w:p>
    <w:p>
      <w:pPr>
        <w:jc w:val="center"/>
      </w:pPr>
      <w:r>
        <w:rPr>
          <w:rFonts w:ascii="Arial" w:cs="Arial" w:eastAsia="Arial" w:hAnsi="Arial"/>
          <w:color w:val="888888"/>
          <w:sz w:val="18"/>
          <w:szCs w:val="18"/>
        </w:rPr>
        <w:t xml:space="preserve">Policy Number: LEGAL-1000  |  Effective: March 1, 2024  |  Owner: Legal / Compliance</w:t>
      </w:r>
    </w:p>
    <w:p/>
    <w:p>
      <w:pPr>
        <w:pStyle w:val="Heading1"/>
      </w:pPr>
      <w:r>
        <w:rPr>
          <w:rFonts w:ascii="Arial" w:cs="Arial" w:eastAsia="Arial" w:hAnsi="Arial"/>
        </w:rPr>
        <w:t xml:space="preserve">.001 Introduction</w:t>
      </w:r>
    </w:p>
    <w:p>
      <w:r>
        <w:rPr>
          <w:rFonts w:ascii="Arial" w:cs="Arial" w:eastAsia="Arial" w:hAnsi="Arial"/>
          <w:sz w:val="22"/>
          <w:szCs w:val="22"/>
        </w:rPr>
        <w:t xml:space="preserve">This Code of Business Conduct and Ethics ('Code') sets out the principles that guide how we work, make decisions, and interact with colleagues, customers, partners, and the public. All employees, officers, directors, and contractors are required to read, understand, and comply with this Code.</w:t>
      </w:r>
    </w:p>
    <w:p/>
    <w:p>
      <w:pPr>
        <w:pStyle w:val="Heading1"/>
      </w:pPr>
      <w:r>
        <w:rPr>
          <w:rFonts w:ascii="Arial" w:cs="Arial" w:eastAsia="Arial" w:hAnsi="Arial"/>
        </w:rPr>
        <w:t xml:space="preserve">.002 Honest and Ethical Conduct</w:t>
      </w:r>
    </w:p>
    <w:p>
      <w:r>
        <w:rPr>
          <w:rFonts w:ascii="Arial" w:cs="Arial" w:eastAsia="Arial" w:hAnsi="Arial"/>
          <w:sz w:val="22"/>
          <w:szCs w:val="22"/>
        </w:rPr>
        <w:t xml:space="preserve">We are committed to conducting business with integrity. Employees must:</w:t>
      </w:r>
    </w:p>
    <w:p>
      <w:pPr>
        <w:pStyle w:val="ListParagraph"/>
        <w:numPr>
          <w:ilvl w:val="0"/>
          <w:numId w:val="2"/>
        </w:numPr>
      </w:pPr>
      <w:r>
        <w:rPr>
          <w:rFonts w:ascii="Arial" w:cs="Arial" w:eastAsia="Arial" w:hAnsi="Arial"/>
          <w:sz w:val="22"/>
          <w:szCs w:val="22"/>
        </w:rPr>
        <w:t xml:space="preserve">Act honestly in all professional dealings and communications</w:t>
      </w:r>
    </w:p>
    <w:p>
      <w:pPr>
        <w:pStyle w:val="ListParagraph"/>
        <w:numPr>
          <w:ilvl w:val="0"/>
          <w:numId w:val="2"/>
        </w:numPr>
      </w:pPr>
      <w:r>
        <w:rPr>
          <w:rFonts w:ascii="Arial" w:cs="Arial" w:eastAsia="Arial" w:hAnsi="Arial"/>
          <w:sz w:val="22"/>
          <w:szCs w:val="22"/>
        </w:rPr>
        <w:t xml:space="preserve">Never misrepresent facts, data, or qualifications</w:t>
      </w:r>
    </w:p>
    <w:p>
      <w:pPr>
        <w:pStyle w:val="ListParagraph"/>
        <w:numPr>
          <w:ilvl w:val="0"/>
          <w:numId w:val="2"/>
        </w:numPr>
      </w:pPr>
      <w:r>
        <w:rPr>
          <w:rFonts w:ascii="Arial" w:cs="Arial" w:eastAsia="Arial" w:hAnsi="Arial"/>
          <w:sz w:val="22"/>
          <w:szCs w:val="22"/>
        </w:rPr>
        <w:t xml:space="preserve">Avoid creating false impressions through selective disclosure or misleading framing</w:t>
      </w:r>
    </w:p>
    <w:p>
      <w:pPr>
        <w:pStyle w:val="ListParagraph"/>
        <w:numPr>
          <w:ilvl w:val="0"/>
          <w:numId w:val="2"/>
        </w:numPr>
      </w:pPr>
      <w:r>
        <w:rPr>
          <w:rFonts w:ascii="Arial" w:cs="Arial" w:eastAsia="Arial" w:hAnsi="Arial"/>
          <w:sz w:val="22"/>
          <w:szCs w:val="22"/>
        </w:rPr>
        <w:t xml:space="preserve">Report concerns about dishonest conduct through the Ethics Hotline or to Legal/Compliance</w:t>
      </w:r>
    </w:p>
    <w:p/>
    <w:p>
      <w:pPr>
        <w:pStyle w:val="Heading1"/>
      </w:pPr>
      <w:r>
        <w:rPr>
          <w:rFonts w:ascii="Arial" w:cs="Arial" w:eastAsia="Arial" w:hAnsi="Arial"/>
        </w:rPr>
        <w:t xml:space="preserve">.003 Conflicts of Interest</w:t>
      </w:r>
    </w:p>
    <w:p>
      <w:r>
        <w:rPr>
          <w:rFonts w:ascii="Arial" w:cs="Arial" w:eastAsia="Arial" w:hAnsi="Arial"/>
          <w:sz w:val="22"/>
          <w:szCs w:val="22"/>
        </w:rPr>
        <w:t xml:space="preserve">A conflict of interest arises when personal interests could influence, or appear to influence, professional judgment. Employees must disclose potential conflicts promptly to their manager and the Legal department. Common examples include:</w:t>
      </w:r>
    </w:p>
    <w:p>
      <w:pPr>
        <w:pStyle w:val="ListParagraph"/>
        <w:numPr>
          <w:ilvl w:val="0"/>
          <w:numId w:val="2"/>
        </w:numPr>
      </w:pPr>
      <w:r>
        <w:rPr>
          <w:rFonts w:ascii="Arial" w:cs="Arial" w:eastAsia="Arial" w:hAnsi="Arial"/>
          <w:sz w:val="22"/>
          <w:szCs w:val="22"/>
        </w:rPr>
        <w:t xml:space="preserve">Holding a financial interest in a competitor, customer, or supplier</w:t>
      </w:r>
    </w:p>
    <w:p>
      <w:pPr>
        <w:pStyle w:val="ListParagraph"/>
        <w:numPr>
          <w:ilvl w:val="0"/>
          <w:numId w:val="2"/>
        </w:numPr>
      </w:pPr>
      <w:r>
        <w:rPr>
          <w:rFonts w:ascii="Arial" w:cs="Arial" w:eastAsia="Arial" w:hAnsi="Arial"/>
          <w:sz w:val="22"/>
          <w:szCs w:val="22"/>
        </w:rPr>
        <w:t xml:space="preserve">Directing company business to a vendor in which a family member holds an interest</w:t>
      </w:r>
    </w:p>
    <w:p>
      <w:pPr>
        <w:pStyle w:val="ListParagraph"/>
        <w:numPr>
          <w:ilvl w:val="0"/>
          <w:numId w:val="2"/>
        </w:numPr>
      </w:pPr>
      <w:r>
        <w:rPr>
          <w:rFonts w:ascii="Arial" w:cs="Arial" w:eastAsia="Arial" w:hAnsi="Arial"/>
          <w:sz w:val="22"/>
          <w:szCs w:val="22"/>
        </w:rPr>
        <w:t xml:space="preserve">Using company time, resources, or information for personal gain</w:t>
      </w:r>
    </w:p>
    <w:p>
      <w:pPr>
        <w:pStyle w:val="ListParagraph"/>
        <w:numPr>
          <w:ilvl w:val="0"/>
          <w:numId w:val="2"/>
        </w:numPr>
      </w:pPr>
      <w:r>
        <w:rPr>
          <w:rFonts w:ascii="Arial" w:cs="Arial" w:eastAsia="Arial" w:hAnsi="Arial"/>
          <w:sz w:val="22"/>
          <w:szCs w:val="22"/>
        </w:rPr>
        <w:t xml:space="preserve">Serving on the board of a company that has a business relationship with us</w:t>
      </w:r>
    </w:p>
    <w:p/>
    <w:p>
      <w:pPr>
        <w:pStyle w:val="Heading1"/>
      </w:pPr>
      <w:r>
        <w:rPr>
          <w:rFonts w:ascii="Arial" w:cs="Arial" w:eastAsia="Arial" w:hAnsi="Arial"/>
        </w:rPr>
        <w:t xml:space="preserve">.004 Gifts and Entertainment</w:t>
      </w:r>
    </w:p>
    <w:p>
      <w:r>
        <w:rPr>
          <w:rFonts w:ascii="Arial" w:cs="Arial" w:eastAsia="Arial" w:hAnsi="Arial"/>
          <w:sz w:val="22"/>
          <w:szCs w:val="22"/>
        </w:rPr>
        <w:t xml:space="preserve">Gifts and entertainment can create perceived obligations that compromise objective decision-making. The following thresholds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Limit / Requirement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Gifts received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aggregate/year per source; report above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Gifts given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≤$50; pre-approved by manager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Meals / entertainment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Reasonable; business purpose required; &gt;$150 needs manager approval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Cash / cash equivalents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
                <w:bCs w:val=""/>
                <w:sz w:val="20"/>
                <w:szCs w:val="20"/>
              </w:rPr>
              <w:t xml:space="preserve">Prohibited — no exceptions</w:t>
            </w:r>
          </w:p>
        </w:tc>
      </w:tr>
    </w:tbl>
    <w:p/>
    <w:p>
      <w:pPr>
        <w:pStyle w:val="Heading1"/>
      </w:pPr>
      <w:r>
        <w:rPr>
          <w:rFonts w:ascii="Arial" w:cs="Arial" w:eastAsia="Arial" w:hAnsi="Arial"/>
        </w:rPr>
        <w:t xml:space="preserve">.005 Anti-Corruption and Anti-Bribery</w:t>
      </w:r>
    </w:p>
    <w:p>
      <w:r>
        <w:rPr>
          <w:rFonts w:ascii="Arial" w:cs="Arial" w:eastAsia="Arial" w:hAnsi="Arial"/>
          <w:sz w:val="22"/>
          <w:szCs w:val="22"/>
        </w:rPr>
        <w:t xml:space="preserve">We comply with the U.S. Foreign Corrupt Practices Act (FCPA) and applicable anti-bribery laws globally. No employee may offer, provide, or receive any payment, gift, or other benefit intended to improperly influence a business or government decision. This applies to dealings with both public officials and private-sector counterparts.</w:t>
      </w:r>
    </w:p>
    <w:p/>
    <w:p>
      <w:pPr>
        <w:pStyle w:val="Heading1"/>
      </w:pPr>
      <w:r>
        <w:rPr>
          <w:rFonts w:ascii="Arial" w:cs="Arial" w:eastAsia="Arial" w:hAnsi="Arial"/>
        </w:rPr>
        <w:t xml:space="preserve">.006 Confidentiality</w:t>
      </w:r>
    </w:p>
    <w:p>
      <w:r>
        <w:rPr>
          <w:rFonts w:ascii="Arial" w:cs="Arial" w:eastAsia="Arial" w:hAnsi="Arial"/>
          <w:sz w:val="22"/>
          <w:szCs w:val="22"/>
        </w:rPr>
        <w:t xml:space="preserve">Employees have access to confidential information belonging to the company, its clients, and partners. This information must be protected during and after employment. Employees must not:</w:t>
      </w:r>
    </w:p>
    <w:p>
      <w:pPr>
        <w:pStyle w:val="ListParagraph"/>
        <w:numPr>
          <w:ilvl w:val="0"/>
          <w:numId w:val="2"/>
        </w:numPr>
      </w:pPr>
      <w:r>
        <w:rPr>
          <w:rFonts w:ascii="Arial" w:cs="Arial" w:eastAsia="Arial" w:hAnsi="Arial"/>
          <w:sz w:val="22"/>
          <w:szCs w:val="22"/>
        </w:rPr>
        <w:t xml:space="preserve">Disclose confidential information to unauthorized persons</w:t>
      </w:r>
    </w:p>
    <w:p>
      <w:pPr>
        <w:pStyle w:val="ListParagraph"/>
        <w:numPr>
          <w:ilvl w:val="0"/>
          <w:numId w:val="2"/>
        </w:numPr>
      </w:pPr>
      <w:r>
        <w:rPr>
          <w:rFonts w:ascii="Arial" w:cs="Arial" w:eastAsia="Arial" w:hAnsi="Arial"/>
          <w:sz w:val="22"/>
          <w:szCs w:val="22"/>
        </w:rPr>
        <w:t xml:space="preserve">Use confidential information for personal gain</w:t>
      </w:r>
    </w:p>
    <w:p>
      <w:pPr>
        <w:pStyle w:val="ListParagraph"/>
        <w:numPr>
          <w:ilvl w:val="0"/>
          <w:numId w:val="2"/>
        </w:numPr>
      </w:pPr>
      <w:r>
        <w:rPr>
          <w:rFonts w:ascii="Arial" w:cs="Arial" w:eastAsia="Arial" w:hAnsi="Arial"/>
          <w:sz w:val="22"/>
          <w:szCs w:val="22"/>
        </w:rPr>
        <w:t xml:space="preserve">Store confidential data in unauthorized locations or personal accounts</w:t>
      </w:r>
    </w:p>
    <w:p/>
    <w:p>
      <w:pPr>
        <w:pStyle w:val="Heading1"/>
      </w:pPr>
      <w:r>
        <w:rPr>
          <w:rFonts w:ascii="Arial" w:cs="Arial" w:eastAsia="Arial" w:hAnsi="Arial"/>
        </w:rPr>
        <w:t xml:space="preserve">.007 Reporting Violations</w:t>
      </w:r>
    </w:p>
    <w:p>
      <w:r>
        <w:rPr>
          <w:rFonts w:ascii="Arial" w:cs="Arial" w:eastAsia="Arial" w:hAnsi="Arial"/>
          <w:sz w:val="22"/>
          <w:szCs w:val="22"/>
        </w:rPr>
        <w:t xml:space="preserve">Employees are encouraged to report concerns in good faith through any of the following channels:</w:t>
      </w:r>
    </w:p>
    <w:p>
      <w:pPr>
        <w:pStyle w:val="ListParagraph"/>
        <w:numPr>
          <w:ilvl w:val="0"/>
          <w:numId w:val="2"/>
        </w:numPr>
      </w:pPr>
      <w:r>
        <w:rPr>
          <w:rFonts w:ascii="Arial" w:cs="Arial" w:eastAsia="Arial" w:hAnsi="Arial"/>
          <w:sz w:val="22"/>
          <w:szCs w:val="22"/>
        </w:rPr>
        <w:t xml:space="preserve">Direct manager or HR Business Partner</w:t>
      </w:r>
    </w:p>
    <w:p>
      <w:pPr>
        <w:pStyle w:val="ListParagraph"/>
        <w:numPr>
          <w:ilvl w:val="0"/>
          <w:numId w:val="2"/>
        </w:numPr>
      </w:pPr>
      <w:r>
        <w:rPr>
          <w:rFonts w:ascii="Arial" w:cs="Arial" w:eastAsia="Arial" w:hAnsi="Arial"/>
          <w:sz w:val="22"/>
          <w:szCs w:val="22"/>
        </w:rPr>
        <w:t xml:space="preserve">Legal / Compliance department</w:t>
      </w:r>
    </w:p>
    <w:p>
      <w:pPr>
        <w:pStyle w:val="ListParagraph"/>
        <w:numPr>
          <w:ilvl w:val="0"/>
          <w:numId w:val="2"/>
        </w:numPr>
      </w:pPr>
      <w:r>
        <w:rPr>
          <w:rFonts w:ascii="Arial" w:cs="Arial" w:eastAsia="Arial" w:hAnsi="Arial"/>
          <w:sz w:val="22"/>
          <w:szCs w:val="22"/>
        </w:rPr>
        <w:t xml:space="preserve">Anonymous Ethics Hotline: 1-800-XXX-XXXX (available 24/7)</w:t>
      </w:r>
    </w:p>
    <w:p>
      <w:r>
        <w:rPr>
          <w:rFonts w:ascii="Arial" w:cs="Arial" w:eastAsia="Arial" w:hAnsi="Arial"/>
          <w:sz w:val="22"/>
          <w:szCs w:val="22"/>
        </w:rPr>
        <w:t xml:space="preserve">Retaliation against anyone who reports a concern in good faith is strictly prohibited and is itself a Code violation.</w:t>
      </w:r>
    </w:p>
    <w:p/>
    <w:p>
      <w:pPr>
        <w:pStyle w:val="Heading1"/>
      </w:pPr>
      <w:r>
        <w:rPr>
          <w:rFonts w:ascii="Arial" w:cs="Arial" w:eastAsia="Arial" w:hAnsi="Arial"/>
        </w:rPr>
        <w:t xml:space="preserve">.008 Enforcement</w:t>
      </w:r>
    </w:p>
    <w:p>
      <w:r>
        <w:rPr>
          <w:rFonts w:ascii="Arial" w:cs="Arial" w:eastAsia="Arial" w:hAnsi="Arial"/>
          <w:sz w:val="22"/>
          <w:szCs w:val="22"/>
        </w:rPr>
        <w:t xml:space="preserve">Violations of this Code may result in disciplinary action up to and including termination of employment, and may be referred to appropriate legal or regulatory authorities. The severity of consequences will be proportionate to the nature and impact of the violation.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2026-03-16T20:09:34.153Z</dcterms:created>
  <dcterms:modified xsi:type="dcterms:W3CDTF">2026-03-16T20:09:34.153Z</dcterms:modified>
</cp:coreProperties>
</file>

<file path=docProps/custom.xml><?xml version="1.0" encoding="utf-8"?>
<Properties xmlns="http://schemas.openxmlformats.org/officeDocument/2006/custom-properties" xmlns:vt="http://schemas.openxmlformats.org/officeDocument/2006/docPropsVTypes"/>
</file>