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2C5F2D"/>
          <w:sz w:val="44"/>
          <w:szCs w:val="44"/>
        </w:rPr>
        <w:t xml:space="preserve">Conflict of Interest Disclosure Procedures</w:t>
      </w:r>
    </w:p>
    <w:p>
      <w:r>
        <w:rPr>
          <w:rFonts w:ascii="Calibri" w:cs="Calibri" w:eastAsia="Calibri" w:hAnsi="Calibri"/>
          <w:i/>
          <w:iCs/>
          <w:color w:val="666666"/>
          <w:sz w:val="18"/>
          <w:szCs w:val="18"/>
        </w:rPr>
        <w:t xml:space="preserve">Policy Number: LEGAL-1050  |  Effective: April 1, 2025  |  Owner: Legal / Compliance</w:t>
      </w:r>
    </w:p>
    <w:p>
      <w:pPr>
        <w:pBdr>
          <w:bottom w:val="single" w:color="2C5F2D" w:sz="6" w:space="1"/>
        </w:pBdr>
      </w:pPr>
    </w:p>
    <w:p/>
    <w:p>
      <w:pPr>
        <w:pStyle w:val="Heading1"/>
      </w:pPr>
      <w:r>
        <w:rPr>
          <w:rFonts w:ascii="Calibri" w:cs="Calibri" w:eastAsia="Calibri" w:hAnsi="Calibri"/>
        </w:rPr>
        <w:t xml:space="preserve">1. Purpose</w:t>
      </w:r>
    </w:p>
    <w:p>
      <w:r>
        <w:rPr>
          <w:rFonts w:ascii="Calibri" w:cs="Calibri" w:eastAsia="Calibri" w:hAnsi="Calibri"/>
          <w:sz w:val="22"/>
          <w:szCs w:val="22"/>
        </w:rPr>
        <w:t xml:space="preserve">This procedure defines how employees identify, disclose, and manage conflicts of interest to protect the company's integrity and comply with the Code of Business Conduct (LEGAL-1000).</w:t>
      </w:r>
    </w:p>
    <w:p/>
    <w:p>
      <w:pPr>
        <w:pStyle w:val="Heading1"/>
      </w:pPr>
      <w:r>
        <w:rPr>
          <w:rFonts w:ascii="Calibri" w:cs="Calibri" w:eastAsia="Calibri" w:hAnsi="Calibri"/>
        </w:rPr>
        <w:t xml:space="preserve">2. What Must Be Disclosed</w:t>
      </w:r>
    </w:p>
    <w:p>
      <w:r>
        <w:rPr>
          <w:rFonts w:ascii="Calibri" w:cs="Calibri" w:eastAsia="Calibri" w:hAnsi="Calibri"/>
          <w:sz w:val="22"/>
          <w:szCs w:val="22"/>
        </w:rPr>
        <w:t xml:space="preserve">Employees must submit a written disclosure any time they have a personal interest that could influence — or appear to influence — a business decision. Situations requiring disclosure include:</w:t>
      </w:r>
    </w:p>
    <w:p>
      <w:pPr>
        <w:pStyle w:val="ListParagraph"/>
        <w:numPr>
          <w:ilvl w:val="0"/>
          <w:numId w:val="2"/>
        </w:numPr>
      </w:pPr>
      <w:r>
        <w:rPr>
          <w:rFonts w:ascii="Calibri" w:cs="Calibri" w:eastAsia="Calibri" w:hAnsi="Calibri"/>
          <w:sz w:val="22"/>
          <w:szCs w:val="22"/>
        </w:rPr>
        <w:t xml:space="preserve">Financial interest in a vendor, customer, or competitor (excluding publicly traded stock holdings under $10,000)</w:t>
      </w:r>
    </w:p>
    <w:p>
      <w:pPr>
        <w:pStyle w:val="ListParagraph"/>
        <w:numPr>
          <w:ilvl w:val="0"/>
          <w:numId w:val="2"/>
        </w:numPr>
      </w:pPr>
      <w:r>
        <w:rPr>
          <w:rFonts w:ascii="Calibri" w:cs="Calibri" w:eastAsia="Calibri" w:hAnsi="Calibri"/>
          <w:sz w:val="22"/>
          <w:szCs w:val="22"/>
        </w:rPr>
        <w:t xml:space="preserve">A family member or close personal relationship with a vendor, candidate, or counterparty in a transaction</w:t>
      </w:r>
    </w:p>
    <w:p>
      <w:pPr>
        <w:pStyle w:val="ListParagraph"/>
        <w:numPr>
          <w:ilvl w:val="0"/>
          <w:numId w:val="2"/>
        </w:numPr>
      </w:pPr>
      <w:r>
        <w:rPr>
          <w:rFonts w:ascii="Calibri" w:cs="Calibri" w:eastAsia="Calibri" w:hAnsi="Calibri"/>
          <w:sz w:val="22"/>
          <w:szCs w:val="22"/>
        </w:rPr>
        <w:t xml:space="preserve">Outside employment, consulting, or board service that relates to the company's business</w:t>
      </w:r>
    </w:p>
    <w:p>
      <w:pPr>
        <w:pStyle w:val="ListParagraph"/>
        <w:numPr>
          <w:ilvl w:val="0"/>
          <w:numId w:val="2"/>
        </w:numPr>
      </w:pPr>
      <w:r>
        <w:rPr>
          <w:rFonts w:ascii="Calibri" w:cs="Calibri" w:eastAsia="Calibri" w:hAnsi="Calibri"/>
          <w:sz w:val="22"/>
          <w:szCs w:val="22"/>
        </w:rPr>
        <w:t xml:space="preserve">Receipt of gifts exceeding policy thresholds from a business counterparty</w:t>
      </w:r>
    </w:p>
    <w:p>
      <w:pPr>
        <w:pStyle w:val="ListParagraph"/>
        <w:numPr>
          <w:ilvl w:val="0"/>
          <w:numId w:val="2"/>
        </w:numPr>
      </w:pPr>
      <w:r>
        <w:rPr>
          <w:rFonts w:ascii="Calibri" w:cs="Calibri" w:eastAsia="Calibri" w:hAnsi="Calibri"/>
          <w:sz w:val="22"/>
          <w:szCs w:val="22"/>
        </w:rPr>
        <w:t xml:space="preserve">Any transaction between the company and an entity in which you have a personal stake</w:t>
      </w:r>
    </w:p>
    <w:p/>
    <w:p>
      <w:pPr>
        <w:pStyle w:val="Heading1"/>
      </w:pPr>
      <w:r>
        <w:rPr>
          <w:rFonts w:ascii="Calibri" w:cs="Calibri" w:eastAsia="Calibri" w:hAnsi="Calibri"/>
        </w:rPr>
        <w:t xml:space="preserve">3. Disclosure Process</w:t>
      </w:r>
    </w:p>
    <w:p>
      <w:r>
        <w:rPr>
          <w:rFonts w:ascii="Calibri" w:cs="Calibri" w:eastAsia="Calibri" w:hAnsi="Calibri"/>
          <w:sz w:val="22"/>
          <w:szCs w:val="22"/>
        </w:rPr>
        <w:t xml:space="preserve">Submit disclosures through the Compliance portal at compliance.company.com/coi. Include: nature of the relationship, financial or other interest involved, how your role intersects with the counterparty, and any steps already taken to recuse yourself. Disclosures must be submitted within 5 business days of awareness.</w:t>
      </w:r>
    </w:p>
    <w:p/>
    <w:p>
      <w:pPr>
        <w:pStyle w:val="Heading1"/>
      </w:pPr>
      <w:r>
        <w:rPr>
          <w:rFonts w:ascii="Calibri" w:cs="Calibri" w:eastAsia="Calibri" w:hAnsi="Calibri"/>
        </w:rPr>
        <w:t xml:space="preserve">4. Review and Approval</w:t>
      </w:r>
    </w:p>
    <w:p>
      <w:r>
        <w:rPr>
          <w:rFonts w:ascii="Calibri" w:cs="Calibri" w:eastAsia="Calibri" w:hAnsi="Calibri"/>
          <w:sz w:val="22"/>
          <w:szCs w:val="22"/>
        </w:rPr>
        <w:t xml:space="preserve">Legal/Compliance will review each disclosure within 10 business days. Possible outcomes:</w:t>
      </w:r>
    </w:p>
    <w:p>
      <w:pPr>
        <w:pStyle w:val="ListParagraph"/>
        <w:numPr>
          <w:ilvl w:val="0"/>
          <w:numId w:val="2"/>
        </w:numPr>
      </w:pPr>
      <w:r>
        <w:rPr>
          <w:rFonts w:ascii="Calibri" w:cs="Calibri" w:eastAsia="Calibri" w:hAnsi="Calibri"/>
          <w:sz w:val="22"/>
          <w:szCs w:val="22"/>
        </w:rPr>
        <w:t xml:space="preserve">No conflict — disclosure acknowledged; no further action required</w:t>
      </w:r>
    </w:p>
    <w:p>
      <w:pPr>
        <w:pStyle w:val="ListParagraph"/>
        <w:numPr>
          <w:ilvl w:val="0"/>
          <w:numId w:val="2"/>
        </w:numPr>
      </w:pPr>
      <w:r>
        <w:rPr>
          <w:rFonts w:ascii="Calibri" w:cs="Calibri" w:eastAsia="Calibri" w:hAnsi="Calibri"/>
          <w:sz w:val="22"/>
          <w:szCs w:val="22"/>
        </w:rPr>
        <w:t xml:space="preserve">Manageable conflict — employee recused from specific decisions; walled off from relevant information</w:t>
      </w:r>
    </w:p>
    <w:p>
      <w:pPr>
        <w:pStyle w:val="ListParagraph"/>
        <w:numPr>
          <w:ilvl w:val="0"/>
          <w:numId w:val="2"/>
        </w:numPr>
      </w:pPr>
      <w:r>
        <w:rPr>
          <w:rFonts w:ascii="Calibri" w:cs="Calibri" w:eastAsia="Calibri" w:hAnsi="Calibri"/>
          <w:sz w:val="22"/>
          <w:szCs w:val="22"/>
        </w:rPr>
        <w:t xml:space="preserve">Unmanageable conflict — employee must divest interest, terminate outside relationship, or, in rare cases, separate from the company</w:t>
      </w:r>
    </w:p>
    <w:p/>
    <w:p>
      <w:pPr>
        <w:pStyle w:val="Heading1"/>
      </w:pPr>
      <w:r>
        <w:rPr>
          <w:rFonts w:ascii="Calibri" w:cs="Calibri" w:eastAsia="Calibri" w:hAnsi="Calibri"/>
        </w:rPr>
        <w:t xml:space="preserve">5. Annual Attestation</w:t>
      </w:r>
    </w:p>
    <w:p>
      <w:r>
        <w:rPr>
          <w:rFonts w:ascii="Calibri" w:cs="Calibri" w:eastAsia="Calibri" w:hAnsi="Calibri"/>
          <w:sz w:val="22"/>
          <w:szCs w:val="22"/>
        </w:rPr>
        <w:t xml:space="preserve">All employees at the Manager level and above must complete an annual COI attestation each January through the HR portal. The attestation requires confirmation that all known conflicts have been disclosed and that the employee has read the Code of Business Conduct.</w:t>
      </w:r>
    </w:p>
    <w:p/>
    <w:p>
      <w:pPr>
        <w:pStyle w:val="Heading1"/>
      </w:pPr>
      <w:r>
        <w:rPr>
          <w:rFonts w:ascii="Calibri" w:cs="Calibri" w:eastAsia="Calibri" w:hAnsi="Calibri"/>
        </w:rPr>
        <w:t xml:space="preserve">6. Confidentiality</w:t>
      </w:r>
    </w:p>
    <w:p>
      <w:r>
        <w:rPr>
          <w:rFonts w:ascii="Calibri" w:cs="Calibri" w:eastAsia="Calibri" w:hAnsi="Calibri"/>
          <w:sz w:val="22"/>
          <w:szCs w:val="22"/>
        </w:rPr>
        <w:t xml:space="preserve">Disclosures are treated as confidential and shared only with individuals with a legitimate need to know. Retaliation against employees who make disclosures in good faith is prohibited.</w:t>
      </w:r>
    </w:p>
    <w:p/>
    <w:p>
      <w:pPr>
        <w:pStyle w:val="Heading1"/>
      </w:pPr>
      <w:r>
        <w:rPr>
          <w:rFonts w:ascii="Calibri" w:cs="Calibri" w:eastAsia="Calibri" w:hAnsi="Calibri"/>
        </w:rPr>
        <w:t xml:space="preserve">7. Violations</w:t>
      </w:r>
    </w:p>
    <w:p>
      <w:r>
        <w:rPr>
          <w:rFonts w:ascii="Calibri" w:cs="Calibri" w:eastAsia="Calibri" w:hAnsi="Calibri"/>
          <w:sz w:val="22"/>
          <w:szCs w:val="22"/>
        </w:rPr>
        <w:t xml:space="preserve">Failure to disclose a known conflict of interest is itself a violation of the Code of Business Conduct and may result in disciplinary action up to termination, regardless of whether any actual harm resulted.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left w:val="single" w:color="2C5F2D" w:sz="12" w:space="8"/>
      </w:pBdr>
      <w:spacing w:before="320" w:after="160"/>
      <w:outlineLvl w:val="0"/>
    </w:pPr>
    <w:rPr>
      <w:rFonts w:ascii="Calibri" w:cs="Calibri" w:eastAsia="Calibri" w:hAnsi="Calibri"/>
      <w:b/>
      <w:bCs/>
      <w:color w:val="2C5F2D"/>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1A3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2026-03-16T21:06:27.957Z</dcterms:created>
  <dcterms:modified xsi:type="dcterms:W3CDTF">2026-03-16T21:06:27.958Z</dcterms:modified>
</cp:coreProperties>
</file>

<file path=docProps/custom.xml><?xml version="1.0" encoding="utf-8"?>
<Properties xmlns="http://schemas.openxmlformats.org/officeDocument/2006/custom-properties" xmlns:vt="http://schemas.openxmlformats.org/officeDocument/2006/docPropsVTypes"/>
</file>