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eorgia" w:cs="Georgia" w:eastAsia="Georgia" w:hAnsi="Georgia"/>
          <w:b/>
          <w:bCs/>
          <w:color w:val="065A82"/>
          <w:sz w:val="42"/>
          <w:szCs w:val="42"/>
        </w:rPr>
        <w:t xml:space="preserve">Customer Data Handling Standard</w:t>
      </w:r>
    </w:p>
    <w:p>
      <w:pPr>
        <w:jc w:val="center"/>
      </w:pPr>
      <w:r>
        <w:rPr>
          <w:rFonts w:ascii="Georgia" w:cs="Georgia" w:eastAsia="Georgia" w:hAnsi="Georgia"/>
          <w:color w:val="888888"/>
          <w:sz w:val="18"/>
          <w:szCs w:val="18"/>
        </w:rPr>
        <w:t xml:space="preserve">Standard Number: IT-6000  |  Effective: January 1, 2025  |  Owner: IT / Privacy / Legal</w:t>
      </w:r>
    </w:p>
    <w:p>
      <w:pPr>
        <w:pBdr>
          <w:bottom w:val="double" w:color="065A82" w:sz="4" w:space="1"/>
        </w:pBdr>
      </w:pPr>
    </w:p>
    <w:p/>
    <w:p>
      <w:pPr>
        <w:pStyle w:val="Heading1"/>
      </w:pPr>
      <w:r>
        <w:rPr>
          <w:rFonts w:ascii="Georgia" w:cs="Georgia" w:eastAsia="Georgia" w:hAnsi="Georgia"/>
        </w:rPr>
        <w:t xml:space="preserve">  1. Scope and Purpose</w:t>
      </w:r>
    </w:p>
    <w:p>
      <w:r>
        <w:rPr>
          <w:rFonts w:ascii="Georgia" w:cs="Georgia" w:eastAsia="Georgia" w:hAnsi="Georgia"/>
          <w:sz w:val="22"/>
          <w:szCs w:val="22"/>
        </w:rPr>
        <w:t xml:space="preserve">This standard defines how employees and systems must handle customer data throughout its lifecycle — collection, processing, storage, transmission, sharing, and deletion. It applies to all business units that collect or use customer data in any form.</w:t>
      </w:r>
    </w:p>
    <w:p/>
    <w:p>
      <w:pPr>
        <w:pStyle w:val="Heading1"/>
      </w:pPr>
      <w:r>
        <w:rPr>
          <w:rFonts w:ascii="Georgia" w:cs="Georgia" w:eastAsia="Georgia" w:hAnsi="Georgia"/>
        </w:rPr>
        <w:t xml:space="preserve">  2. Data Categories and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48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28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Arial" w:cs="Arial" w:eastAsia="Arial" w:hAnsi="Arial"/>
                <w:b/>
                <w:bCs/>
                <w:color w:val="FFFFFF"/>
                <w:sz w:val="20"/>
                <w:szCs w:val="20"/>
              </w:rPr>
              <w:t xml:space="preserve">Handling Tier</w:t>
            </w:r>
          </w:p>
        </w:tc>
      </w:tr>
      <w:tr>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Personal Identifiers</w:t>
            </w:r>
          </w:p>
        </w:tc>
        <w:tc>
          <w:tcPr>
            <w:tcW w:type="dxa" w:w="34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email, phone, address</w:t>
            </w:r>
          </w:p>
        </w:tc>
        <w:tc>
          <w:tcPr>
            <w:tcW w:type="dxa" w:w="32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Confidential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Data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Payment card, bank account, billing history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Restricted</w:t>
            </w:r>
          </w:p>
        </w:tc>
      </w:tr>
      <w:tr>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Behavioral Data</w:t>
            </w:r>
          </w:p>
        </w:tc>
        <w:tc>
          <w:tcPr>
            <w:tcW w:type="dxa" w:w="34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Usage logs, clickstream, purchase history</w:t>
            </w:r>
          </w:p>
        </w:tc>
        <w:tc>
          <w:tcPr>
            <w:tcW w:type="dxa" w:w="32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Confidential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Sensitive Personal Data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Health, biometric, government ID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Restricted</w:t>
            </w:r>
          </w:p>
        </w:tc>
      </w:tr>
      <w:tr>
        <w:tc>
          <w:tcPr>
            <w:tcW w:type="dxa" w:w="260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Aggregated/Anonymized</w:t>
            </w:r>
          </w:p>
        </w:tc>
        <w:tc>
          <w:tcPr>
            <w:tcW w:type="dxa" w:w="34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De-identified analytics, cohort reports</w:t>
            </w:r>
          </w:p>
        </w:tc>
        <w:tc>
          <w:tcPr>
            <w:tcW w:type="dxa" w:w="3280"/>
            <w:tcBorders>
              <w:top w:val="single" w:color="CCCCCC" w:sz="1"/>
              <w:left w:val="single" w:color="CCCCCC" w:sz="1"/>
              <w:bottom w:val="single" w:color="CCCCCC" w:sz="1"/>
              <w:right w:val="single" w:color="CCCCCC" w:sz="1"/>
            </w:tcBorders>
            <w:shd w:fill="EEF5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w:t>
            </w:r>
          </w:p>
        </w:tc>
      </w:tr>
    </w:tbl>
    <w:p/>
    <w:p>
      <w:pPr>
        <w:pStyle w:val="Heading1"/>
      </w:pPr>
      <w:r>
        <w:rPr>
          <w:rFonts w:ascii="Georgia" w:cs="Georgia" w:eastAsia="Georgia" w:hAnsi="Georgia"/>
        </w:rPr>
        <w:t xml:space="preserve">  3. Collection Principles</w:t>
      </w:r>
    </w:p>
    <w:p>
      <w:pPr>
        <w:pStyle w:val="ListParagraph"/>
        <w:numPr>
          <w:ilvl w:val="0"/>
          <w:numId w:val="2"/>
        </w:numPr>
      </w:pPr>
      <w:r>
        <w:rPr>
          <w:rFonts w:ascii="Georgia" w:cs="Georgia" w:eastAsia="Georgia" w:hAnsi="Georgia"/>
          <w:sz w:val="22"/>
          <w:szCs w:val="22"/>
        </w:rPr>
        <w:t xml:space="preserve">Collect only data that is necessary for the specified business purpose (data minimization)</w:t>
      </w:r>
    </w:p>
    <w:p>
      <w:pPr>
        <w:pStyle w:val="ListParagraph"/>
        <w:numPr>
          <w:ilvl w:val="0"/>
          <w:numId w:val="2"/>
        </w:numPr>
      </w:pPr>
      <w:r>
        <w:rPr>
          <w:rFonts w:ascii="Georgia" w:cs="Georgia" w:eastAsia="Georgia" w:hAnsi="Georgia"/>
          <w:sz w:val="22"/>
          <w:szCs w:val="22"/>
        </w:rPr>
        <w:t xml:space="preserve">Obtain appropriate consent or establish a lawful basis before collection</w:t>
      </w:r>
    </w:p>
    <w:p>
      <w:pPr>
        <w:pStyle w:val="ListParagraph"/>
        <w:numPr>
          <w:ilvl w:val="0"/>
          <w:numId w:val="2"/>
        </w:numPr>
      </w:pPr>
      <w:r>
        <w:rPr>
          <w:rFonts w:ascii="Georgia" w:cs="Georgia" w:eastAsia="Georgia" w:hAnsi="Georgia"/>
          <w:sz w:val="22"/>
          <w:szCs w:val="22"/>
        </w:rPr>
        <w:t xml:space="preserve">Provide clear privacy notice at point of collection</w:t>
      </w:r>
    </w:p>
    <w:p>
      <w:pPr>
        <w:pStyle w:val="ListParagraph"/>
        <w:numPr>
          <w:ilvl w:val="0"/>
          <w:numId w:val="2"/>
        </w:numPr>
      </w:pPr>
      <w:r>
        <w:rPr>
          <w:rFonts w:ascii="Georgia" w:cs="Georgia" w:eastAsia="Georgia" w:hAnsi="Georgia"/>
          <w:sz w:val="22"/>
          <w:szCs w:val="22"/>
        </w:rPr>
        <w:t xml:space="preserve">Do not collect sensitive personal data without explicit consent and Legal approval</w:t>
      </w:r>
    </w:p>
    <w:p/>
    <w:p>
      <w:pPr>
        <w:pStyle w:val="Heading1"/>
      </w:pPr>
      <w:r>
        <w:rPr>
          <w:rFonts w:ascii="Georgia" w:cs="Georgia" w:eastAsia="Georgia" w:hAnsi="Georgia"/>
        </w:rPr>
        <w:t xml:space="preserve">  4. Storage and Security Requirements</w:t>
      </w:r>
    </w:p>
    <w:p>
      <w:pPr>
        <w:pStyle w:val="ListParagraph"/>
        <w:numPr>
          <w:ilvl w:val="0"/>
          <w:numId w:val="2"/>
        </w:numPr>
      </w:pPr>
      <w:r>
        <w:rPr>
          <w:rFonts w:ascii="Georgia" w:cs="Georgia" w:eastAsia="Georgia" w:hAnsi="Georgia"/>
          <w:sz w:val="22"/>
          <w:szCs w:val="22"/>
        </w:rPr>
        <w:t xml:space="preserve">Customer data must be stored only in approved systems listed in the Data Inventory maintained by IT/Privacy</w:t>
      </w:r>
    </w:p>
    <w:p>
      <w:pPr>
        <w:pStyle w:val="ListParagraph"/>
        <w:numPr>
          <w:ilvl w:val="0"/>
          <w:numId w:val="2"/>
        </w:numPr>
      </w:pPr>
      <w:r>
        <w:rPr>
          <w:rFonts w:ascii="Georgia" w:cs="Georgia" w:eastAsia="Georgia" w:hAnsi="Georgia"/>
          <w:sz w:val="22"/>
          <w:szCs w:val="22"/>
        </w:rPr>
        <w:t xml:space="preserve">Restricted-tier data must be encrypted at rest (AES-256) and in transit (TLS 1.2+)</w:t>
      </w:r>
    </w:p>
    <w:p>
      <w:pPr>
        <w:pStyle w:val="ListParagraph"/>
        <w:numPr>
          <w:ilvl w:val="0"/>
          <w:numId w:val="2"/>
        </w:numPr>
      </w:pPr>
      <w:r>
        <w:rPr>
          <w:rFonts w:ascii="Georgia" w:cs="Georgia" w:eastAsia="Georgia" w:hAnsi="Georgia"/>
          <w:sz w:val="22"/>
          <w:szCs w:val="22"/>
        </w:rPr>
        <w:t xml:space="preserve">Access must be role-based and audited quarterly</w:t>
      </w:r>
    </w:p>
    <w:p>
      <w:pPr>
        <w:pStyle w:val="ListParagraph"/>
        <w:numPr>
          <w:ilvl w:val="0"/>
          <w:numId w:val="2"/>
        </w:numPr>
      </w:pPr>
      <w:r>
        <w:rPr>
          <w:rFonts w:ascii="Georgia" w:cs="Georgia" w:eastAsia="Georgia" w:hAnsi="Georgia"/>
          <w:sz w:val="22"/>
          <w:szCs w:val="22"/>
        </w:rPr>
        <w:t xml:space="preserve">Customer PII must not be stored in logs, test environments, or local workstations</w:t>
      </w:r>
    </w:p>
    <w:p/>
    <w:p>
      <w:pPr>
        <w:pStyle w:val="Heading1"/>
      </w:pPr>
      <w:r>
        <w:rPr>
          <w:rFonts w:ascii="Georgia" w:cs="Georgia" w:eastAsia="Georgia" w:hAnsi="Georgia"/>
        </w:rPr>
        <w:t xml:space="preserve">  5. Sharing and Third-Party Transfers</w:t>
      </w:r>
    </w:p>
    <w:p>
      <w:r>
        <w:rPr>
          <w:rFonts w:ascii="Georgia" w:cs="Georgia" w:eastAsia="Georgia" w:hAnsi="Georgia"/>
          <w:sz w:val="22"/>
          <w:szCs w:val="22"/>
        </w:rPr>
        <w:t xml:space="preserve">Customer data may only be shared with third parties who: have a signed Data Processing Agreement (DPA); appear on the approved vendor list maintained by Procurement/Privacy; and have a legitimate need for the specific data. Cross-border transfers to countries without adequate data protection require Legal sign-off and appropriate transfer mechanisms (SCCs, binding corporate rules, etc.).</w:t>
      </w:r>
    </w:p>
    <w:p/>
    <w:p>
      <w:pPr>
        <w:pStyle w:val="Heading1"/>
      </w:pPr>
      <w:r>
        <w:rPr>
          <w:rFonts w:ascii="Georgia" w:cs="Georgia" w:eastAsia="Georgia" w:hAnsi="Georgia"/>
        </w:rPr>
        <w:t xml:space="preserve">  6. Retention and Deletion</w:t>
      </w:r>
    </w:p>
    <w:p>
      <w:r>
        <w:rPr>
          <w:rFonts w:ascii="Georgia" w:cs="Georgia" w:eastAsia="Georgia" w:hAnsi="Georgia"/>
          <w:sz w:val="22"/>
          <w:szCs w:val="22"/>
        </w:rPr>
        <w:t xml:space="preserve">Customer data is retained per the schedules published in the Privacy Notice and the Data Retention Policy (IT-4500). Upon customer deletion request or end of retention period, data must be deleted from all primary and backup systems within 30 days, with deletion confirmed in writing by IT to the Privacy team.</w:t>
      </w:r>
    </w:p>
    <w:p/>
    <w:p>
      <w:pPr>
        <w:pStyle w:val="Heading1"/>
      </w:pPr>
      <w:r>
        <w:rPr>
          <w:rFonts w:ascii="Georgia" w:cs="Georgia" w:eastAsia="Georgia" w:hAnsi="Georgia"/>
        </w:rPr>
        <w:t xml:space="preserve">  7. Breach Notification</w:t>
      </w:r>
    </w:p>
    <w:p>
      <w:r>
        <w:rPr>
          <w:rFonts w:ascii="Georgia" w:cs="Georgia" w:eastAsia="Georgia" w:hAnsi="Georgia"/>
          <w:sz w:val="22"/>
          <w:szCs w:val="22"/>
        </w:rPr>
        <w:t xml:space="preserve">Any unauthorized access to or disclosure of customer data must be reported to the Privacy team and IT Security within 1 hour of discovery. The Privacy team will determine regulatory notification obligations and coordinate with Legal and Communications.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065A82" w:val="clear"/>
      <w:spacing w:before="280" w:after="140"/>
      <w:outlineLvl w:val="0"/>
    </w:pPr>
    <w:rPr>
      <w:rFonts w:ascii="Georgia" w:cs="Georgia" w:eastAsia="Georgia" w:hAnsi="Georgia"/>
      <w:b/>
      <w:bCs/>
      <w:color w:val="FFFFFF"/>
      <w:sz w:val="28"/>
      <w:szCs w:val="28"/>
    </w:rPr>
  </w:style>
  <w:style w:type="paragraph" w:styleId="Heading2">
    <w:name w:val="Heading 2"/>
    <w:basedOn w:val="Normal"/>
    <w:next w:val="Normal"/>
    <w:qFormat/>
    <w:pPr>
      <w:spacing w:before="180" w:after="100"/>
      <w:outlineLvl w:val="1"/>
    </w:pPr>
    <w:rPr>
      <w:rFonts w:ascii="Georgia" w:cs="Georgia" w:eastAsia="Georgia" w:hAnsi="Georgia"/>
      <w:b/>
      <w:bCs/>
      <w:color w:val="065A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2026-03-16T21:06:28.134Z</dcterms:created>
  <dcterms:modified xsi:type="dcterms:W3CDTF">2026-03-16T21:06:28.134Z</dcterms:modified>
</cp:coreProperties>
</file>

<file path=docProps/custom.xml><?xml version="1.0" encoding="utf-8"?>
<Properties xmlns="http://schemas.openxmlformats.org/officeDocument/2006/custom-properties" xmlns:vt="http://schemas.openxmlformats.org/officeDocument/2006/docPropsVTypes"/>
</file>