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38"/>
          <w:szCs w:val="38"/>
        </w:rPr>
        <w:t xml:space="preserve">Data Retention and Records Management Policy</w:t>
      </w:r>
    </w:p>
    <w:p>
      <w:pPr>
        <w:jc w:val="center"/>
      </w:pPr>
      <w:r>
        <w:rPr>
          <w:rFonts w:ascii="Arial" w:cs="Arial" w:eastAsia="Arial" w:hAnsi="Arial"/>
          <w:color w:val="888888"/>
          <w:sz w:val="18"/>
          <w:szCs w:val="18"/>
        </w:rPr>
        <w:t xml:space="preserve">Policy Number: IT-4500  |  Effective: July 1, 2024  |  Owner: Records Management / Legal</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requirements for the retention, protection, and disposal of company records and data. Proper records management reduces legal risk, supports regulatory compliance, and ensures that information is available when needed.</w:t>
      </w:r>
    </w:p>
    <w:p/>
    <w:p>
      <w:pPr>
        <w:pStyle w:val="Heading1"/>
      </w:pPr>
      <w:r>
        <w:rPr>
          <w:rFonts w:ascii="Arial" w:cs="Arial" w:eastAsia="Arial" w:hAnsi="Arial"/>
        </w:rPr>
        <w:t xml:space="preserve">.002 Scope</w:t>
      </w:r>
    </w:p>
    <w:p>
      <w:r>
        <w:rPr>
          <w:rFonts w:ascii="Arial" w:cs="Arial" w:eastAsia="Arial" w:hAnsi="Arial"/>
          <w:sz w:val="22"/>
          <w:szCs w:val="22"/>
        </w:rPr>
        <w:t xml:space="preserve">This policy applies to all records and data in any format (electronic, paper, audio/video) created, received, or maintained by employees, contractors, or systems on behalf of the company.</w:t>
      </w:r>
    </w:p>
    <w:p/>
    <w:p>
      <w:pPr>
        <w:pStyle w:val="Heading1"/>
      </w:pPr>
      <w:r>
        <w:rPr>
          <w:rFonts w:ascii="Arial" w:cs="Arial" w:eastAsia="Arial" w:hAnsi="Arial"/>
        </w:rPr>
        <w:t xml:space="preserve">.003 Retention Schedule</w:t>
      </w:r>
    </w:p>
    <w:p>
      <w:r>
        <w:rPr>
          <w:rFonts w:ascii="Arial" w:cs="Arial" w:eastAsia="Arial" w:hAnsi="Arial"/>
          <w:sz w:val="22"/>
          <w:szCs w:val="22"/>
        </w:rPr>
        <w:t xml:space="preserve">Records must be retained for the minimum periods specified below. Longer retention is permitted only with Legal approval. Shorter retention is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personnel records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years post-termination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Longer if litigation hold active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Financial records / tax documents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years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 IRS and SOX requirements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 and agreements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years post-expiry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Including amendments and SOWs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 and instant messages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years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Extended if tagged as business-critical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incident logs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years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IT Security Policy IT-3100</w:t>
            </w:r>
          </w:p>
        </w:tc>
      </w:tr>
    </w:tbl>
    <w:p/>
    <w:p>
      <w:pPr>
        <w:pStyle w:val="Heading1"/>
      </w:pPr>
      <w:r>
        <w:rPr>
          <w:rFonts w:ascii="Arial" w:cs="Arial" w:eastAsia="Arial" w:hAnsi="Arial"/>
        </w:rPr>
        <w:t xml:space="preserve">.004 Litigation Hold</w:t>
      </w:r>
    </w:p>
    <w:p>
      <w:r>
        <w:rPr>
          <w:rFonts w:ascii="Arial" w:cs="Arial" w:eastAsia="Arial" w:hAnsi="Arial"/>
          <w:sz w:val="22"/>
          <w:szCs w:val="22"/>
        </w:rPr>
        <w:t xml:space="preserve">When litigation, investigation, or audit is reasonably anticipated, Legal will issue a litigation hold notice that suspends normal disposal schedules. Employees who receive a hold notice must:</w:t>
      </w:r>
    </w:p>
    <w:p>
      <w:pPr>
        <w:pStyle w:val="ListParagraph"/>
        <w:numPr>
          <w:ilvl w:val="0"/>
          <w:numId w:val="2"/>
        </w:numPr>
      </w:pPr>
      <w:r>
        <w:rPr>
          <w:rFonts w:ascii="Arial" w:cs="Arial" w:eastAsia="Arial" w:hAnsi="Arial"/>
          <w:sz w:val="22"/>
          <w:szCs w:val="22"/>
        </w:rPr>
        <w:t xml:space="preserve">Immediately preserve all records covered by the hold</w:t>
      </w:r>
    </w:p>
    <w:p>
      <w:pPr>
        <w:pStyle w:val="ListParagraph"/>
        <w:numPr>
          <w:ilvl w:val="0"/>
          <w:numId w:val="2"/>
        </w:numPr>
      </w:pPr>
      <w:r>
        <w:rPr>
          <w:rFonts w:ascii="Arial" w:cs="Arial" w:eastAsia="Arial" w:hAnsi="Arial"/>
          <w:sz w:val="22"/>
          <w:szCs w:val="22"/>
        </w:rPr>
        <w:t xml:space="preserve">Suspend any scheduled deletion or archival of covered records</w:t>
      </w:r>
    </w:p>
    <w:p>
      <w:pPr>
        <w:pStyle w:val="ListParagraph"/>
        <w:numPr>
          <w:ilvl w:val="0"/>
          <w:numId w:val="2"/>
        </w:numPr>
      </w:pPr>
      <w:r>
        <w:rPr>
          <w:rFonts w:ascii="Arial" w:cs="Arial" w:eastAsia="Arial" w:hAnsi="Arial"/>
          <w:sz w:val="22"/>
          <w:szCs w:val="22"/>
        </w:rPr>
        <w:t xml:space="preserve">Acknowledge receipt of the hold notice within 2 business days</w:t>
      </w:r>
    </w:p>
    <w:p>
      <w:pPr>
        <w:pStyle w:val="ListParagraph"/>
        <w:numPr>
          <w:ilvl w:val="0"/>
          <w:numId w:val="2"/>
        </w:numPr>
      </w:pPr>
      <w:r>
        <w:rPr>
          <w:rFonts w:ascii="Arial" w:cs="Arial" w:eastAsia="Arial" w:hAnsi="Arial"/>
          <w:sz w:val="22"/>
          <w:szCs w:val="22"/>
        </w:rPr>
        <w:t xml:space="preserve">Contact Legal immediately if they are unsure whether specific records are covered</w:t>
      </w:r>
    </w:p>
    <w:p/>
    <w:p>
      <w:pPr>
        <w:pStyle w:val="Heading1"/>
      </w:pPr>
      <w:r>
        <w:rPr>
          <w:rFonts w:ascii="Arial" w:cs="Arial" w:eastAsia="Arial" w:hAnsi="Arial"/>
        </w:rPr>
        <w:t xml:space="preserve">.005 Secure Disposal</w:t>
      </w:r>
    </w:p>
    <w:p>
      <w:r>
        <w:rPr>
          <w:rFonts w:ascii="Arial" w:cs="Arial" w:eastAsia="Arial" w:hAnsi="Arial"/>
          <w:sz w:val="22"/>
          <w:szCs w:val="22"/>
        </w:rPr>
        <w:t xml:space="preserve">Records that have met their retention period and are not subject to a litigation hold must be disposed of securely:</w:t>
      </w:r>
    </w:p>
    <w:p>
      <w:pPr>
        <w:pStyle w:val="ListParagraph"/>
        <w:numPr>
          <w:ilvl w:val="0"/>
          <w:numId w:val="2"/>
        </w:numPr>
      </w:pPr>
      <w:r>
        <w:rPr>
          <w:rFonts w:ascii="Arial" w:cs="Arial" w:eastAsia="Arial" w:hAnsi="Arial"/>
          <w:sz w:val="22"/>
          <w:szCs w:val="22"/>
        </w:rPr>
        <w:t xml:space="preserve">Electronic records: use IT-approved data destruction tools or submit a disposal request to IT</w:t>
      </w:r>
    </w:p>
    <w:p>
      <w:pPr>
        <w:pStyle w:val="ListParagraph"/>
        <w:numPr>
          <w:ilvl w:val="0"/>
          <w:numId w:val="2"/>
        </w:numPr>
      </w:pPr>
      <w:r>
        <w:rPr>
          <w:rFonts w:ascii="Arial" w:cs="Arial" w:eastAsia="Arial" w:hAnsi="Arial"/>
          <w:sz w:val="22"/>
          <w:szCs w:val="22"/>
        </w:rPr>
        <w:t xml:space="preserve">Paper records containing sensitive data: cross-cut shredding via approved vendor</w:t>
      </w:r>
    </w:p>
    <w:p>
      <w:pPr>
        <w:pStyle w:val="ListParagraph"/>
        <w:numPr>
          <w:ilvl w:val="0"/>
          <w:numId w:val="2"/>
        </w:numPr>
      </w:pPr>
      <w:r>
        <w:rPr>
          <w:rFonts w:ascii="Arial" w:cs="Arial" w:eastAsia="Arial" w:hAnsi="Arial"/>
          <w:sz w:val="22"/>
          <w:szCs w:val="22"/>
        </w:rPr>
        <w:t xml:space="preserve">Physical media (drives, USBs): submit to IT for certified destruction</w:t>
      </w:r>
    </w:p>
    <w:p/>
    <w:p>
      <w:pPr>
        <w:pStyle w:val="Heading1"/>
      </w:pPr>
      <w:r>
        <w:rPr>
          <w:rFonts w:ascii="Arial" w:cs="Arial" w:eastAsia="Arial" w:hAnsi="Arial"/>
        </w:rPr>
        <w:t xml:space="preserve">.006 Responsibilities</w:t>
      </w:r>
    </w:p>
    <w:p>
      <w:r>
        <w:rPr>
          <w:rFonts w:ascii="Arial" w:cs="Arial" w:eastAsia="Arial" w:hAnsi="Arial"/>
          <w:sz w:val="22"/>
          <w:szCs w:val="22"/>
        </w:rPr>
        <w:t xml:space="preserve">Records Management (Owner) maintains the retention schedule and oversees compliance. Legal issues and manages litigation holds. IT provides secure disposal tools and archive infrastructure. All employees are responsible for complying with retention requirements applicable to their role.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2026-03-16T20:09:34.164Z</dcterms:created>
  <dcterms:modified xsi:type="dcterms:W3CDTF">2026-03-16T20:09:34.164Z</dcterms:modified>
</cp:coreProperties>
</file>

<file path=docProps/custom.xml><?xml version="1.0" encoding="utf-8"?>
<Properties xmlns="http://schemas.openxmlformats.org/officeDocument/2006/custom-properties" xmlns:vt="http://schemas.openxmlformats.org/officeDocument/2006/docPropsVTypes"/>
</file>