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rebuchet MS" w:cs="Trebuchet MS" w:eastAsia="Trebuchet MS" w:hAnsi="Trebuchet MS"/>
          <w:b/>
          <w:bCs/>
          <w:color w:val="B85042"/>
          <w:sz w:val="38"/>
          <w:szCs w:val="38"/>
        </w:rPr>
        <w:t xml:space="preserve">Flexible Work Arrangements Guideline</w:t>
      </w:r>
    </w:p>
    <w:p>
      <w:pPr>
        <w:jc w:val="center"/>
      </w:pPr>
      <w:r>
        <w:rPr>
          <w:rFonts w:ascii="Trebuchet MS" w:cs="Trebuchet MS" w:eastAsia="Trebuchet MS" w:hAnsi="Trebuchet MS"/>
          <w:i/>
          <w:iCs/>
          <w:color w:val="888888"/>
          <w:sz w:val="18"/>
          <w:szCs w:val="18"/>
        </w:rPr>
        <w:t xml:space="preserve">Guideline Number: HR-2210  |  Effective: January 1, 2025  |  Owner: HR / People Operations</w:t>
      </w:r>
    </w:p>
    <w:p/>
    <w:p/>
    <w:p>
      <w:pPr>
        <w:pStyle w:val="Heading1"/>
      </w:pPr>
      <w:r>
        <w:rPr>
          <w:rFonts w:ascii="Trebuchet MS" w:cs="Trebuchet MS" w:eastAsia="Trebuchet MS" w:hAnsi="Trebuchet MS"/>
        </w:rPr>
        <w:t xml:space="preserve">1. Purpose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This guideline provides a framework for employees and managers to discuss and implement flexible work arrangements, including modified schedules, compressed workweeks, and job sharing. Unlike the Remote Work Policy (HR-2200), which governs location, this guideline governs schedule and hours flexibility.</w:t>
      </w:r>
    </w:p>
    <w:p/>
    <w:p>
      <w:pPr>
        <w:pStyle w:val="Heading1"/>
      </w:pPr>
      <w:r>
        <w:rPr>
          <w:rFonts w:ascii="Trebuchet MS" w:cs="Trebuchet MS" w:eastAsia="Trebuchet MS" w:hAnsi="Trebuchet MS"/>
        </w:rPr>
        <w:t xml:space="preserve">2. Types of Flexible Arrangements</w:t>
      </w:r>
    </w:p>
    <w:p>
      <w:pPr>
        <w:pStyle w:val="Heading2"/>
      </w:pPr>
      <w:r>
        <w:rPr>
          <w:rFonts w:ascii="Trebuchet MS" w:cs="Trebuchet MS" w:eastAsia="Trebuchet MS" w:hAnsi="Trebuchet MS"/>
        </w:rPr>
        <w:t xml:space="preserve">2.1 Flextime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Employees work a standard number of hours but choose their start and end times within an approved band. Core hours (10 AM – 3 PM in the employee's local time zone) must be observed. Schedule must be agreed in advance and documented in the HR system.</w:t>
      </w:r>
    </w:p>
    <w:p>
      <w:pPr>
        <w:pStyle w:val="Heading2"/>
      </w:pPr>
      <w:r>
        <w:rPr>
          <w:rFonts w:ascii="Trebuchet MS" w:cs="Trebuchet MS" w:eastAsia="Trebuchet MS" w:hAnsi="Trebuchet MS"/>
        </w:rPr>
        <w:t xml:space="preserve">2.2 Compressed Workweek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Employees work their full weekly hours over fewer days (e.g., four 10-hour days). Non-exempt employees must obtain written manager approval and HR sign-off before starting a compressed schedule to ensure overtime compliance.</w:t>
      </w:r>
    </w:p>
    <w:p>
      <w:pPr>
        <w:pStyle w:val="Heading2"/>
      </w:pPr>
      <w:r>
        <w:rPr>
          <w:rFonts w:ascii="Trebuchet MS" w:cs="Trebuchet MS" w:eastAsia="Trebuchet MS" w:hAnsi="Trebuchet MS"/>
        </w:rPr>
        <w:t xml:space="preserve">2.3 Job Sharing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Two part-time employees share the responsibilities of one full-time role. Both employees must be involved in the approval process. Job share arrangements require a written agreement covering division of duties, communication protocols, and overlap schedules.</w:t>
      </w:r>
    </w:p>
    <w:p/>
    <w:p>
      <w:pPr>
        <w:pStyle w:val="Heading1"/>
      </w:pPr>
      <w:r>
        <w:rPr>
          <w:rFonts w:ascii="Trebuchet MS" w:cs="Trebuchet MS" w:eastAsia="Trebuchet MS" w:hAnsi="Trebuchet MS"/>
        </w:rPr>
        <w:t xml:space="preserve">3. Eligibility and Approval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Flexible arrangements are available to employees who: have been employed for at least 6 months, are in good performance standing, and hold a role compatible with the proposed arrangement. Approval is at the manager's discretion, subject to business need. HR reviews all approved arrangements before they take effect.</w:t>
      </w:r>
    </w:p>
    <w:p/>
    <w:p>
      <w:pPr>
        <w:pStyle w:val="Heading1"/>
      </w:pPr>
      <w:r>
        <w:rPr>
          <w:rFonts w:ascii="Trebuchet MS" w:cs="Trebuchet MS" w:eastAsia="Trebuchet MS" w:hAnsi="Trebuchet MS"/>
        </w:rPr>
        <w:t xml:space="preserve">4. Impact on Pay and Benefits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Flexible arrangements that maintain full-time hours have no impact on pay or benefits. Employees who reduce hours through job sharing transition to part-time status; benefits eligibility is re-assessed per the Benefits Plan documents. Overtime rules continue to apply to non-exempt employees regardless of schedule.</w:t>
      </w:r>
    </w:p>
    <w:p/>
    <w:p>
      <w:pPr>
        <w:pStyle w:val="Heading1"/>
      </w:pPr>
      <w:r>
        <w:rPr>
          <w:rFonts w:ascii="Trebuchet MS" w:cs="Trebuchet MS" w:eastAsia="Trebuchet MS" w:hAnsi="Trebuchet MS"/>
        </w:rPr>
        <w:t xml:space="preserve">5. Trial Periods and Review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New flexible arrangements begin with a 60-day trial period. Either party may request a review at any time. After the trial, arrangements are confirmed, modified, or discontinued. Arrangements are re-evaluated annually or upon a change in role, manager, or business conditions.</w:t>
      </w:r>
    </w:p>
    <w:p/>
    <w:p>
      <w:pPr>
        <w:pStyle w:val="Heading1"/>
      </w:pPr>
      <w:r>
        <w:rPr>
          <w:rFonts w:ascii="Trebuchet MS" w:cs="Trebuchet MS" w:eastAsia="Trebuchet MS" w:hAnsi="Trebuchet MS"/>
        </w:rPr>
        <w:t xml:space="preserve">6. Managers' Responsibilities</w:t>
      </w:r>
    </w:p>
    <w:p>
      <w:pPr>
        <w:pStyle w:val="ListParagraph"/>
        <w:numPr>
          <w:ilvl w:val="0"/>
          <w:numId w:val="2"/>
        </w:numPr>
      </w:pPr>
      <w:r>
        <w:rPr>
          <w:rFonts w:ascii="Trebuchet MS" w:cs="Trebuchet MS" w:eastAsia="Trebuchet MS" w:hAnsi="Trebuchet MS"/>
          <w:sz w:val="22"/>
          <w:szCs w:val="22"/>
        </w:rPr>
        <w:t xml:space="preserve">Evaluate requests fairly and document the business rationale for decisions</w:t>
      </w:r>
    </w:p>
    <w:p>
      <w:pPr>
        <w:pStyle w:val="ListParagraph"/>
        <w:numPr>
          <w:ilvl w:val="0"/>
          <w:numId w:val="2"/>
        </w:numPr>
      </w:pPr>
      <w:r>
        <w:rPr>
          <w:rFonts w:ascii="Trebuchet MS" w:cs="Trebuchet MS" w:eastAsia="Trebuchet MS" w:hAnsi="Trebuchet MS"/>
          <w:sz w:val="22"/>
          <w:szCs w:val="22"/>
        </w:rPr>
        <w:t xml:space="preserve">Ensure team coverage and service levels are maintained</w:t>
      </w:r>
    </w:p>
    <w:p>
      <w:pPr>
        <w:pStyle w:val="ListParagraph"/>
        <w:numPr>
          <w:ilvl w:val="0"/>
          <w:numId w:val="2"/>
        </w:numPr>
      </w:pPr>
      <w:r>
        <w:rPr>
          <w:rFonts w:ascii="Trebuchet MS" w:cs="Trebuchet MS" w:eastAsia="Trebuchet MS" w:hAnsi="Trebuchet MS"/>
          <w:sz w:val="22"/>
          <w:szCs w:val="22"/>
        </w:rPr>
        <w:t xml:space="preserve">Monitor that non-exempt employees are recording time accurately</w:t>
      </w:r>
    </w:p>
    <w:p>
      <w:pPr>
        <w:pStyle w:val="ListParagraph"/>
        <w:numPr>
          <w:ilvl w:val="0"/>
          <w:numId w:val="2"/>
        </w:numPr>
      </w:pPr>
      <w:r>
        <w:rPr>
          <w:rFonts w:ascii="Trebuchet MS" w:cs="Trebuchet MS" w:eastAsia="Trebuchet MS" w:hAnsi="Trebuchet MS"/>
          <w:sz w:val="22"/>
          <w:szCs w:val="22"/>
        </w:rPr>
        <w:t xml:space="preserve">Escalate to HR if an arrangement is no longer working</w:t>
      </w:r>
    </w:p>
    <w:p/>
    <w:p>
      <w:pPr>
        <w:pStyle w:val="Heading1"/>
      </w:pPr>
      <w:r>
        <w:rPr>
          <w:rFonts w:ascii="Trebuchet MS" w:cs="Trebuchet MS" w:eastAsia="Trebuchet MS" w:hAnsi="Trebuchet MS"/>
        </w:rPr>
        <w:t xml:space="preserve">7. Withdrawal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The company may withdraw a flexible arrangement with 30 days notice if business needs change. Employees may return to a standard schedule at any time with 2 weeks notice to their manager.</w:t>
      </w:r>
    </w:p>
    <w:sectPr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cs="Trebuchet MS" w:eastAsia="Trebuchet MS" w:hAnsi="Trebuchet M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7E8D1" w:sz="3" w:space="4"/>
      </w:pBdr>
      <w:spacing w:before="280" w:after="140"/>
      <w:outlineLvl w:val="0"/>
    </w:pPr>
    <w:rPr>
      <w:rFonts w:ascii="Trebuchet MS" w:cs="Trebuchet MS" w:eastAsia="Trebuchet MS" w:hAnsi="Trebuchet MS"/>
      <w:b/>
      <w:bCs/>
      <w:color w:val="B8504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Trebuchet MS" w:cs="Trebuchet MS" w:eastAsia="Trebuchet MS" w:hAnsi="Trebuchet MS"/>
      <w:b/>
      <w:bCs/>
      <w:color w:val="7A352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2026-03-16T21:06:28.036Z</dcterms:created>
  <dcterms:modified xsi:type="dcterms:W3CDTF">2026-03-16T21:06:28.036Z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