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IT Change Management Policy</w:t>
      </w:r>
    </w:p>
    <w:p>
      <w:pPr>
        <w:jc w:val="center"/>
      </w:pPr>
      <w:r>
        <w:rPr>
          <w:rFonts w:ascii="Arial" w:cs="Arial" w:eastAsia="Arial" w:hAnsi="Arial"/>
          <w:color w:val="888888"/>
          <w:sz w:val="18"/>
          <w:szCs w:val="18"/>
        </w:rPr>
        <w:t xml:space="preserve">Policy Number: IT-5000  |  Effective: February 1, 2025  |  Owner: IT / Engineering</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governs the planning, review, approval, and implementation of changes to production IT systems. Effective change management reduces the risk of unplanned outages, security vulnerabilities, and data loss.</w:t>
      </w:r>
    </w:p>
    <w:p/>
    <w:p>
      <w:pPr>
        <w:pStyle w:val="Heading1"/>
      </w:pPr>
      <w:r>
        <w:rPr>
          <w:rFonts w:ascii="Arial" w:cs="Arial" w:eastAsia="Arial" w:hAnsi="Arial"/>
        </w:rPr>
        <w:t xml:space="preserve">.002 Change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Approval Path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Standard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Pre-approved, low-risk, routine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CAB required; follow pre-approved runbook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 non-emergency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 review at weekly meeting; 5-day lead time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Major</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impact or risk; affects core systems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CAB + CTO approval; 10-day lead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Urgent fix to restore service or patch critical vulnerability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ECAB (Emergency CAB); post-implementation review required</w:t>
            </w:r>
          </w:p>
        </w:tc>
      </w:tr>
    </w:tbl>
    <w:p/>
    <w:p>
      <w:pPr>
        <w:pStyle w:val="Heading1"/>
      </w:pPr>
      <w:r>
        <w:rPr>
          <w:rFonts w:ascii="Arial" w:cs="Arial" w:eastAsia="Arial" w:hAnsi="Arial"/>
        </w:rPr>
        <w:t xml:space="preserve">.003 Change Advisory Board (CAB)</w:t>
      </w:r>
    </w:p>
    <w:p>
      <w:r>
        <w:rPr>
          <w:rFonts w:ascii="Arial" w:cs="Arial" w:eastAsia="Arial" w:hAnsi="Arial"/>
          <w:sz w:val="22"/>
          <w:szCs w:val="22"/>
        </w:rPr>
        <w:t xml:space="preserve">The CAB meets weekly and includes representatives from IT Operations, Engineering, Security, and business stakeholders. The CAB reviews all Normal and Major changes for risk, impact, rollback plan, and test evidence. Approval requires consensus; Security may veto changes with unacceptable risk profiles.</w:t>
      </w:r>
    </w:p>
    <w:p/>
    <w:p>
      <w:pPr>
        <w:pStyle w:val="Heading1"/>
      </w:pPr>
      <w:r>
        <w:rPr>
          <w:rFonts w:ascii="Arial" w:cs="Arial" w:eastAsia="Arial" w:hAnsi="Arial"/>
        </w:rPr>
        <w:t xml:space="preserve">.004 Change Request Requirements</w:t>
      </w:r>
    </w:p>
    <w:p>
      <w:r>
        <w:rPr>
          <w:rFonts w:ascii="Arial" w:cs="Arial" w:eastAsia="Arial" w:hAnsi="Arial"/>
          <w:sz w:val="22"/>
          <w:szCs w:val="22"/>
        </w:rPr>
        <w:t xml:space="preserve">All Normal and Major change requests must include:</w:t>
      </w:r>
    </w:p>
    <w:p>
      <w:pPr>
        <w:pStyle w:val="ListParagraph"/>
        <w:numPr>
          <w:ilvl w:val="0"/>
          <w:numId w:val="2"/>
        </w:numPr>
      </w:pPr>
      <w:r>
        <w:rPr>
          <w:rFonts w:ascii="Arial" w:cs="Arial" w:eastAsia="Arial" w:hAnsi="Arial"/>
          <w:sz w:val="22"/>
          <w:szCs w:val="22"/>
        </w:rPr>
        <w:t xml:space="preserve">Description of change and business justification</w:t>
      </w:r>
    </w:p>
    <w:p>
      <w:pPr>
        <w:pStyle w:val="ListParagraph"/>
        <w:numPr>
          <w:ilvl w:val="0"/>
          <w:numId w:val="2"/>
        </w:numPr>
      </w:pPr>
      <w:r>
        <w:rPr>
          <w:rFonts w:ascii="Arial" w:cs="Arial" w:eastAsia="Arial" w:hAnsi="Arial"/>
          <w:sz w:val="22"/>
          <w:szCs w:val="22"/>
        </w:rPr>
        <w:t xml:space="preserve">Impact assessment (systems, users, dependencies)</w:t>
      </w:r>
    </w:p>
    <w:p>
      <w:pPr>
        <w:pStyle w:val="ListParagraph"/>
        <w:numPr>
          <w:ilvl w:val="0"/>
          <w:numId w:val="2"/>
        </w:numPr>
      </w:pPr>
      <w:r>
        <w:rPr>
          <w:rFonts w:ascii="Arial" w:cs="Arial" w:eastAsia="Arial" w:hAnsi="Arial"/>
          <w:sz w:val="22"/>
          <w:szCs w:val="22"/>
        </w:rPr>
        <w:t xml:space="preserve">Risk assessment and mitigation plan</w:t>
      </w:r>
    </w:p>
    <w:p>
      <w:pPr>
        <w:pStyle w:val="ListParagraph"/>
        <w:numPr>
          <w:ilvl w:val="0"/>
          <w:numId w:val="2"/>
        </w:numPr>
      </w:pPr>
      <w:r>
        <w:rPr>
          <w:rFonts w:ascii="Arial" w:cs="Arial" w:eastAsia="Arial" w:hAnsi="Arial"/>
          <w:sz w:val="22"/>
          <w:szCs w:val="22"/>
        </w:rPr>
        <w:t xml:space="preserve">Implementation steps and timeline</w:t>
      </w:r>
    </w:p>
    <w:p>
      <w:pPr>
        <w:pStyle w:val="ListParagraph"/>
        <w:numPr>
          <w:ilvl w:val="0"/>
          <w:numId w:val="2"/>
        </w:numPr>
      </w:pPr>
      <w:r>
        <w:rPr>
          <w:rFonts w:ascii="Arial" w:cs="Arial" w:eastAsia="Arial" w:hAnsi="Arial"/>
          <w:sz w:val="22"/>
          <w:szCs w:val="22"/>
        </w:rPr>
        <w:t xml:space="preserve">Rollback plan with tested restore procedure</w:t>
      </w:r>
    </w:p>
    <w:p>
      <w:pPr>
        <w:pStyle w:val="ListParagraph"/>
        <w:numPr>
          <w:ilvl w:val="0"/>
          <w:numId w:val="2"/>
        </w:numPr>
      </w:pPr>
      <w:r>
        <w:rPr>
          <w:rFonts w:ascii="Arial" w:cs="Arial" w:eastAsia="Arial" w:hAnsi="Arial"/>
          <w:sz w:val="22"/>
          <w:szCs w:val="22"/>
        </w:rPr>
        <w:t xml:space="preserve">Test results from non-production environment</w:t>
      </w:r>
    </w:p>
    <w:p>
      <w:pPr>
        <w:pStyle w:val="ListParagraph"/>
        <w:numPr>
          <w:ilvl w:val="0"/>
          <w:numId w:val="2"/>
        </w:numPr>
      </w:pPr>
      <w:r>
        <w:rPr>
          <w:rFonts w:ascii="Arial" w:cs="Arial" w:eastAsia="Arial" w:hAnsi="Arial"/>
          <w:sz w:val="22"/>
          <w:szCs w:val="22"/>
        </w:rPr>
        <w:t xml:space="preserve">Communication plan for affected stakeholders</w:t>
      </w:r>
    </w:p>
    <w:p/>
    <w:p>
      <w:pPr>
        <w:pStyle w:val="Heading1"/>
      </w:pPr>
      <w:r>
        <w:rPr>
          <w:rFonts w:ascii="Arial" w:cs="Arial" w:eastAsia="Arial" w:hAnsi="Arial"/>
        </w:rPr>
        <w:t xml:space="preserve">.005 Blackout Periods</w:t>
      </w:r>
    </w:p>
    <w:p>
      <w:r>
        <w:rPr>
          <w:rFonts w:ascii="Arial" w:cs="Arial" w:eastAsia="Arial" w:hAnsi="Arial"/>
          <w:sz w:val="22"/>
          <w:szCs w:val="22"/>
        </w:rPr>
        <w:t xml:space="preserve">Changes to production systems are prohibited during the following blackout periods unless approved as Emergency changes: fiscal quarter-end close (last 5 business days of each quarter); major product releases (72 hours before and after); company-wide events (all-hands, major launches); and holidays designated by IT Operations each January.</w:t>
      </w:r>
    </w:p>
    <w:p/>
    <w:p>
      <w:pPr>
        <w:pStyle w:val="Heading1"/>
      </w:pPr>
      <w:r>
        <w:rPr>
          <w:rFonts w:ascii="Arial" w:cs="Arial" w:eastAsia="Arial" w:hAnsi="Arial"/>
        </w:rPr>
        <w:t xml:space="preserve">.006 Post-Implementation Review</w:t>
      </w:r>
    </w:p>
    <w:p>
      <w:r>
        <w:rPr>
          <w:rFonts w:ascii="Arial" w:cs="Arial" w:eastAsia="Arial" w:hAnsi="Arial"/>
          <w:sz w:val="22"/>
          <w:szCs w:val="22"/>
        </w:rPr>
        <w:t xml:space="preserve">All Major changes and any change that caused an unplanned outage or incident require a post-implementation review within 5 business days. The review documents whether the change achieved its objective, any unexpected impacts, and lessons learned for the change management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2026-03-16T20:43:50.515Z</dcterms:created>
  <dcterms:modified xsi:type="dcterms:W3CDTF">2026-03-16T20:43:50.515Z</dcterms:modified>
</cp:coreProperties>
</file>

<file path=docProps/custom.xml><?xml version="1.0" encoding="utf-8"?>
<Properties xmlns="http://schemas.openxmlformats.org/officeDocument/2006/custom-properties" xmlns:vt="http://schemas.openxmlformats.org/officeDocument/2006/docPropsVTypes"/>
</file>