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Progressive Discipline and Corrective Action Policy</w:t>
      </w:r>
    </w:p>
    <w:p>
      <w:pPr>
        <w:jc w:val="center"/>
      </w:pPr>
      <w:r>
        <w:rPr>
          <w:rFonts w:ascii="Arial" w:cs="Arial" w:eastAsia="Arial" w:hAnsi="Arial"/>
          <w:color w:val="888888"/>
          <w:sz w:val="18"/>
          <w:szCs w:val="18"/>
        </w:rPr>
        <w:t xml:space="preserve">Policy Number: HR-3200  |  Effective: January 1, 2025  |  Owner: HR / Employee Relations</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a fair and consistent approach to addressing employee performance issues, policy violations, and conduct concerns. The goal of progressive discipline is to correct behavior and support improvement, not merely to punish.</w:t>
      </w:r>
    </w:p>
    <w:p/>
    <w:p>
      <w:pPr>
        <w:pStyle w:val="Heading1"/>
      </w:pPr>
      <w:r>
        <w:rPr>
          <w:rFonts w:ascii="Arial" w:cs="Arial" w:eastAsia="Arial" w:hAnsi="Arial"/>
        </w:rPr>
        <w:t xml:space="preserve">.002 Scope</w:t>
      </w:r>
    </w:p>
    <w:p>
      <w:r>
        <w:rPr>
          <w:rFonts w:ascii="Arial" w:cs="Arial" w:eastAsia="Arial" w:hAnsi="Arial"/>
          <w:sz w:val="22"/>
          <w:szCs w:val="22"/>
        </w:rPr>
        <w:t xml:space="preserve">Applies to all regular full-time and part-time employees in the U.S. It does not apply to contractors. At-will employment is not altered by this policy; the company reserves the right to deviate from progressive steps based on the severity of the conduct.</w:t>
      </w:r>
    </w:p>
    <w:p/>
    <w:p>
      <w:pPr>
        <w:pStyle w:val="Heading1"/>
      </w:pPr>
      <w:r>
        <w:rPr>
          <w:rFonts w:ascii="Arial" w:cs="Arial" w:eastAsia="Arial" w:hAnsi="Arial"/>
        </w:rPr>
        <w:t xml:space="preserve">.003 Progressive Discipline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Typical Application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 Verbal Warning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Documented conversation; manager-initiated</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First minor policy violation or performance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Written Warning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written notice; employee acknowledges receipt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Repeated behavior after verbal warning; moderate violation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 Final Written Warning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chance before termination; clear timeline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Continued violations; serious single incident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Termination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ends; HR coordinates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improvement after final warning; egregious conduct</w:t>
            </w:r>
          </w:p>
        </w:tc>
      </w:tr>
    </w:tbl>
    <w:p/>
    <w:p>
      <w:pPr>
        <w:pStyle w:val="Heading1"/>
      </w:pPr>
      <w:r>
        <w:rPr>
          <w:rFonts w:ascii="Arial" w:cs="Arial" w:eastAsia="Arial" w:hAnsi="Arial"/>
        </w:rPr>
        <w:t xml:space="preserve">.004 Immediate Termination</w:t>
      </w:r>
    </w:p>
    <w:p>
      <w:r>
        <w:rPr>
          <w:rFonts w:ascii="Arial" w:cs="Arial" w:eastAsia="Arial" w:hAnsi="Arial"/>
          <w:sz w:val="22"/>
          <w:szCs w:val="22"/>
        </w:rPr>
        <w:t xml:space="preserve">Certain violations are so serious that they warrant immediate termination without prior progressive steps. These include but are not limited to:</w:t>
      </w:r>
    </w:p>
    <w:p>
      <w:pPr>
        <w:pStyle w:val="ListParagraph"/>
        <w:numPr>
          <w:ilvl w:val="0"/>
          <w:numId w:val="2"/>
        </w:numPr>
      </w:pPr>
      <w:r>
        <w:rPr>
          <w:rFonts w:ascii="Arial" w:cs="Arial" w:eastAsia="Arial" w:hAnsi="Arial"/>
          <w:sz w:val="22"/>
          <w:szCs w:val="22"/>
        </w:rPr>
        <w:t xml:space="preserve">Workplace violence or threats of violence</w:t>
      </w:r>
    </w:p>
    <w:p>
      <w:pPr>
        <w:pStyle w:val="ListParagraph"/>
        <w:numPr>
          <w:ilvl w:val="0"/>
          <w:numId w:val="2"/>
        </w:numPr>
      </w:pPr>
      <w:r>
        <w:rPr>
          <w:rFonts w:ascii="Arial" w:cs="Arial" w:eastAsia="Arial" w:hAnsi="Arial"/>
          <w:sz w:val="22"/>
          <w:szCs w:val="22"/>
        </w:rPr>
        <w:t xml:space="preserve">Theft, fraud, or material dishonesty</w:t>
      </w:r>
    </w:p>
    <w:p>
      <w:pPr>
        <w:pStyle w:val="ListParagraph"/>
        <w:numPr>
          <w:ilvl w:val="0"/>
          <w:numId w:val="2"/>
        </w:numPr>
      </w:pPr>
      <w:r>
        <w:rPr>
          <w:rFonts w:ascii="Arial" w:cs="Arial" w:eastAsia="Arial" w:hAnsi="Arial"/>
          <w:sz w:val="22"/>
          <w:szCs w:val="22"/>
        </w:rPr>
        <w:t xml:space="preserve">Sexual assault or egregious harassment</w:t>
      </w:r>
    </w:p>
    <w:p>
      <w:pPr>
        <w:pStyle w:val="ListParagraph"/>
        <w:numPr>
          <w:ilvl w:val="0"/>
          <w:numId w:val="2"/>
        </w:numPr>
      </w:pPr>
      <w:r>
        <w:rPr>
          <w:rFonts w:ascii="Arial" w:cs="Arial" w:eastAsia="Arial" w:hAnsi="Arial"/>
          <w:sz w:val="22"/>
          <w:szCs w:val="22"/>
        </w:rPr>
        <w:t xml:space="preserve">Willful destruction of company property</w:t>
      </w:r>
    </w:p>
    <w:p>
      <w:pPr>
        <w:pStyle w:val="ListParagraph"/>
        <w:numPr>
          <w:ilvl w:val="0"/>
          <w:numId w:val="2"/>
        </w:numPr>
      </w:pPr>
      <w:r>
        <w:rPr>
          <w:rFonts w:ascii="Arial" w:cs="Arial" w:eastAsia="Arial" w:hAnsi="Arial"/>
          <w:sz w:val="22"/>
          <w:szCs w:val="22"/>
        </w:rPr>
        <w:t xml:space="preserve">Possession of weapons, illegal drugs, or alcohol on company premises</w:t>
      </w:r>
    </w:p>
    <w:p>
      <w:pPr>
        <w:pStyle w:val="ListParagraph"/>
        <w:numPr>
          <w:ilvl w:val="0"/>
          <w:numId w:val="2"/>
        </w:numPr>
      </w:pPr>
      <w:r>
        <w:rPr>
          <w:rFonts w:ascii="Arial" w:cs="Arial" w:eastAsia="Arial" w:hAnsi="Arial"/>
          <w:sz w:val="22"/>
          <w:szCs w:val="22"/>
        </w:rPr>
        <w:t xml:space="preserve">Disclosure of confidential information for personal gain or to harm the company</w:t>
      </w:r>
    </w:p>
    <w:p/>
    <w:p>
      <w:pPr>
        <w:pStyle w:val="Heading1"/>
      </w:pPr>
      <w:r>
        <w:rPr>
          <w:rFonts w:ascii="Arial" w:cs="Arial" w:eastAsia="Arial" w:hAnsi="Arial"/>
        </w:rPr>
        <w:t xml:space="preserve">.005 Documentation Requirements</w:t>
      </w:r>
    </w:p>
    <w:p>
      <w:r>
        <w:rPr>
          <w:rFonts w:ascii="Arial" w:cs="Arial" w:eastAsia="Arial" w:hAnsi="Arial"/>
          <w:sz w:val="22"/>
          <w:szCs w:val="22"/>
        </w:rPr>
        <w:t xml:space="preserve">All corrective actions must be documented and stored in the employee's personnel file. Documentation must include: date of the discussion, description of the performance issue or policy violation, prior steps taken, expectations going forward, and consequences if behavior does not improve. Employees must be given the opportunity to add a written response.</w:t>
      </w:r>
    </w:p>
    <w:p/>
    <w:p>
      <w:pPr>
        <w:pStyle w:val="Heading1"/>
      </w:pPr>
      <w:r>
        <w:rPr>
          <w:rFonts w:ascii="Arial" w:cs="Arial" w:eastAsia="Arial" w:hAnsi="Arial"/>
        </w:rPr>
        <w:t xml:space="preserve">.006 HR Involvement</w:t>
      </w:r>
    </w:p>
    <w:p>
      <w:r>
        <w:rPr>
          <w:rFonts w:ascii="Arial" w:cs="Arial" w:eastAsia="Arial" w:hAnsi="Arial"/>
          <w:sz w:val="22"/>
          <w:szCs w:val="22"/>
        </w:rPr>
        <w:t xml:space="preserve">HR must be consulted before issuing a written warning or higher. All terminations require HR and Legal review. Managers may not issue corrective action in retaliation for protected activity (e.g., requesting accommodation, filing a harassment complaint, engaging in protected concerted activity).</w:t>
      </w:r>
    </w:p>
    <w:p/>
    <w:p>
      <w:pPr>
        <w:pStyle w:val="Heading1"/>
      </w:pPr>
      <w:r>
        <w:rPr>
          <w:rFonts w:ascii="Arial" w:cs="Arial" w:eastAsia="Arial" w:hAnsi="Arial"/>
        </w:rPr>
        <w:t xml:space="preserve">.007 Appeal Process</w:t>
      </w:r>
    </w:p>
    <w:p>
      <w:r>
        <w:rPr>
          <w:rFonts w:ascii="Arial" w:cs="Arial" w:eastAsia="Arial" w:hAnsi="Arial"/>
          <w:sz w:val="22"/>
          <w:szCs w:val="22"/>
        </w:rPr>
        <w:t xml:space="preserve">Employees may appeal a written warning or termination by submitting a written request to HR within 10 business days. Appeals are reviewed by HR and a senior leader not involved in the original decision. The appeal decision is final and will be communicated within 15 business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2026-03-16T20:37:01.803Z</dcterms:created>
  <dcterms:modified xsi:type="dcterms:W3CDTF">2026-03-16T20:37:01.803Z</dcterms:modified>
</cp:coreProperties>
</file>

<file path=docProps/custom.xml><?xml version="1.0" encoding="utf-8"?>
<Properties xmlns="http://schemas.openxmlformats.org/officeDocument/2006/custom-properties" xmlns:vt="http://schemas.openxmlformats.org/officeDocument/2006/docPropsVTypes"/>
</file>