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Arial" w:cs="Arial" w:eastAsia="Arial" w:hAnsi="Arial"/>
          <w:b/>
          <w:bCs/>
          <w:color w:val="1A3A4A"/>
          <w:sz w:val="40"/>
          <w:szCs w:val="40"/>
        </w:rPr>
        <w:t xml:space="preserve">Progressive Discipline and Corrective Action Policy</w:t>
      </w:r>
    </w:p>
    <w:p>
      <w:pPr>
        <w:jc w:val="center"/>
      </w:pPr>
      <w:r>
        <w:rPr>
          <w:rFonts w:ascii="Arial" w:cs="Arial" w:eastAsia="Arial" w:hAnsi="Arial"/>
          <w:color w:val="888888"/>
          <w:sz w:val="18"/>
          <w:szCs w:val="18"/>
        </w:rPr>
        <w:t xml:space="preserve">Policy Number: HR-3200  |  Version: 2.0  |  Effective: January 1, 2026  |  Owner: HR / Employee Relations</w:t>
      </w:r>
    </w:p>
    <w:p>
      <w:pPr>
        <w:jc w:val="center"/>
      </w:pPr>
      <w:r>
        <w:rPr>
          <w:rFonts w:ascii="Arial" w:cs="Arial" w:eastAsia="Arial" w:hAnsi="Arial"/>
          <w:i/>
          <w:iCs/>
          <w:color w:val="AA3333"/>
          <w:sz w:val="16"/>
          <w:szCs w:val="16"/>
        </w:rPr>
        <w:t xml:space="preserve">Supersedes Version 1.0 (January 1, 2025)</w:t>
      </w:r>
    </w:p>
    <w:p/>
    <w:p>
      <w:pPr>
        <w:pStyle w:val="Heading1"/>
      </w:pPr>
      <w:r>
        <w:rPr>
          <w:rFonts w:ascii="Arial" w:cs="Arial" w:eastAsia="Arial" w:hAnsi="Arial"/>
        </w:rPr>
        <w:t xml:space="preserve">.001 Purpose</w:t>
      </w:r>
    </w:p>
    <w:p>
      <w:r>
        <w:rPr>
          <w:rFonts w:ascii="Arial" w:cs="Arial" w:eastAsia="Arial" w:hAnsi="Arial"/>
          <w:sz w:val="22"/>
          <w:szCs w:val="22"/>
        </w:rPr>
        <w:t xml:space="preserve">This policy establishes a fair and consistent approach to addressing employee performance issues, policy violations, and conduct concerns. Version 2.0 adds an Accelerated Corrective Action path and clarifies appeal timelines.</w:t>
      </w:r>
    </w:p>
    <w:p/>
    <w:p>
      <w:pPr>
        <w:pStyle w:val="Heading1"/>
      </w:pPr>
      <w:r>
        <w:rPr>
          <w:rFonts w:ascii="Arial" w:cs="Arial" w:eastAsia="Arial" w:hAnsi="Arial"/>
        </w:rPr>
        <w:t xml:space="preserve">.002 Scope</w:t>
      </w:r>
    </w:p>
    <w:p>
      <w:r>
        <w:rPr>
          <w:rFonts w:ascii="Arial" w:cs="Arial" w:eastAsia="Arial" w:hAnsi="Arial"/>
          <w:sz w:val="22"/>
          <w:szCs w:val="22"/>
        </w:rPr>
        <w:t xml:space="preserve">Applies to all regular full-time and part-time employees in the U.S. It does not apply to contractors. At-will employment is not altered by this policy; the company reserves the right to deviate from progressive steps based on the severity of the conduct.</w:t>
      </w:r>
    </w:p>
    <w:p/>
    <w:p>
      <w:pPr>
        <w:pStyle w:val="Heading1"/>
      </w:pPr>
      <w:r>
        <w:rPr>
          <w:rFonts w:ascii="Arial" w:cs="Arial" w:eastAsia="Arial" w:hAnsi="Arial"/>
        </w:rPr>
        <w:t xml:space="preserve">.003 Progressive Discipline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A3A4A"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3480"/>
            <w:tcBorders>
              <w:top w:val="single" w:color="CCCCCC" w:sz="1"/>
              <w:left w:val="single" w:color="CCCCCC" w:sz="1"/>
              <w:bottom w:val="single" w:color="CCCCCC" w:sz="1"/>
              <w:right w:val="single" w:color="CCCCCC" w:sz="1"/>
            </w:tcBorders>
            <w:shd w:fill="1A3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480"/>
            <w:tcBorders>
              <w:top w:val="single" w:color="CCCCCC" w:sz="1"/>
              <w:left w:val="single" w:color="CCCCCC" w:sz="1"/>
              <w:bottom w:val="single" w:color="CCCCCC" w:sz="1"/>
              <w:right w:val="single" w:color="CCCCCC" w:sz="1"/>
            </w:tcBorders>
            <w:shd w:fill="1A3A4A" w:val="clear"/>
            <w:tcMar>
              <w:top w:type="dxa" w:w="80"/>
              <w:left w:type="dxa" w:w="120"/>
              <w:bottom w:type="dxa" w:w="80"/>
              <w:right w:type="dxa" w:w="120"/>
            </w:tcMar>
          </w:tcPr>
          <w:p>
            <w:r>
              <w:rPr>
                <w:rFonts w:ascii="Arial" w:cs="Arial" w:eastAsia="Arial" w:hAnsi="Arial"/>
                <w:b/>
                <w:bCs/>
                <w:color w:val="FFFFFF"/>
                <w:sz w:val="20"/>
                <w:szCs w:val="20"/>
              </w:rPr>
              <w:t xml:space="preserve">Typical Application</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1 – Verbal Warning</w:t>
            </w:r>
          </w:p>
        </w:tc>
        <w:tc>
          <w:tcPr>
            <w:tcW w:type="dxa" w:w="3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Documented conversation; manager-initiated</w:t>
            </w:r>
          </w:p>
        </w:tc>
        <w:tc>
          <w:tcPr>
            <w:tcW w:type="dxa" w:w="3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First minor policy violation or performance gap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 – Written Warning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Formal written notice; employee acknowledges receipt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Repeated behavior after verbal warning; moderate violation</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3 – Final Written Warning</w:t>
            </w:r>
          </w:p>
        </w:tc>
        <w:tc>
          <w:tcPr>
            <w:tcW w:type="dxa" w:w="3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Last chance before termination; clear timeline</w:t>
            </w:r>
          </w:p>
        </w:tc>
        <w:tc>
          <w:tcPr>
            <w:tcW w:type="dxa" w:w="3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Continued violations; serious single incident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 – Termination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Employment ends; HR coordinates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 improvement after final warning; egregious conduct</w:t>
            </w:r>
          </w:p>
        </w:tc>
      </w:tr>
    </w:tbl>
    <w:p/>
    <w:p>
      <w:pPr>
        <w:pStyle w:val="Heading1"/>
      </w:pPr>
      <w:r>
        <w:rPr>
          <w:rFonts w:ascii="Arial" w:cs="Arial" w:eastAsia="Arial" w:hAnsi="Arial"/>
        </w:rPr>
        <w:t xml:space="preserve">.004 Accelerated Corrective Action (New in v2.0)</w:t>
      </w:r>
    </w:p>
    <w:p>
      <w:r>
        <w:rPr>
          <w:rFonts w:ascii="Arial" w:cs="Arial" w:eastAsia="Arial" w:hAnsi="Arial"/>
          <w:sz w:val="22"/>
          <w:szCs w:val="22"/>
        </w:rPr>
        <w:t xml:space="preserve">For conduct that is serious but does not warrant immediate termination, the company may skip directly to a Final Written Warning (Step 3) without prior steps. This Accelerated path applies to:</w:t>
      </w:r>
    </w:p>
    <w:p>
      <w:pPr>
        <w:pStyle w:val="ListParagraph"/>
        <w:numPr>
          <w:ilvl w:val="0"/>
          <w:numId w:val="2"/>
        </w:numPr>
      </w:pPr>
      <w:r>
        <w:rPr>
          <w:rFonts w:ascii="Arial" w:cs="Arial" w:eastAsia="Arial" w:hAnsi="Arial"/>
          <w:sz w:val="22"/>
          <w:szCs w:val="22"/>
        </w:rPr>
        <w:t xml:space="preserve">A single incident of significant policy violation where the employee knew or should have known the conduct was impermissible</w:t>
      </w:r>
    </w:p>
    <w:p>
      <w:pPr>
        <w:pStyle w:val="ListParagraph"/>
        <w:numPr>
          <w:ilvl w:val="0"/>
          <w:numId w:val="2"/>
        </w:numPr>
      </w:pPr>
      <w:r>
        <w:rPr>
          <w:rFonts w:ascii="Arial" w:cs="Arial" w:eastAsia="Arial" w:hAnsi="Arial"/>
          <w:sz w:val="22"/>
          <w:szCs w:val="22"/>
        </w:rPr>
        <w:t xml:space="preserve">Dishonesty, misrepresentation, or falsification that does not rise to the level of immediate termination</w:t>
      </w:r>
    </w:p>
    <w:p>
      <w:pPr>
        <w:pStyle w:val="ListParagraph"/>
        <w:numPr>
          <w:ilvl w:val="0"/>
          <w:numId w:val="2"/>
        </w:numPr>
      </w:pPr>
      <w:r>
        <w:rPr>
          <w:rFonts w:ascii="Arial" w:cs="Arial" w:eastAsia="Arial" w:hAnsi="Arial"/>
          <w:sz w:val="22"/>
          <w:szCs w:val="22"/>
        </w:rPr>
        <w:t xml:space="preserve">Conduct that creates legal or regulatory risk for the company</w:t>
      </w:r>
    </w:p>
    <w:p>
      <w:r>
        <w:rPr>
          <w:rFonts w:ascii="Arial" w:cs="Arial" w:eastAsia="Arial" w:hAnsi="Arial"/>
          <w:sz w:val="22"/>
          <w:szCs w:val="22"/>
        </w:rPr>
        <w:t xml:space="preserve">Use of the Accelerated path requires HR Director and VP-level business leader approval before issuance.</w:t>
      </w:r>
    </w:p>
    <w:p/>
    <w:p>
      <w:pPr>
        <w:pStyle w:val="Heading1"/>
      </w:pPr>
      <w:r>
        <w:rPr>
          <w:rFonts w:ascii="Arial" w:cs="Arial" w:eastAsia="Arial" w:hAnsi="Arial"/>
        </w:rPr>
        <w:t xml:space="preserve">.005 Immediate Termination</w:t>
      </w:r>
    </w:p>
    <w:p>
      <w:r>
        <w:rPr>
          <w:rFonts w:ascii="Arial" w:cs="Arial" w:eastAsia="Arial" w:hAnsi="Arial"/>
          <w:sz w:val="22"/>
          <w:szCs w:val="22"/>
        </w:rPr>
        <w:t xml:space="preserve">Certain violations warrant immediate termination without prior progressive steps, including workplace violence, theft, fraud, sexual assault, willful destruction of company property, possession of weapons or illegal drugs on premises, and disclosure of confidential information for personal gain.</w:t>
      </w:r>
    </w:p>
    <w:p/>
    <w:p>
      <w:pPr>
        <w:pStyle w:val="Heading1"/>
      </w:pPr>
      <w:r>
        <w:rPr>
          <w:rFonts w:ascii="Arial" w:cs="Arial" w:eastAsia="Arial" w:hAnsi="Arial"/>
        </w:rPr>
        <w:t xml:space="preserve">.006 Documentation Requirements</w:t>
      </w:r>
    </w:p>
    <w:p>
      <w:r>
        <w:rPr>
          <w:rFonts w:ascii="Arial" w:cs="Arial" w:eastAsia="Arial" w:hAnsi="Arial"/>
          <w:sz w:val="22"/>
          <w:szCs w:val="22"/>
        </w:rPr>
        <w:t xml:space="preserve">All corrective actions must be documented and stored in the employee's personnel file. Documentation must include the date of the discussion, description of the issue, prior steps taken, expectations going forward, and consequences if behavior does not improve. Employees must be given the opportunity to add a written response within 5 business days of receiving documentation.</w:t>
      </w:r>
    </w:p>
    <w:p/>
    <w:p>
      <w:pPr>
        <w:pStyle w:val="Heading1"/>
      </w:pPr>
      <w:r>
        <w:rPr>
          <w:rFonts w:ascii="Arial" w:cs="Arial" w:eastAsia="Arial" w:hAnsi="Arial"/>
        </w:rPr>
        <w:t xml:space="preserve">.007 HR Involvement</w:t>
      </w:r>
    </w:p>
    <w:p>
      <w:r>
        <w:rPr>
          <w:rFonts w:ascii="Arial" w:cs="Arial" w:eastAsia="Arial" w:hAnsi="Arial"/>
          <w:sz w:val="22"/>
          <w:szCs w:val="22"/>
        </w:rPr>
        <w:t xml:space="preserve">HR must be consulted before issuing a written warning or higher. All terminations require HR and Legal review. Managers may not issue corrective action in retaliation for protected activity.</w:t>
      </w:r>
    </w:p>
    <w:p/>
    <w:p>
      <w:pPr>
        <w:pStyle w:val="Heading1"/>
      </w:pPr>
      <w:r>
        <w:rPr>
          <w:rFonts w:ascii="Arial" w:cs="Arial" w:eastAsia="Arial" w:hAnsi="Arial"/>
        </w:rPr>
        <w:t xml:space="preserve">.008 Appeal Process</w:t>
      </w:r>
    </w:p>
    <w:p>
      <w:r>
        <w:rPr>
          <w:rFonts w:ascii="Arial" w:cs="Arial" w:eastAsia="Arial" w:hAnsi="Arial"/>
          <w:sz w:val="22"/>
          <w:szCs w:val="22"/>
        </w:rPr>
        <w:t xml:space="preserve">Employees may appeal a written warning or termination by submitting a written request to HR within 15 business days (extended from 10). Appeals are reviewed by HR and a senior leader not involved in the original decision. The appeal decision will be communicated within 10 business days of receipt (reduced from 15).</w:t>
      </w:r>
    </w:p>
    <w:p/>
    <w:p>
      <w:r>
        <w:rPr>
          <w:rFonts w:ascii="Arial" w:cs="Arial" w:eastAsia="Arial" w:hAnsi="Arial"/>
          <w:b/>
          <w:bCs/>
          <w:color w:val="1A3A4A"/>
          <w:sz w:val="24"/>
          <w:szCs w:val="24"/>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160"/>
        <w:gridCol w:w="5760"/>
      </w:tblGrid>
      <w:tr>
        <w:tc>
          <w:tcPr>
            <w:tcW w:type="dxa" w:w="1440"/>
            <w:tcBorders>
              <w:top w:val="single" w:color="CCCCCC" w:sz="1"/>
              <w:left w:val="single" w:color="CCCCCC" w:sz="1"/>
              <w:bottom w:val="single" w:color="CCCCCC" w:sz="1"/>
              <w:right w:val="single" w:color="CCCCCC" w:sz="1"/>
            </w:tcBorders>
            <w:shd w:fill="1A3A4A"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2160"/>
            <w:tcBorders>
              <w:top w:val="single" w:color="CCCCCC" w:sz="1"/>
              <w:left w:val="single" w:color="CCCCCC" w:sz="1"/>
              <w:bottom w:val="single" w:color="CCCCCC" w:sz="1"/>
              <w:right w:val="single" w:color="CCCCCC" w:sz="1"/>
            </w:tcBorders>
            <w:shd w:fill="1A3A4A"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5760"/>
            <w:tcBorders>
              <w:top w:val="single" w:color="CCCCCC" w:sz="1"/>
              <w:left w:val="single" w:color="CCCCCC" w:sz="1"/>
              <w:bottom w:val="single" w:color="CCCCCC" w:sz="1"/>
              <w:right w:val="single" w:color="CCCCCC" w:sz="1"/>
            </w:tcBorders>
            <w:shd w:fill="1A3A4A" w:val="clear"/>
            <w:tcMar>
              <w:top w:type="dxa" w:w="80"/>
              <w:left w:type="dxa" w:w="120"/>
              <w:bottom w:type="dxa" w:w="80"/>
              <w:right w:type="dxa" w:w="120"/>
            </w:tcMar>
          </w:tcPr>
          <w:p>
            <w:r>
              <w:rPr>
                <w:rFonts w:ascii="Arial" w:cs="Arial" w:eastAsia="Arial" w:hAnsi="Arial"/>
                <w:b/>
                <w:bCs/>
                <w:color w:val="FFFFFF"/>
                <w:sz w:val="20"/>
                <w:szCs w:val="20"/>
              </w:rPr>
              <w:t xml:space="preserve">Summary of Changes</w:t>
            </w:r>
          </w:p>
        </w:tc>
      </w:tr>
      <w:tr>
        <w:tc>
          <w:tcPr>
            <w:tcW w:type="dxa" w:w="14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1.0</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January 1, 2025</w:t>
            </w:r>
          </w:p>
        </w:tc>
        <w:tc>
          <w:tcPr>
            <w:tcW w:type="dxa" w:w="5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Initial release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January 1, 2026</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Accelerated Corrective Action path added (.004); appeal submission window extended to 15 days; appeal response SLA reduced to 10 days</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60"/>
      <w:outlineLvl w:val="0"/>
    </w:pPr>
    <w:rPr>
      <w:rFonts w:ascii="Arial" w:cs="Arial" w:eastAsia="Arial" w:hAnsi="Arial"/>
      <w:b/>
      <w:bCs/>
      <w:color w:val="1A3A4A"/>
      <w:sz w:val="32"/>
      <w:szCs w:val="32"/>
    </w:rPr>
  </w:style>
  <w:style w:type="paragraph" w:styleId="Heading2">
    <w:name w:val="Heading 2"/>
    <w:basedOn w:val="Normal"/>
    <w:next w:val="Normal"/>
    <w:qFormat/>
    <w:pPr>
      <w:spacing w:before="200" w:after="120"/>
      <w:outlineLvl w:val="1"/>
    </w:pPr>
    <w:rPr>
      <w:rFonts w:ascii="Arial" w:cs="Arial" w:eastAsia="Arial" w:hAnsi="Arial"/>
      <w:b/>
      <w:bCs/>
      <w:color w:val="1A3A4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2026-03-16T21:40:23.810Z</dcterms:created>
  <dcterms:modified xsi:type="dcterms:W3CDTF">2026-03-16T21:40:23.810Z</dcterms:modified>
</cp:coreProperties>
</file>

<file path=docProps/custom.xml><?xml version="1.0" encoding="utf-8"?>
<Properties xmlns="http://schemas.openxmlformats.org/officeDocument/2006/custom-properties" xmlns:vt="http://schemas.openxmlformats.org/officeDocument/2006/docPropsVTypes"/>
</file>