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Records Management Procedures</w:t>
      </w:r>
    </w:p>
    <w:p>
      <w:pPr>
        <w:jc w:val="center"/>
      </w:pPr>
      <w:r>
        <w:rPr>
          <w:rFonts w:ascii="Arial" w:cs="Arial" w:eastAsia="Arial" w:hAnsi="Arial"/>
          <w:color w:val="888888"/>
          <w:sz w:val="18"/>
          <w:szCs w:val="18"/>
        </w:rPr>
        <w:t xml:space="preserve">Policy Number: IT-4510  |  Effective: July 1, 2024  |  Owner: Records Management</w:t>
      </w:r>
    </w:p>
    <w:p/>
    <w:p>
      <w:pPr>
        <w:pStyle w:val="Heading1"/>
      </w:pPr>
      <w:r>
        <w:rPr>
          <w:rFonts w:ascii="Arial" w:cs="Arial" w:eastAsia="Arial" w:hAnsi="Arial"/>
        </w:rPr>
        <w:t xml:space="preserve">.001 Purpose</w:t>
      </w:r>
    </w:p>
    <w:p>
      <w:r>
        <w:rPr>
          <w:rFonts w:ascii="Arial" w:cs="Arial" w:eastAsia="Arial" w:hAnsi="Arial"/>
          <w:sz w:val="22"/>
          <w:szCs w:val="22"/>
        </w:rPr>
        <w:t xml:space="preserve">These procedures support the Data Retention and Records Management Policy (IT-4500) by providing practical guidance on how to classify, store, retrieve, and dispose of company records.</w:t>
      </w:r>
    </w:p>
    <w:p/>
    <w:p>
      <w:pPr>
        <w:pStyle w:val="Heading1"/>
      </w:pPr>
      <w:r>
        <w:rPr>
          <w:rFonts w:ascii="Arial" w:cs="Arial" w:eastAsia="Arial" w:hAnsi="Arial"/>
        </w:rPr>
        <w:t xml:space="preserve">.002 Record Classification</w:t>
      </w:r>
    </w:p>
    <w:p>
      <w:r>
        <w:rPr>
          <w:rFonts w:ascii="Arial" w:cs="Arial" w:eastAsia="Arial" w:hAnsi="Arial"/>
          <w:sz w:val="22"/>
          <w:szCs w:val="22"/>
        </w:rPr>
        <w:t xml:space="preserve">All records must be classified at creation. The four classification levels and their handling requirements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Handling Requirements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Public</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Press releases, job postings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restrictions; may share externally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Policies, org charts, meeting 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within company only; no external without approval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Confidential</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Contracts, financials, PII, IP</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Encrypt in transit and at rest; need-to-know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M&amp;A data, legal holds, trade secrets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access controls; Legal involvement required</w:t>
            </w:r>
          </w:p>
        </w:tc>
      </w:tr>
    </w:tbl>
    <w:p/>
    <w:p>
      <w:pPr>
        <w:pStyle w:val="Heading1"/>
      </w:pPr>
      <w:r>
        <w:rPr>
          <w:rFonts w:ascii="Arial" w:cs="Arial" w:eastAsia="Arial" w:hAnsi="Arial"/>
        </w:rPr>
        <w:t xml:space="preserve">.003 Storage Locations</w:t>
      </w:r>
    </w:p>
    <w:p>
      <w:r>
        <w:rPr>
          <w:rFonts w:ascii="Arial" w:cs="Arial" w:eastAsia="Arial" w:hAnsi="Arial"/>
          <w:sz w:val="22"/>
          <w:szCs w:val="22"/>
        </w:rPr>
        <w:t xml:space="preserve">Records must be stored in approved repositories only. Approved locations by record type:</w:t>
      </w:r>
    </w:p>
    <w:p>
      <w:pPr>
        <w:pStyle w:val="ListParagraph"/>
        <w:numPr>
          <w:ilvl w:val="0"/>
          <w:numId w:val="2"/>
        </w:numPr>
      </w:pPr>
      <w:r>
        <w:rPr>
          <w:rFonts w:ascii="Arial" w:cs="Arial" w:eastAsia="Arial" w:hAnsi="Arial"/>
          <w:sz w:val="22"/>
          <w:szCs w:val="22"/>
        </w:rPr>
        <w:t xml:space="preserve">Contracts and legal documents: Contract Management System (CMS) or SharePoint Legal Library</w:t>
      </w:r>
    </w:p>
    <w:p>
      <w:pPr>
        <w:pStyle w:val="ListParagraph"/>
        <w:numPr>
          <w:ilvl w:val="0"/>
          <w:numId w:val="2"/>
        </w:numPr>
      </w:pPr>
      <w:r>
        <w:rPr>
          <w:rFonts w:ascii="Arial" w:cs="Arial" w:eastAsia="Arial" w:hAnsi="Arial"/>
          <w:sz w:val="22"/>
          <w:szCs w:val="22"/>
        </w:rPr>
        <w:t xml:space="preserve">HR records: HRIS and HR secure file share (no local storage)</w:t>
      </w:r>
    </w:p>
    <w:p>
      <w:pPr>
        <w:pStyle w:val="ListParagraph"/>
        <w:numPr>
          <w:ilvl w:val="0"/>
          <w:numId w:val="2"/>
        </w:numPr>
      </w:pPr>
      <w:r>
        <w:rPr>
          <w:rFonts w:ascii="Arial" w:cs="Arial" w:eastAsia="Arial" w:hAnsi="Arial"/>
          <w:sz w:val="22"/>
          <w:szCs w:val="22"/>
        </w:rPr>
        <w:t xml:space="preserve">Financial records: ERP system and Finance SharePoint</w:t>
      </w:r>
    </w:p>
    <w:p>
      <w:pPr>
        <w:pStyle w:val="ListParagraph"/>
        <w:numPr>
          <w:ilvl w:val="0"/>
          <w:numId w:val="2"/>
        </w:numPr>
      </w:pPr>
      <w:r>
        <w:rPr>
          <w:rFonts w:ascii="Arial" w:cs="Arial" w:eastAsia="Arial" w:hAnsi="Arial"/>
          <w:sz w:val="22"/>
          <w:szCs w:val="22"/>
        </w:rPr>
        <w:t xml:space="preserve">Project and client deliverables: Approved project management tool or SharePoint</w:t>
      </w:r>
    </w:p>
    <w:p>
      <w:pPr>
        <w:pStyle w:val="ListParagraph"/>
        <w:numPr>
          <w:ilvl w:val="0"/>
          <w:numId w:val="2"/>
        </w:numPr>
      </w:pPr>
      <w:r>
        <w:rPr>
          <w:rFonts w:ascii="Arial" w:cs="Arial" w:eastAsia="Arial" w:hAnsi="Arial"/>
          <w:sz w:val="22"/>
          <w:szCs w:val="22"/>
        </w:rPr>
        <w:t xml:space="preserve">Email: Company email system — do not forward to personal accounts</w:t>
      </w:r>
    </w:p>
    <w:p/>
    <w:p>
      <w:pPr>
        <w:pStyle w:val="Heading1"/>
      </w:pPr>
      <w:r>
        <w:rPr>
          <w:rFonts w:ascii="Arial" w:cs="Arial" w:eastAsia="Arial" w:hAnsi="Arial"/>
        </w:rPr>
        <w:t xml:space="preserve">.004 Naming Conventions</w:t>
      </w:r>
    </w:p>
    <w:p>
      <w:r>
        <w:rPr>
          <w:rFonts w:ascii="Arial" w:cs="Arial" w:eastAsia="Arial" w:hAnsi="Arial"/>
          <w:sz w:val="22"/>
          <w:szCs w:val="22"/>
        </w:rPr>
        <w:t xml:space="preserve">Files must follow the standard naming convention: [YYYY-MM-DD]_[DocumentType]_[Subject]_[Version]. Example: 2025-03-15_Contract_VendorABC_v2.pdf. Avoid special characters other than hyphens and underscores.</w:t>
      </w:r>
    </w:p>
    <w:p/>
    <w:p>
      <w:pPr>
        <w:pStyle w:val="Heading1"/>
      </w:pPr>
      <w:r>
        <w:rPr>
          <w:rFonts w:ascii="Arial" w:cs="Arial" w:eastAsia="Arial" w:hAnsi="Arial"/>
        </w:rPr>
        <w:t xml:space="preserve">.005 Retrieval and Access</w:t>
      </w:r>
    </w:p>
    <w:p>
      <w:r>
        <w:rPr>
          <w:rFonts w:ascii="Arial" w:cs="Arial" w:eastAsia="Arial" w:hAnsi="Arial"/>
          <w:sz w:val="22"/>
          <w:szCs w:val="22"/>
        </w:rPr>
        <w:t xml:space="preserve">Access to records is granted on a need-to-know basis. Requests for access to confidential or restricted records require manager approval and are submitted through the IT access management portal. Access logs for restricted records are reviewed quarterly by Records Management and IT Security.</w:t>
      </w:r>
    </w:p>
    <w:p/>
    <w:p>
      <w:pPr>
        <w:pStyle w:val="Heading1"/>
      </w:pPr>
      <w:r>
        <w:rPr>
          <w:rFonts w:ascii="Arial" w:cs="Arial" w:eastAsia="Arial" w:hAnsi="Arial"/>
        </w:rPr>
        <w:t xml:space="preserve">.006 Disposal Procedures</w:t>
      </w:r>
    </w:p>
    <w:p>
      <w:r>
        <w:rPr>
          <w:rFonts w:ascii="Arial" w:cs="Arial" w:eastAsia="Arial" w:hAnsi="Arial"/>
          <w:sz w:val="22"/>
          <w:szCs w:val="22"/>
        </w:rPr>
        <w:t xml:space="preserve">Upon reaching the end of their retention period and in the absence of a litigation hold, records must be disposed of as follows: electronic files — submit a deletion request to IT using the Records Disposal Request form; paper documents — deposit in locked shred bins located on each floor; physical media — submit to IT for certified destruction. Disposal must be documented in the Records Disposal 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2026-03-16T20:42:16.817Z</dcterms:created>
  <dcterms:modified xsi:type="dcterms:W3CDTF">2026-03-16T20:42:16.817Z</dcterms:modified>
</cp:coreProperties>
</file>

<file path=docProps/custom.xml><?xml version="1.0" encoding="utf-8"?>
<Properties xmlns="http://schemas.openxmlformats.org/officeDocument/2006/custom-properties" xmlns:vt="http://schemas.openxmlformats.org/officeDocument/2006/docPropsVTypes"/>
</file>