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Recruitment and Hiring Policy</w:t>
      </w:r>
    </w:p>
    <w:p>
      <w:pPr>
        <w:jc w:val="center"/>
      </w:pPr>
      <w:r>
        <w:rPr>
          <w:rFonts w:ascii="Arial" w:cs="Arial" w:eastAsia="Arial" w:hAnsi="Arial"/>
          <w:color w:val="888888"/>
          <w:sz w:val="18"/>
          <w:szCs w:val="18"/>
        </w:rPr>
        <w:t xml:space="preserve">Policy Number: HR-1100  |  Effective: March 1, 2025  |  Owner: Talent Acquisition / HR</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a consistent, equitable, and legally compliant process for recruiting and selecting employees. It ensures hiring decisions are based on merit, relevant qualifications, and business need.</w:t>
      </w:r>
    </w:p>
    <w:p/>
    <w:p>
      <w:pPr>
        <w:pStyle w:val="Heading1"/>
      </w:pPr>
      <w:r>
        <w:rPr>
          <w:rFonts w:ascii="Arial" w:cs="Arial" w:eastAsia="Arial" w:hAnsi="Arial"/>
        </w:rPr>
        <w:t xml:space="preserve">.002 Scope</w:t>
      </w:r>
    </w:p>
    <w:p>
      <w:r>
        <w:rPr>
          <w:rFonts w:ascii="Arial" w:cs="Arial" w:eastAsia="Arial" w:hAnsi="Arial"/>
          <w:sz w:val="22"/>
          <w:szCs w:val="22"/>
        </w:rPr>
        <w:t xml:space="preserve">Applies to all full-time, part-time, and fixed-term hiring across all U.S. locations and remote positions. Contractor and contingent worker engagements are covered by the Vendor Management Policy (PROC-2800).</w:t>
      </w:r>
    </w:p>
    <w:p/>
    <w:p>
      <w:pPr>
        <w:pStyle w:val="Heading1"/>
      </w:pPr>
      <w:r>
        <w:rPr>
          <w:rFonts w:ascii="Arial" w:cs="Arial" w:eastAsia="Arial" w:hAnsi="Arial"/>
        </w:rPr>
        <w:t xml:space="preserve">.003 Requisition and Approval</w:t>
      </w:r>
    </w:p>
    <w:p>
      <w:r>
        <w:rPr>
          <w:rFonts w:ascii="Arial" w:cs="Arial" w:eastAsia="Arial" w:hAnsi="Arial"/>
          <w:sz w:val="22"/>
          <w:szCs w:val="22"/>
        </w:rPr>
        <w:t xml:space="preserve">All open positions must be supported by an approved headcount requisition (req) before recruiting begins. Requisitions require:</w:t>
      </w:r>
    </w:p>
    <w:p>
      <w:pPr>
        <w:pStyle w:val="ListParagraph"/>
        <w:numPr>
          <w:ilvl w:val="0"/>
          <w:numId w:val="2"/>
        </w:numPr>
      </w:pPr>
      <w:r>
        <w:rPr>
          <w:rFonts w:ascii="Arial" w:cs="Arial" w:eastAsia="Arial" w:hAnsi="Arial"/>
          <w:sz w:val="22"/>
          <w:szCs w:val="22"/>
        </w:rPr>
        <w:t xml:space="preserve">Direct manager initiation in the ATS (Applicant Tracking System)</w:t>
      </w:r>
    </w:p>
    <w:p>
      <w:pPr>
        <w:pStyle w:val="ListParagraph"/>
        <w:numPr>
          <w:ilvl w:val="0"/>
          <w:numId w:val="2"/>
        </w:numPr>
      </w:pPr>
      <w:r>
        <w:rPr>
          <w:rFonts w:ascii="Arial" w:cs="Arial" w:eastAsia="Arial" w:hAnsi="Arial"/>
          <w:sz w:val="22"/>
          <w:szCs w:val="22"/>
        </w:rPr>
        <w:t xml:space="preserve">Department head approval for backfills; VP approval for net-new headcount</w:t>
      </w:r>
    </w:p>
    <w:p>
      <w:pPr>
        <w:pStyle w:val="ListParagraph"/>
        <w:numPr>
          <w:ilvl w:val="0"/>
          <w:numId w:val="2"/>
        </w:numPr>
      </w:pPr>
      <w:r>
        <w:rPr>
          <w:rFonts w:ascii="Arial" w:cs="Arial" w:eastAsia="Arial" w:hAnsi="Arial"/>
          <w:sz w:val="22"/>
          <w:szCs w:val="22"/>
        </w:rPr>
        <w:t xml:space="preserve">Finance sign-off confirming budget availability</w:t>
      </w:r>
    </w:p>
    <w:p>
      <w:pPr>
        <w:pStyle w:val="ListParagraph"/>
        <w:numPr>
          <w:ilvl w:val="0"/>
          <w:numId w:val="2"/>
        </w:numPr>
      </w:pPr>
      <w:r>
        <w:rPr>
          <w:rFonts w:ascii="Arial" w:cs="Arial" w:eastAsia="Arial" w:hAnsi="Arial"/>
          <w:sz w:val="22"/>
          <w:szCs w:val="22"/>
        </w:rPr>
        <w:t xml:space="preserve">Compensation band confirmation from HR/Total Rewards</w:t>
      </w:r>
    </w:p>
    <w:p/>
    <w:p>
      <w:pPr>
        <w:pStyle w:val="Heading1"/>
      </w:pPr>
      <w:r>
        <w:rPr>
          <w:rFonts w:ascii="Arial" w:cs="Arial" w:eastAsia="Arial" w:hAnsi="Arial"/>
        </w:rPr>
        <w:t xml:space="preserve">.004 Job Postings</w:t>
      </w:r>
    </w:p>
    <w:p>
      <w:r>
        <w:rPr>
          <w:rFonts w:ascii="Arial" w:cs="Arial" w:eastAsia="Arial" w:hAnsi="Arial"/>
          <w:sz w:val="22"/>
          <w:szCs w:val="22"/>
        </w:rPr>
        <w:t xml:space="preserve">All open roles must be posted internally for a minimum of 5 business days before or concurrent with external posting. Job descriptions must be reviewed by HR for inclusive language, accurate requirements, and compliance with applicable law. Posting on external platforms is coordinated by the Talent Acquisition team.</w:t>
      </w:r>
    </w:p>
    <w:p/>
    <w:p>
      <w:pPr>
        <w:pStyle w:val="Heading1"/>
      </w:pPr>
      <w:r>
        <w:rPr>
          <w:rFonts w:ascii="Arial" w:cs="Arial" w:eastAsia="Arial" w:hAnsi="Arial"/>
        </w:rPr>
        <w:t xml:space="preserve">.005 Interview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80"/>
            <w:tcBorders>
              <w:top w:val="single" w:color="CCCCCC" w:sz="1"/>
              <w:left w:val="single" w:color="CCCCCC" w:sz="1"/>
              <w:bottom w:val="single" w:color="CCCCCC" w:sz="1"/>
              <w:right w:val="single" w:color="CCCCCC" w:sz="1"/>
            </w:tcBorders>
            <w:shd w:fill="1A3A4A" w:val="clear"/>
            <w:tcMar>
              <w:top w:type="dxa" w:w="80"/>
              <w:left w:type="dxa" w:w="120"/>
              <w:bottom w:type="dxa" w:w="80"/>
              <w:right w:type="dxa" w:w="120"/>
            </w:tcMar>
          </w:tcPr>
          <w:p>
            <w:r>
              <w:rPr>
                <w:rFonts w:ascii="Arial" w:cs="Arial" w:eastAsia="Arial" w:hAnsi="Arial"/>
                <w:b/>
                <w:bCs/>
                <w:color w:val="FFFFFF"/>
                <w:sz w:val="20"/>
                <w:szCs w:val="20"/>
              </w:rPr>
              <w:t xml:space="preserve">Conducted By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Screen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30-min phone/video</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Recruiter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Hiring Manager Interview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45–60 min structured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Hiring Manager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Panel Interview</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3–4 interviewers; structured questions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Cross-functional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 (if applicable)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Skills/take-home exercise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Hiring team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Final / Executive</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30 min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Director or VP</w:t>
            </w:r>
          </w:p>
        </w:tc>
      </w:tr>
    </w:tbl>
    <w:p/>
    <w:p>
      <w:pPr>
        <w:pStyle w:val="Heading1"/>
      </w:pPr>
      <w:r>
        <w:rPr>
          <w:rFonts w:ascii="Arial" w:cs="Arial" w:eastAsia="Arial" w:hAnsi="Arial"/>
        </w:rPr>
        <w:t xml:space="preserve">.006 Offer and Pre-Employment</w:t>
      </w:r>
    </w:p>
    <w:p>
      <w:r>
        <w:rPr>
          <w:rFonts w:ascii="Arial" w:cs="Arial" w:eastAsia="Arial" w:hAnsi="Arial"/>
          <w:sz w:val="22"/>
          <w:szCs w:val="22"/>
        </w:rPr>
        <w:t xml:space="preserve">Verbal offers may be extended by the hiring manager following Recruiter guidance. Written offers are generated by HR/Talent Acquisition and require department head countersignature. All offers are contingent on successful completion of:</w:t>
      </w:r>
    </w:p>
    <w:p>
      <w:pPr>
        <w:pStyle w:val="ListParagraph"/>
        <w:numPr>
          <w:ilvl w:val="0"/>
          <w:numId w:val="2"/>
        </w:numPr>
      </w:pPr>
      <w:r>
        <w:rPr>
          <w:rFonts w:ascii="Arial" w:cs="Arial" w:eastAsia="Arial" w:hAnsi="Arial"/>
          <w:sz w:val="22"/>
          <w:szCs w:val="22"/>
        </w:rPr>
        <w:t xml:space="preserve">Identity and work authorization verification (I-9)</w:t>
      </w:r>
    </w:p>
    <w:p>
      <w:pPr>
        <w:pStyle w:val="ListParagraph"/>
        <w:numPr>
          <w:ilvl w:val="0"/>
          <w:numId w:val="2"/>
        </w:numPr>
      </w:pPr>
      <w:r>
        <w:rPr>
          <w:rFonts w:ascii="Arial" w:cs="Arial" w:eastAsia="Arial" w:hAnsi="Arial"/>
          <w:sz w:val="22"/>
          <w:szCs w:val="22"/>
        </w:rPr>
        <w:t xml:space="preserve">Background check (scope varies by role level and access requirements)</w:t>
      </w:r>
    </w:p>
    <w:p>
      <w:pPr>
        <w:pStyle w:val="ListParagraph"/>
        <w:numPr>
          <w:ilvl w:val="0"/>
          <w:numId w:val="2"/>
        </w:numPr>
      </w:pPr>
      <w:r>
        <w:rPr>
          <w:rFonts w:ascii="Arial" w:cs="Arial" w:eastAsia="Arial" w:hAnsi="Arial"/>
          <w:sz w:val="22"/>
          <w:szCs w:val="22"/>
        </w:rPr>
        <w:t xml:space="preserve">Reference checks (minimum two professional references)</w:t>
      </w:r>
    </w:p>
    <w:p/>
    <w:p>
      <w:pPr>
        <w:pStyle w:val="Heading1"/>
      </w:pPr>
      <w:r>
        <w:rPr>
          <w:rFonts w:ascii="Arial" w:cs="Arial" w:eastAsia="Arial" w:hAnsi="Arial"/>
        </w:rPr>
        <w:t xml:space="preserve">.007 Equal Employment Opportunity</w:t>
      </w:r>
    </w:p>
    <w:p>
      <w:r>
        <w:rPr>
          <w:rFonts w:ascii="Arial" w:cs="Arial" w:eastAsia="Arial" w:hAnsi="Arial"/>
          <w:sz w:val="22"/>
          <w:szCs w:val="22"/>
        </w:rPr>
        <w:t xml:space="preserve">The company is an equal opportunity employer. Hiring decisions must not be influenced by race, color, religion, sex, national origin, age, disability, genetic information, veteran status, or any other characteristic protected by law. All interviewers must complete EEO and structured interviewing training before participating in a panel.</w:t>
      </w:r>
    </w:p>
    <w:p/>
    <w:p>
      <w:pPr>
        <w:pStyle w:val="Heading1"/>
      </w:pPr>
      <w:r>
        <w:rPr>
          <w:rFonts w:ascii="Arial" w:cs="Arial" w:eastAsia="Arial" w:hAnsi="Arial"/>
        </w:rPr>
        <w:t xml:space="preserve">.008 Referrals</w:t>
      </w:r>
    </w:p>
    <w:p>
      <w:r>
        <w:rPr>
          <w:rFonts w:ascii="Arial" w:cs="Arial" w:eastAsia="Arial" w:hAnsi="Arial"/>
          <w:sz w:val="22"/>
          <w:szCs w:val="22"/>
        </w:rPr>
        <w:t xml:space="preserve">Employee referrals are encouraged. Referral bonuses are paid per the Referral Bonus Schedule published on the HR portal. Employees must disclose referral relationships before an interview is scheduled. Hiring managers may not interview or be the sole decision-maker for a direct family member.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2026-03-16T20:37:01.621Z</dcterms:created>
  <dcterms:modified xsi:type="dcterms:W3CDTF">2026-03-16T20:37:01.621Z</dcterms:modified>
</cp:coreProperties>
</file>

<file path=docProps/custom.xml><?xml version="1.0" encoding="utf-8"?>
<Properties xmlns="http://schemas.openxmlformats.org/officeDocument/2006/custom-properties" xmlns:vt="http://schemas.openxmlformats.org/officeDocument/2006/docPropsVTypes"/>
</file>