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Remote Work Policy</w:t>
      </w:r>
    </w:p>
    <w:p>
      <w:pPr>
        <w:jc w:val="center"/>
      </w:pPr>
      <w:r>
        <w:rPr>
          <w:rFonts w:ascii="Arial" w:cs="Arial" w:eastAsia="Arial" w:hAnsi="Arial"/>
          <w:color w:val="888888"/>
          <w:sz w:val="18"/>
          <w:szCs w:val="18"/>
        </w:rPr>
        <w:t xml:space="preserve">Policy Number: HR-2200  |  Version: 2.0  |  Effective: January 1, 2026  |  Owner: HR/People Operations</w:t>
      </w:r>
    </w:p>
    <w:p>
      <w:pPr>
        <w:jc w:val="center"/>
      </w:pPr>
      <w:r>
        <w:rPr>
          <w:rFonts w:ascii="Arial" w:cs="Arial" w:eastAsia="Arial" w:hAnsi="Arial"/>
          <w:i/>
          <w:iCs/>
          <w:color w:val="AA3333"/>
          <w:sz w:val="16"/>
          <w:szCs w:val="16"/>
        </w:rPr>
        <w:t xml:space="preserve">Supersedes Version 1.0 (January 1, 2025)</w:t>
      </w:r>
    </w:p>
    <w:p/>
    <w:p>
      <w:pPr>
        <w:pStyle w:val="Heading1"/>
      </w:pPr>
      <w:r>
        <w:rPr>
          <w:rFonts w:ascii="Arial" w:cs="Arial" w:eastAsia="Arial" w:hAnsi="Arial"/>
        </w:rPr>
        <w:t xml:space="preserve">.001 Purpose and Scope</w:t>
      </w:r>
    </w:p>
    <w:p>
      <w:r>
        <w:rPr>
          <w:rFonts w:ascii="Arial" w:cs="Arial" w:eastAsia="Arial" w:hAnsi="Arial"/>
          <w:sz w:val="22"/>
          <w:szCs w:val="22"/>
        </w:rPr>
        <w:t xml:space="preserve">This policy establishes guidelines for remote and hybrid work arrangements across all U.S.-based employees. It ensures operational continuity, productivity standards, data security, and equity across work locations. Version 2.0 expands eligibility criteria, raises minimum technical requirements, and adds provisions for international remote work.</w:t>
      </w:r>
    </w:p>
    <w:p/>
    <w:p>
      <w:pPr>
        <w:pStyle w:val="Heading1"/>
      </w:pPr>
      <w:r>
        <w:rPr>
          <w:rFonts w:ascii="Arial" w:cs="Arial" w:eastAsia="Arial" w:hAnsi="Arial"/>
        </w:rPr>
        <w:t xml:space="preserve">.002 Eligibility</w:t>
      </w:r>
    </w:p>
    <w:p>
      <w:r>
        <w:rPr>
          <w:rFonts w:ascii="Arial" w:cs="Arial" w:eastAsia="Arial" w:hAnsi="Arial"/>
          <w:sz w:val="22"/>
          <w:szCs w:val="22"/>
        </w:rPr>
        <w:t xml:space="preserve">Remote work eligibility is determined by role, performance standing, and business need. Employees must:</w:t>
      </w:r>
    </w:p>
    <w:p>
      <w:pPr>
        <w:pStyle w:val="ListParagraph"/>
        <w:numPr>
          <w:ilvl w:val="0"/>
          <w:numId w:val="2"/>
        </w:numPr>
      </w:pPr>
      <w:r>
        <w:rPr>
          <w:rFonts w:ascii="Arial" w:cs="Arial" w:eastAsia="Arial" w:hAnsi="Arial"/>
          <w:sz w:val="22"/>
          <w:szCs w:val="22"/>
        </w:rPr>
        <w:t xml:space="preserve">Be in good standing with no active corrective action plans</w:t>
      </w:r>
    </w:p>
    <w:p>
      <w:pPr>
        <w:pStyle w:val="ListParagraph"/>
        <w:numPr>
          <w:ilvl w:val="0"/>
          <w:numId w:val="2"/>
        </w:numPr>
      </w:pPr>
      <w:r>
        <w:rPr>
          <w:rFonts w:ascii="Arial" w:cs="Arial" w:eastAsia="Arial" w:hAnsi="Arial"/>
          <w:sz w:val="22"/>
          <w:szCs w:val="22"/>
        </w:rPr>
        <w:t xml:space="preserve">Have completed at least 60 days of employment (reduced from 90 days)</w:t>
      </w:r>
    </w:p>
    <w:p>
      <w:pPr>
        <w:pStyle w:val="ListParagraph"/>
        <w:numPr>
          <w:ilvl w:val="0"/>
          <w:numId w:val="2"/>
        </w:numPr>
      </w:pPr>
      <w:r>
        <w:rPr>
          <w:rFonts w:ascii="Arial" w:cs="Arial" w:eastAsia="Arial" w:hAnsi="Arial"/>
          <w:sz w:val="22"/>
          <w:szCs w:val="22"/>
        </w:rPr>
        <w:t xml:space="preserve">Hold a role designated as remote-eligible by their department head</w:t>
      </w:r>
    </w:p>
    <w:p>
      <w:pPr>
        <w:pStyle w:val="ListParagraph"/>
        <w:numPr>
          <w:ilvl w:val="0"/>
          <w:numId w:val="2"/>
        </w:numPr>
      </w:pPr>
      <w:r>
        <w:rPr>
          <w:rFonts w:ascii="Arial" w:cs="Arial" w:eastAsia="Arial" w:hAnsi="Arial"/>
          <w:sz w:val="22"/>
          <w:szCs w:val="22"/>
        </w:rPr>
        <w:t xml:space="preserve">Maintain a workspace that meets the minimum standards in Section .006</w:t>
      </w:r>
    </w:p>
    <w:p>
      <w:pPr>
        <w:pStyle w:val="ListParagraph"/>
        <w:numPr>
          <w:ilvl w:val="0"/>
          <w:numId w:val="2"/>
        </w:numPr>
      </w:pPr>
      <w:r>
        <w:rPr>
          <w:rFonts w:ascii="Arial" w:cs="Arial" w:eastAsia="Arial" w:hAnsi="Arial"/>
          <w:sz w:val="22"/>
          <w:szCs w:val="22"/>
        </w:rPr>
        <w:t xml:space="preserve">Complete the Remote Work Readiness Assessment in the HR portal before activation</w:t>
      </w:r>
    </w:p>
    <w:p/>
    <w:p>
      <w:pPr>
        <w:pStyle w:val="Heading1"/>
      </w:pPr>
      <w:r>
        <w:rPr>
          <w:rFonts w:ascii="Arial" w:cs="Arial" w:eastAsia="Arial" w:hAnsi="Arial"/>
        </w:rPr>
        <w:t xml:space="preserve">.003 Arrangement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On-site Expectation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Remote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regular on-site requirement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As needed, with advance notice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Designated on-site days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days/week or per team schedule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Flexible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on-site; occasional remote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3–5 days/week</w:t>
            </w:r>
          </w:p>
        </w:tc>
      </w:tr>
    </w:tbl>
    <w:p/>
    <w:p>
      <w:pPr>
        <w:pStyle w:val="Heading1"/>
      </w:pPr>
      <w:r>
        <w:rPr>
          <w:rFonts w:ascii="Arial" w:cs="Arial" w:eastAsia="Arial" w:hAnsi="Arial"/>
        </w:rPr>
        <w:t xml:space="preserve">.004 Manager Approval and Documentation</w:t>
      </w:r>
    </w:p>
    <w:p>
      <w:r>
        <w:rPr>
          <w:rFonts w:ascii="Arial" w:cs="Arial" w:eastAsia="Arial" w:hAnsi="Arial"/>
          <w:sz w:val="22"/>
          <w:szCs w:val="22"/>
        </w:rPr>
        <w:t xml:space="preserve">All remote arrangements must be documented in the HR system and approved by the direct manager and department head. Approval is not permanent; arrangements may be modified based on business need, performance, or role changes with at least 21 days written notice (reduced from 30 days for operational flexibility).</w:t>
      </w:r>
    </w:p>
    <w:p/>
    <w:p>
      <w:pPr>
        <w:pStyle w:val="Heading1"/>
      </w:pPr>
      <w:r>
        <w:rPr>
          <w:rFonts w:ascii="Arial" w:cs="Arial" w:eastAsia="Arial" w:hAnsi="Arial"/>
        </w:rPr>
        <w:t xml:space="preserve">.005 Work Hours and Availability</w:t>
      </w:r>
    </w:p>
    <w:p>
      <w:r>
        <w:rPr>
          <w:rFonts w:ascii="Arial" w:cs="Arial" w:eastAsia="Arial" w:hAnsi="Arial"/>
          <w:sz w:val="22"/>
          <w:szCs w:val="22"/>
        </w:rPr>
        <w:t xml:space="preserve">Remote employees must maintain core availability hours of 10:00 AM – 3:00 PM in their primary time zone. Employees must:</w:t>
      </w:r>
    </w:p>
    <w:p>
      <w:pPr>
        <w:pStyle w:val="ListParagraph"/>
        <w:numPr>
          <w:ilvl w:val="0"/>
          <w:numId w:val="2"/>
        </w:numPr>
      </w:pPr>
      <w:r>
        <w:rPr>
          <w:rFonts w:ascii="Arial" w:cs="Arial" w:eastAsia="Arial" w:hAnsi="Arial"/>
          <w:sz w:val="22"/>
          <w:szCs w:val="22"/>
        </w:rPr>
        <w:t xml:space="preserve">Be reachable via company-approved communication tools during core hours</w:t>
      </w:r>
    </w:p>
    <w:p>
      <w:pPr>
        <w:pStyle w:val="ListParagraph"/>
        <w:numPr>
          <w:ilvl w:val="0"/>
          <w:numId w:val="2"/>
        </w:numPr>
      </w:pPr>
      <w:r>
        <w:rPr>
          <w:rFonts w:ascii="Arial" w:cs="Arial" w:eastAsia="Arial" w:hAnsi="Arial"/>
          <w:sz w:val="22"/>
          <w:szCs w:val="22"/>
        </w:rPr>
        <w:t xml:space="preserve">Attend all scheduled meetings unless an approved conflict exists</w:t>
      </w:r>
    </w:p>
    <w:p>
      <w:pPr>
        <w:pStyle w:val="ListParagraph"/>
        <w:numPr>
          <w:ilvl w:val="0"/>
          <w:numId w:val="2"/>
        </w:numPr>
      </w:pPr>
      <w:r>
        <w:rPr>
          <w:rFonts w:ascii="Arial" w:cs="Arial" w:eastAsia="Arial" w:hAnsi="Arial"/>
          <w:sz w:val="22"/>
          <w:szCs w:val="22"/>
        </w:rPr>
        <w:t xml:space="preserve">Record time accurately per the Time Reporting Policy (HR-1800)</w:t>
      </w:r>
    </w:p>
    <w:p>
      <w:pPr>
        <w:pStyle w:val="ListParagraph"/>
        <w:numPr>
          <w:ilvl w:val="0"/>
          <w:numId w:val="2"/>
        </w:numPr>
      </w:pPr>
      <w:r>
        <w:rPr>
          <w:rFonts w:ascii="Arial" w:cs="Arial" w:eastAsia="Arial" w:hAnsi="Arial"/>
          <w:sz w:val="22"/>
          <w:szCs w:val="22"/>
        </w:rPr>
        <w:t xml:space="preserve">Notify their manager of any same-day availability changes</w:t>
      </w:r>
    </w:p>
    <w:p>
      <w:pPr>
        <w:pStyle w:val="ListParagraph"/>
        <w:numPr>
          <w:ilvl w:val="0"/>
          <w:numId w:val="2"/>
        </w:numPr>
      </w:pPr>
      <w:r>
        <w:rPr>
          <w:rFonts w:ascii="Arial" w:cs="Arial" w:eastAsia="Arial" w:hAnsi="Arial"/>
          <w:sz w:val="22"/>
          <w:szCs w:val="22"/>
        </w:rPr>
        <w:t xml:space="preserve">Respond to messages within 2 hours during core hours</w:t>
      </w:r>
    </w:p>
    <w:p/>
    <w:p>
      <w:pPr>
        <w:pStyle w:val="Heading1"/>
      </w:pPr>
      <w:r>
        <w:rPr>
          <w:rFonts w:ascii="Arial" w:cs="Arial" w:eastAsia="Arial" w:hAnsi="Arial"/>
        </w:rPr>
        <w:t xml:space="preserve">.006 Workspace Standards</w:t>
      </w:r>
    </w:p>
    <w:p>
      <w:r>
        <w:rPr>
          <w:rFonts w:ascii="Arial" w:cs="Arial" w:eastAsia="Arial" w:hAnsi="Arial"/>
          <w:sz w:val="22"/>
          <w:szCs w:val="22"/>
        </w:rPr>
        <w:t xml:space="preserve">Employees working remotely are responsible for maintaining a workspace that is:</w:t>
      </w:r>
    </w:p>
    <w:p>
      <w:pPr>
        <w:pStyle w:val="ListParagraph"/>
        <w:numPr>
          <w:ilvl w:val="0"/>
          <w:numId w:val="2"/>
        </w:numPr>
      </w:pPr>
      <w:r>
        <w:rPr>
          <w:rFonts w:ascii="Arial" w:cs="Arial" w:eastAsia="Arial" w:hAnsi="Arial"/>
          <w:sz w:val="22"/>
          <w:szCs w:val="22"/>
        </w:rPr>
        <w:t xml:space="preserve">Ergonomically safe and free from recognized hazards</w:t>
      </w:r>
    </w:p>
    <w:p>
      <w:pPr>
        <w:pStyle w:val="ListParagraph"/>
        <w:numPr>
          <w:ilvl w:val="0"/>
          <w:numId w:val="2"/>
        </w:numPr>
      </w:pPr>
      <w:r>
        <w:rPr>
          <w:rFonts w:ascii="Arial" w:cs="Arial" w:eastAsia="Arial" w:hAnsi="Arial"/>
          <w:sz w:val="22"/>
          <w:szCs w:val="22"/>
        </w:rPr>
        <w:t xml:space="preserve">Private enough to conduct confidential calls and protect sensitive information</w:t>
      </w:r>
    </w:p>
    <w:p>
      <w:pPr>
        <w:pStyle w:val="ListParagraph"/>
        <w:numPr>
          <w:ilvl w:val="0"/>
          <w:numId w:val="2"/>
        </w:numPr>
      </w:pPr>
      <w:r>
        <w:rPr>
          <w:rFonts w:ascii="Arial" w:cs="Arial" w:eastAsia="Arial" w:hAnsi="Arial"/>
          <w:sz w:val="22"/>
          <w:szCs w:val="22"/>
        </w:rPr>
        <w:t xml:space="preserve">Equipped with reliable internet (minimum 50 Mbps download / 20 Mbps upload — increased from 25/10)</w:t>
      </w:r>
    </w:p>
    <w:p>
      <w:pPr>
        <w:pStyle w:val="ListParagraph"/>
        <w:numPr>
          <w:ilvl w:val="0"/>
          <w:numId w:val="2"/>
        </w:numPr>
      </w:pPr>
      <w:r>
        <w:rPr>
          <w:rFonts w:ascii="Arial" w:cs="Arial" w:eastAsia="Arial" w:hAnsi="Arial"/>
          <w:sz w:val="22"/>
          <w:szCs w:val="22"/>
        </w:rPr>
        <w:t xml:space="preserve">Compliant with all information security requirements (see IT Security Policy IT-3100)</w:t>
      </w:r>
    </w:p>
    <w:p>
      <w:pPr>
        <w:pStyle w:val="ListParagraph"/>
        <w:numPr>
          <w:ilvl w:val="0"/>
          <w:numId w:val="2"/>
        </w:numPr>
      </w:pPr>
      <w:r>
        <w:rPr>
          <w:rFonts w:ascii="Arial" w:cs="Arial" w:eastAsia="Arial" w:hAnsi="Arial"/>
          <w:sz w:val="22"/>
          <w:szCs w:val="22"/>
        </w:rPr>
        <w:t xml:space="preserve">Backed by a secondary internet connection or mobile hotspot for business-critical roles</w:t>
      </w:r>
    </w:p>
    <w:p/>
    <w:p>
      <w:pPr>
        <w:pStyle w:val="Heading1"/>
      </w:pPr>
      <w:r>
        <w:rPr>
          <w:rFonts w:ascii="Arial" w:cs="Arial" w:eastAsia="Arial" w:hAnsi="Arial"/>
        </w:rPr>
        <w:t xml:space="preserve">.007 Equipment and Expenses</w:t>
      </w:r>
    </w:p>
    <w:p>
      <w:r>
        <w:rPr>
          <w:rFonts w:ascii="Arial" w:cs="Arial" w:eastAsia="Arial" w:hAnsi="Arial"/>
          <w:sz w:val="22"/>
          <w:szCs w:val="22"/>
        </w:rPr>
        <w:t xml:space="preserve">The company will provide standard equipment (laptop, peripherals) for approved remote workers. The annual home office expense reimbursement is increased to $250 per calendar year (from $150), subject to manager pre-approval and itemized receipt submission.</w:t>
      </w:r>
    </w:p>
    <w:p/>
    <w:p>
      <w:pPr>
        <w:pStyle w:val="Heading1"/>
      </w:pPr>
      <w:r>
        <w:rPr>
          <w:rFonts w:ascii="Arial" w:cs="Arial" w:eastAsia="Arial" w:hAnsi="Arial"/>
        </w:rPr>
        <w:t xml:space="preserve">.008 Data Security</w:t>
      </w:r>
    </w:p>
    <w:p>
      <w:r>
        <w:rPr>
          <w:rFonts w:ascii="Arial" w:cs="Arial" w:eastAsia="Arial" w:hAnsi="Arial"/>
          <w:sz w:val="22"/>
          <w:szCs w:val="22"/>
        </w:rPr>
        <w:t xml:space="preserve">Remote employees must adhere to all data security requirements in the IT Security Policy. Key requirements include:</w:t>
      </w:r>
    </w:p>
    <w:p>
      <w:pPr>
        <w:pStyle w:val="ListParagraph"/>
        <w:numPr>
          <w:ilvl w:val="0"/>
          <w:numId w:val="2"/>
        </w:numPr>
      </w:pPr>
      <w:r>
        <w:rPr>
          <w:rFonts w:ascii="Arial" w:cs="Arial" w:eastAsia="Arial" w:hAnsi="Arial"/>
          <w:sz w:val="22"/>
          <w:szCs w:val="22"/>
        </w:rPr>
        <w:t xml:space="preserve">Use of company-provided VPN when accessing internal systems</w:t>
      </w:r>
    </w:p>
    <w:p>
      <w:pPr>
        <w:pStyle w:val="ListParagraph"/>
        <w:numPr>
          <w:ilvl w:val="0"/>
          <w:numId w:val="2"/>
        </w:numPr>
      </w:pPr>
      <w:r>
        <w:rPr>
          <w:rFonts w:ascii="Arial" w:cs="Arial" w:eastAsia="Arial" w:hAnsi="Arial"/>
          <w:sz w:val="22"/>
          <w:szCs w:val="22"/>
        </w:rPr>
        <w:t xml:space="preserve">No storage of company data on personal, unmanaged devices</w:t>
      </w:r>
    </w:p>
    <w:p>
      <w:pPr>
        <w:pStyle w:val="ListParagraph"/>
        <w:numPr>
          <w:ilvl w:val="0"/>
          <w:numId w:val="2"/>
        </w:numPr>
      </w:pPr>
      <w:r>
        <w:rPr>
          <w:rFonts w:ascii="Arial" w:cs="Arial" w:eastAsia="Arial" w:hAnsi="Arial"/>
          <w:sz w:val="22"/>
          <w:szCs w:val="22"/>
        </w:rPr>
        <w:t xml:space="preserve">Locking screens when stepping away from the workspace</w:t>
      </w:r>
    </w:p>
    <w:p>
      <w:pPr>
        <w:pStyle w:val="ListParagraph"/>
        <w:numPr>
          <w:ilvl w:val="0"/>
          <w:numId w:val="2"/>
        </w:numPr>
      </w:pPr>
      <w:r>
        <w:rPr>
          <w:rFonts w:ascii="Arial" w:cs="Arial" w:eastAsia="Arial" w:hAnsi="Arial"/>
          <w:sz w:val="22"/>
          <w:szCs w:val="22"/>
        </w:rPr>
        <w:t xml:space="preserve">Reporting security incidents immediately to security@company.com</w:t>
      </w:r>
    </w:p>
    <w:p/>
    <w:p>
      <w:pPr>
        <w:pStyle w:val="Heading1"/>
      </w:pPr>
      <w:r>
        <w:rPr>
          <w:rFonts w:ascii="Arial" w:cs="Arial" w:eastAsia="Arial" w:hAnsi="Arial"/>
        </w:rPr>
        <w:t xml:space="preserve">.009 International Remote Work (New in v2.0)</w:t>
      </w:r>
    </w:p>
    <w:p>
      <w:r>
        <w:rPr>
          <w:rFonts w:ascii="Arial" w:cs="Arial" w:eastAsia="Arial" w:hAnsi="Arial"/>
          <w:sz w:val="22"/>
          <w:szCs w:val="22"/>
        </w:rPr>
        <w:t xml:space="preserve">Employees wishing to work remotely from outside the United States for more than 10 consecutive calendar days must obtain advance approval from HR, Legal, and their department head. International remote work may trigger employment tax, permanent establishment, or immigration compliance obligations. The company does not guarantee approval for international arrangements and may revoke approval if compliance risks arise. Approved international arrangements are limited to 30 days per calendar year unless an exception is granted by the CHRO and General Counsel.</w:t>
      </w:r>
    </w:p>
    <w:p/>
    <w:p>
      <w:pPr>
        <w:pStyle w:val="Heading1"/>
      </w:pPr>
      <w:r>
        <w:rPr>
          <w:rFonts w:ascii="Arial" w:cs="Arial" w:eastAsia="Arial" w:hAnsi="Arial"/>
        </w:rPr>
        <w:t xml:space="preserve">.010 Modifications and Revocation</w:t>
      </w:r>
    </w:p>
    <w:p>
      <w:r>
        <w:rPr>
          <w:rFonts w:ascii="Arial" w:cs="Arial" w:eastAsia="Arial" w:hAnsi="Arial"/>
          <w:sz w:val="22"/>
          <w:szCs w:val="22"/>
        </w:rPr>
        <w:t xml:space="preserve">The company reserves the right to modify or revoke remote work arrangements at any time. Arrangements are reviewed at least annually. Performance issues, security violations, or changes in business need may result in revocation with 21 days notice (immediate in cases of security violations or gross misconduct).</w:t>
      </w:r>
    </w:p>
    <w:p/>
    <w:p>
      <w:r>
        <w:rPr>
          <w:rFonts w:ascii="Arial" w:cs="Arial" w:eastAsia="Arial" w:hAnsi="Arial"/>
          <w:b/>
          <w:bCs/>
          <w:color w:val="1A3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Eligibility reduced to 60 days; bandwidth requirements increased; expense reimbursement increased to $250; notice period reduced to 21 days; Section .009 International Remote Work added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2026-03-16T21:40:23.771Z</dcterms:created>
  <dcterms:modified xsi:type="dcterms:W3CDTF">2026-03-16T21:40:23.772Z</dcterms:modified>
</cp:coreProperties>
</file>

<file path=docProps/custom.xml><?xml version="1.0" encoding="utf-8"?>
<Properties xmlns="http://schemas.openxmlformats.org/officeDocument/2006/custom-properties" xmlns:vt="http://schemas.openxmlformats.org/officeDocument/2006/docPropsVTypes"/>
</file>