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rebuchet MS" w:cs="Trebuchet MS" w:eastAsia="Trebuchet MS" w:hAnsi="Trebuchet MS"/>
          <w:b/>
          <w:bCs/>
          <w:color w:val="B85042"/>
          <w:sz w:val="38"/>
          <w:szCs w:val="38"/>
        </w:rPr>
        <w:t xml:space="preserve">Substance Abuse and Drug-Free Workplace Policy</w:t>
      </w:r>
    </w:p>
    <w:p>
      <w:pPr>
        <w:jc w:val="center"/>
      </w:pPr>
      <w:r>
        <w:rPr>
          <w:rFonts w:ascii="Trebuchet MS" w:cs="Trebuchet MS" w:eastAsia="Trebuchet MS" w:hAnsi="Trebuchet MS"/>
          <w:i/>
          <w:iCs/>
          <w:color w:val="888888"/>
          <w:sz w:val="18"/>
          <w:szCs w:val="18"/>
        </w:rPr>
        <w:t xml:space="preserve">Policy Number: HR-1700  |  Effective: January 1, 2025  |  Owner: HR / Risk Management</w:t>
      </w:r>
    </w:p>
    <w:p/>
    <w:p/>
    <w:p>
      <w:pPr>
        <w:pStyle w:val="Heading1"/>
      </w:pPr>
      <w:r>
        <w:rPr>
          <w:rFonts w:ascii="Trebuchet MS" w:cs="Trebuchet MS" w:eastAsia="Trebuchet MS" w:hAnsi="Trebuchet MS"/>
        </w:rPr>
        <w:t xml:space="preserve">1. Policy Statement</w:t>
      </w:r>
    </w:p>
    <w:p>
      <w:r>
        <w:rPr>
          <w:rFonts w:ascii="Trebuchet MS" w:cs="Trebuchet MS" w:eastAsia="Trebuchet MS" w:hAnsi="Trebuchet MS"/>
          <w:sz w:val="22"/>
          <w:szCs w:val="22"/>
        </w:rPr>
        <w:t xml:space="preserve">The company is committed to providing a safe, healthy, and productive workplace. The use, possession, distribution, or sale of illegal drugs or alcohol during work hours, on company premises, or while operating company vehicles is strictly prohibited.</w:t>
      </w:r>
    </w:p>
    <w:p/>
    <w:p>
      <w:pPr>
        <w:pStyle w:val="Heading1"/>
      </w:pPr>
      <w:r>
        <w:rPr>
          <w:rFonts w:ascii="Trebuchet MS" w:cs="Trebuchet MS" w:eastAsia="Trebuchet MS" w:hAnsi="Trebuchet MS"/>
        </w:rPr>
        <w:t xml:space="preserve">2. Scope</w:t>
      </w:r>
    </w:p>
    <w:p>
      <w:r>
        <w:rPr>
          <w:rFonts w:ascii="Trebuchet MS" w:cs="Trebuchet MS" w:eastAsia="Trebuchet MS" w:hAnsi="Trebuchet MS"/>
          <w:sz w:val="22"/>
          <w:szCs w:val="22"/>
        </w:rPr>
        <w:t xml:space="preserve">This policy applies to all employees, contractors, and visitors while on company premises, performing company business, or operating company-owned or leased vehicles, equipment, or machinery.</w:t>
      </w:r>
    </w:p>
    <w:p/>
    <w:p>
      <w:pPr>
        <w:pStyle w:val="Heading1"/>
      </w:pPr>
      <w:r>
        <w:rPr>
          <w:rFonts w:ascii="Trebuchet MS" w:cs="Trebuchet MS" w:eastAsia="Trebuchet MS" w:hAnsi="Trebuchet MS"/>
        </w:rPr>
        <w:t xml:space="preserve">3. Prohibited Conduct</w:t>
      </w:r>
    </w:p>
    <w:p>
      <w:pPr>
        <w:pStyle w:val="ListParagraph"/>
        <w:numPr>
          <w:ilvl w:val="0"/>
          <w:numId w:val="2"/>
        </w:numPr>
      </w:pPr>
      <w:r>
        <w:rPr>
          <w:rFonts w:ascii="Trebuchet MS" w:cs="Trebuchet MS" w:eastAsia="Trebuchet MS" w:hAnsi="Trebuchet MS"/>
          <w:sz w:val="22"/>
          <w:szCs w:val="22"/>
        </w:rPr>
        <w:t xml:space="preserve">Reporting to work or performing duties while impaired by alcohol, illegal drugs, or misused prescription medication</w:t>
      </w:r>
    </w:p>
    <w:p>
      <w:pPr>
        <w:pStyle w:val="ListParagraph"/>
        <w:numPr>
          <w:ilvl w:val="0"/>
          <w:numId w:val="2"/>
        </w:numPr>
      </w:pPr>
      <w:r>
        <w:rPr>
          <w:rFonts w:ascii="Trebuchet MS" w:cs="Trebuchet MS" w:eastAsia="Trebuchet MS" w:hAnsi="Trebuchet MS"/>
          <w:sz w:val="22"/>
          <w:szCs w:val="22"/>
        </w:rPr>
        <w:t xml:space="preserve">Using, possessing, distributing, or selling alcohol or controlled substances on company premises or during work hours</w:t>
      </w:r>
    </w:p>
    <w:p>
      <w:pPr>
        <w:pStyle w:val="ListParagraph"/>
        <w:numPr>
          <w:ilvl w:val="0"/>
          <w:numId w:val="2"/>
        </w:numPr>
      </w:pPr>
      <w:r>
        <w:rPr>
          <w:rFonts w:ascii="Trebuchet MS" w:cs="Trebuchet MS" w:eastAsia="Trebuchet MS" w:hAnsi="Trebuchet MS"/>
          <w:sz w:val="22"/>
          <w:szCs w:val="22"/>
        </w:rPr>
        <w:t xml:space="preserve">Operating company vehicles, machinery, or safety-sensitive equipment under the influence</w:t>
      </w:r>
    </w:p>
    <w:p>
      <w:pPr>
        <w:pStyle w:val="ListParagraph"/>
        <w:numPr>
          <w:ilvl w:val="0"/>
          <w:numId w:val="2"/>
        </w:numPr>
      </w:pPr>
      <w:r>
        <w:rPr>
          <w:rFonts w:ascii="Trebuchet MS" w:cs="Trebuchet MS" w:eastAsia="Trebuchet MS" w:hAnsi="Trebuchet MS"/>
          <w:sz w:val="22"/>
          <w:szCs w:val="22"/>
        </w:rPr>
        <w:t xml:space="preserve">Failing or refusing to submit to a required drug or alcohol test</w:t>
      </w:r>
    </w:p>
    <w:p>
      <w:pPr>
        <w:pStyle w:val="ListParagraph"/>
        <w:numPr>
          <w:ilvl w:val="0"/>
          <w:numId w:val="2"/>
        </w:numPr>
      </w:pPr>
      <w:r>
        <w:rPr>
          <w:rFonts w:ascii="Trebuchet MS" w:cs="Trebuchet MS" w:eastAsia="Trebuchet MS" w:hAnsi="Trebuchet MS"/>
          <w:sz w:val="22"/>
          <w:szCs w:val="22"/>
        </w:rPr>
        <w:t xml:space="preserve">Tampering with or adulterating a drug or alcohol test sample</w:t>
      </w:r>
    </w:p>
    <w:p/>
    <w:p>
      <w:pPr>
        <w:pStyle w:val="Heading1"/>
      </w:pPr>
      <w:r>
        <w:rPr>
          <w:rFonts w:ascii="Trebuchet MS" w:cs="Trebuchet MS" w:eastAsia="Trebuchet MS" w:hAnsi="Trebuchet MS"/>
        </w:rPr>
        <w:t xml:space="preserve">4. Drug and Alcohol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85042" w:val="clear"/>
            <w:tcMar>
              <w:top w:type="dxa" w:w="80"/>
              <w:left w:type="dxa" w:w="120"/>
              <w:bottom w:type="dxa" w:w="80"/>
              <w:right w:type="dxa" w:w="120"/>
            </w:tcMar>
          </w:tcPr>
          <w:p>
            <w:r>
              <w:rPr>
                <w:rFonts w:ascii="Arial" w:cs="Arial" w:eastAsia="Arial" w:hAnsi="Arial"/>
                <w:b/>
                <w:bCs/>
                <w:color w:val="FFFFFF"/>
                <w:sz w:val="20"/>
                <w:szCs w:val="20"/>
              </w:rPr>
              <w:t xml:space="preserve">Testing Type</w:t>
            </w:r>
          </w:p>
        </w:tc>
        <w:tc>
          <w:tcPr>
            <w:tcW w:type="dxa" w:w="6160"/>
            <w:tcBorders>
              <w:top w:val="single" w:color="CCCCCC" w:sz="1"/>
              <w:left w:val="single" w:color="CCCCCC" w:sz="1"/>
              <w:bottom w:val="single" w:color="CCCCCC" w:sz="1"/>
              <w:right w:val="single" w:color="CCCCCC" w:sz="1"/>
            </w:tcBorders>
            <w:shd w:fill="B85042" w:val="clear"/>
            <w:tcMar>
              <w:top w:type="dxa" w:w="80"/>
              <w:left w:type="dxa" w:w="120"/>
              <w:bottom w:type="dxa" w:w="80"/>
              <w:right w:type="dxa" w:w="120"/>
            </w:tcMar>
          </w:tcPr>
          <w:p>
            <w:r>
              <w:rPr>
                <w:rFonts w:ascii="Arial" w:cs="Arial" w:eastAsia="Arial" w:hAnsi="Arial"/>
                <w:b/>
                <w:bCs/>
                <w:color w:val="FFFFFF"/>
                <w:sz w:val="20"/>
                <w:szCs w:val="20"/>
              </w:rPr>
              <w:t xml:space="preserve">When Applied</w:t>
            </w:r>
          </w:p>
        </w:tc>
      </w:tr>
      <w:tr>
        <w:tc>
          <w:tcPr>
            <w:tcW w:type="dxa" w:w="3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Pre-employment</w:t>
            </w:r>
          </w:p>
        </w:tc>
        <w:tc>
          <w:tcPr>
            <w:tcW w:type="dxa" w:w="6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for all safety-sensitive roles; offered to all others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Reasonable suspicion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trained supervisor observes behavioral or physical indicators of impairment</w:t>
            </w:r>
          </w:p>
        </w:tc>
      </w:tr>
      <w:tr>
        <w:tc>
          <w:tcPr>
            <w:tcW w:type="dxa" w:w="3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Post-incident</w:t>
            </w:r>
          </w:p>
        </w:tc>
        <w:tc>
          <w:tcPr>
            <w:tcW w:type="dxa" w:w="6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any workplace accident, injury, or near-miss involving possible impairment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Return-to-duty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before returning to work after a substance-related violation</w:t>
            </w:r>
          </w:p>
        </w:tc>
      </w:tr>
      <w:tr>
        <w:tc>
          <w:tcPr>
            <w:tcW w:type="dxa" w:w="3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Follow-up</w:t>
            </w:r>
          </w:p>
        </w:tc>
        <w:tc>
          <w:tcPr>
            <w:tcW w:type="dxa" w:w="6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b w:val="false"/>
                <w:bCs w:val="false"/>
                <w:color w:val="000000"/>
                <w:sz w:val="20"/>
                <w:szCs w:val="20"/>
              </w:rPr>
              <w:t xml:space="preserve">Unannounced follow-up tests for up to 2 years post-return-to-duty</w:t>
            </w:r>
          </w:p>
        </w:tc>
      </w:tr>
    </w:tbl>
    <w:p/>
    <w:p>
      <w:pPr>
        <w:pStyle w:val="Heading1"/>
      </w:pPr>
      <w:r>
        <w:rPr>
          <w:rFonts w:ascii="Trebuchet MS" w:cs="Trebuchet MS" w:eastAsia="Trebuchet MS" w:hAnsi="Trebuchet MS"/>
        </w:rPr>
        <w:t xml:space="preserve">5. Prescription Medications</w:t>
      </w:r>
    </w:p>
    <w:p>
      <w:r>
        <w:rPr>
          <w:rFonts w:ascii="Trebuchet MS" w:cs="Trebuchet MS" w:eastAsia="Trebuchet MS" w:hAnsi="Trebuchet MS"/>
          <w:sz w:val="22"/>
          <w:szCs w:val="22"/>
        </w:rPr>
        <w:t xml:space="preserve">Employees taking prescription medication that may impair their ability to perform their duties safely must notify HR before performing safety-sensitive work. HR will engage in the interactive accommodation process as needed. Employees are not required to disclose the specific medication or medical condition.</w:t>
      </w:r>
    </w:p>
    <w:p/>
    <w:p>
      <w:pPr>
        <w:pStyle w:val="Heading1"/>
      </w:pPr>
      <w:r>
        <w:rPr>
          <w:rFonts w:ascii="Trebuchet MS" w:cs="Trebuchet MS" w:eastAsia="Trebuchet MS" w:hAnsi="Trebuchet MS"/>
        </w:rPr>
        <w:t xml:space="preserve">6. Employee Assistance Program</w:t>
      </w:r>
    </w:p>
    <w:p>
      <w:r>
        <w:rPr>
          <w:rFonts w:ascii="Trebuchet MS" w:cs="Trebuchet MS" w:eastAsia="Trebuchet MS" w:hAnsi="Trebuchet MS"/>
          <w:sz w:val="22"/>
          <w:szCs w:val="22"/>
        </w:rPr>
        <w:t xml:space="preserve">The company offers a confidential Employee Assistance Program (EAP) that provides counseling, referrals, and support for employees dealing with substance use issues. Voluntary use of the EAP will not result in disciplinary action. Contact HR for EAP access information.</w:t>
      </w:r>
    </w:p>
    <w:p/>
    <w:p>
      <w:pPr>
        <w:pStyle w:val="Heading1"/>
      </w:pPr>
      <w:r>
        <w:rPr>
          <w:rFonts w:ascii="Trebuchet MS" w:cs="Trebuchet MS" w:eastAsia="Trebuchet MS" w:hAnsi="Trebuchet MS"/>
        </w:rPr>
        <w:t xml:space="preserve">7. Consequences</w:t>
      </w:r>
    </w:p>
    <w:p>
      <w:r>
        <w:rPr>
          <w:rFonts w:ascii="Trebuchet MS" w:cs="Trebuchet MS" w:eastAsia="Trebuchet MS" w:hAnsi="Trebuchet MS"/>
          <w:sz w:val="22"/>
          <w:szCs w:val="22"/>
        </w:rPr>
        <w:t xml:space="preserve">Violations of this policy will result in disciplinary action up to and including termination of employment. The company may require successful completion of a treatment program as a condition of continued employment for first-time violations, at its discretion.</w:t>
      </w:r>
    </w:p>
    <w:sectPr>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7E8D1" w:sz="3" w:space="4"/>
      </w:pBdr>
      <w:spacing w:before="280" w:after="140"/>
      <w:outlineLvl w:val="0"/>
    </w:pPr>
    <w:rPr>
      <w:rFonts w:ascii="Trebuchet MS" w:cs="Trebuchet MS" w:eastAsia="Trebuchet MS" w:hAnsi="Trebuchet MS"/>
      <w:b/>
      <w:bCs/>
      <w:color w:val="B85042"/>
      <w:sz w:val="28"/>
      <w:szCs w:val="28"/>
    </w:rPr>
  </w:style>
  <w:style w:type="paragraph" w:styleId="Heading2">
    <w:name w:val="Heading 2"/>
    <w:basedOn w:val="Normal"/>
    <w:next w:val="Normal"/>
    <w:qFormat/>
    <w:pPr>
      <w:spacing w:before="180" w:after="80"/>
      <w:outlineLvl w:val="1"/>
    </w:pPr>
    <w:rPr>
      <w:rFonts w:ascii="Trebuchet MS" w:cs="Trebuchet MS" w:eastAsia="Trebuchet MS" w:hAnsi="Trebuchet MS"/>
      <w:b/>
      <w:bCs/>
      <w:color w:val="7A35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2026-03-16T21:06:28.125Z</dcterms:created>
  <dcterms:modified xsi:type="dcterms:W3CDTF">2026-03-16T21:06:28.125Z</dcterms:modified>
</cp:coreProperties>
</file>

<file path=docProps/custom.xml><?xml version="1.0" encoding="utf-8"?>
<Properties xmlns="http://schemas.openxmlformats.org/officeDocument/2006/custom-properties" xmlns:vt="http://schemas.openxmlformats.org/officeDocument/2006/docPropsVTypes"/>
</file>