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Georgia" w:cs="Georgia" w:eastAsia="Georgia" w:hAnsi="Georgia"/>
          <w:b/>
          <w:bCs/>
          <w:color w:val="065A82"/>
          <w:sz w:val="42"/>
          <w:szCs w:val="42"/>
        </w:rPr>
        <w:t xml:space="preserve">Third-Party Risk Assessment Standard</w:t>
      </w:r>
    </w:p>
    <w:p>
      <w:pPr>
        <w:jc w:val="center"/>
      </w:pPr>
      <w:r>
        <w:rPr>
          <w:rFonts w:ascii="Georgia" w:cs="Georgia" w:eastAsia="Georgia" w:hAnsi="Georgia"/>
          <w:color w:val="888888"/>
          <w:sz w:val="18"/>
          <w:szCs w:val="18"/>
        </w:rPr>
        <w:t xml:space="preserve">Standard Number: PROC-2810  |  Effective: August 1, 2024  |  Owner: Procurement / Risk</w:t>
      </w:r>
    </w:p>
    <w:p>
      <w:pPr>
        <w:pBdr>
          <w:bottom w:val="double" w:color="065A82" w:sz="4" w:space="1"/>
        </w:pBdr>
      </w:pPr>
    </w:p>
    <w:p/>
    <w:p>
      <w:pPr>
        <w:pStyle w:val="Heading1"/>
      </w:pPr>
      <w:r>
        <w:rPr>
          <w:rFonts w:ascii="Georgia" w:cs="Georgia" w:eastAsia="Georgia" w:hAnsi="Georgia"/>
        </w:rPr>
        <w:t xml:space="preserve">  Section 1 — Purpose and Applicability</w:t>
      </w:r>
    </w:p>
    <w:p>
      <w:r>
        <w:rPr>
          <w:rFonts w:ascii="Georgia" w:cs="Georgia" w:eastAsia="Georgia" w:hAnsi="Georgia"/>
          <w:sz w:val="22"/>
          <w:szCs w:val="22"/>
        </w:rPr>
        <w:t xml:space="preserve">This standard defines the minimum risk assessment steps that must be completed before the company engages a new third-party vendor or significantly expands an existing engagement. It supports the Vendor Management Policy (PROC-2800).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Section 2 — Risk Scoring Framework</w:t>
      </w:r>
    </w:p>
    <w:p>
      <w:r>
        <w:rPr>
          <w:rFonts w:ascii="Georgia" w:cs="Georgia" w:eastAsia="Georgia" w:hAnsi="Georgia"/>
          <w:sz w:val="22"/>
          <w:szCs w:val="22"/>
        </w:rPr>
        <w:t xml:space="preserve">Each new vendor is assigned an inherent risk score based on two dimensions: data access level and operational criticality. Scores combine to produce a Tier (1–3) that drives due diligence requirements.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80"/>
        <w:gridCol w:w="2240"/>
        <w:gridCol w:w="224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Factor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 (1)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 (2)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65A8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 (3)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company data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Internal data only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Confidential/PII/IP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Operational Criticality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Easily replaceable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Important but workaround exists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Mission-critical; no substitute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Regulatory Exposure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None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Indirect / limited</w:t>
            </w:r>
          </w:p>
        </w:tc>
        <w:tc>
          <w:tcPr>
            <w:tcW w:type="dxa" w:w="2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Direct regulatory obligation</w:t>
            </w:r>
          </w:p>
        </w:tc>
      </w:tr>
    </w:tbl>
    <w:p/>
    <w:p>
      <w:pPr>
        <w:pStyle w:val="Heading1"/>
      </w:pPr>
      <w:r>
        <w:rPr>
          <w:rFonts w:ascii="Georgia" w:cs="Georgia" w:eastAsia="Georgia" w:hAnsi="Georgia"/>
        </w:rPr>
        <w:t xml:space="preserve">  Section 3 — Due Diligence by Tier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Tier 1 — High Risk (combined score ≥ 7)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Complete security questionnaire (SIG Lite or equivalent)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Obtain and review SOC 2 Type II or ISO 27001 certification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Legal contract with DPA, audit rights, and breach notification clause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On-site or virtual security review for scores of 9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Annual re-assessment mandatory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Tier 2 — Elevated Risk (combined score 4–6)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Abbreviated security questionnaire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Legal contract with standard data protection clauses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Insurance verification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Bi-annual review</w:t>
      </w:r>
    </w:p>
    <w:p>
      <w:pPr>
        <w:pStyle w:val="Heading2"/>
      </w:pPr>
      <w:r>
        <w:rPr>
          <w:rFonts w:ascii="Georgia" w:cs="Georgia" w:eastAsia="Georgia" w:hAnsi="Georgia"/>
        </w:rPr>
        <w:t xml:space="preserve">Tier 3 — Standard Risk (combined score ≤ 3)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Vendor registration and sanctions screening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Standard purchase order or contract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  <w:sz w:val="22"/>
          <w:szCs w:val="22"/>
        </w:rPr>
        <w:t xml:space="preserve">Review upon material change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Section 4 — Assessment Documentation</w:t>
      </w:r>
    </w:p>
    <w:p>
      <w:r>
        <w:rPr>
          <w:rFonts w:ascii="Georgia" w:cs="Georgia" w:eastAsia="Georgia" w:hAnsi="Georgia"/>
          <w:sz w:val="22"/>
          <w:szCs w:val="22"/>
        </w:rPr>
        <w:t xml:space="preserve">All completed assessments must be stored in the Vendor Risk Register maintained by Procurement. Assessment records must be retained for the life of the vendor relationship plus 3 years per the Data Retention Policy.</w:t>
      </w:r>
    </w:p>
    <w:p/>
    <w:p>
      <w:pPr>
        <w:pStyle w:val="Heading1"/>
      </w:pPr>
      <w:r>
        <w:rPr>
          <w:rFonts w:ascii="Georgia" w:cs="Georgia" w:eastAsia="Georgia" w:hAnsi="Georgia"/>
        </w:rPr>
        <w:t xml:space="preserve">  Section 5 — Escalation</w:t>
      </w:r>
    </w:p>
    <w:p>
      <w:r>
        <w:rPr>
          <w:rFonts w:ascii="Georgia" w:cs="Georgia" w:eastAsia="Georgia" w:hAnsi="Georgia"/>
          <w:sz w:val="22"/>
          <w:szCs w:val="22"/>
        </w:rPr>
        <w:t xml:space="preserve">Vendors that score 9 or involve novel technology, geopolitical risk, or regulatory complexity must be escalated to the CISO and General Counsel before engagement. Procurement may not proceed without written clearance from both functions.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hd w:fill="065A82" w:val="clear"/>
      <w:spacing w:before="280" w:after="140"/>
      <w:outlineLvl w:val="0"/>
    </w:pPr>
    <w:rPr>
      <w:rFonts w:ascii="Georgia" w:cs="Georgia" w:eastAsia="Georgia" w:hAnsi="Georgia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Georgia" w:cs="Georgia" w:eastAsia="Georgia" w:hAnsi="Georgia"/>
      <w:b/>
      <w:bCs/>
      <w:color w:val="065A8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2026-03-16T21:06:28.014Z</dcterms:created>
  <dcterms:modified xsi:type="dcterms:W3CDTF">2026-03-16T21:06:28.014Z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