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3A4A"/>
          <w:sz w:val="40"/>
          <w:szCs w:val="40"/>
        </w:rPr>
        <w:t xml:space="preserve">Travel and Expense Reimbursement Policy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Policy Number: FIN-1200  |  Effective: January 1, 2025  |  Owner: Finance / Accounts Payable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.001 Purpose</w:t>
      </w:r>
    </w:p>
    <w:p>
      <w:r>
        <w:rPr>
          <w:rFonts w:ascii="Arial" w:cs="Arial" w:eastAsia="Arial" w:hAnsi="Arial"/>
          <w:sz w:val="22"/>
          <w:szCs w:val="22"/>
        </w:rPr>
        <w:t xml:space="preserve">This policy governs reimbursement of reasonable, necessary, and pre-approved business expenses incurred by employees while conducting company business. It ensures fiscal responsibility, consistent treatment, and compliance with IRS substantiation requirements.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.002 Scope</w:t>
      </w:r>
    </w:p>
    <w:p>
      <w:r>
        <w:rPr>
          <w:rFonts w:ascii="Arial" w:cs="Arial" w:eastAsia="Arial" w:hAnsi="Arial"/>
          <w:sz w:val="22"/>
          <w:szCs w:val="22"/>
        </w:rPr>
        <w:t xml:space="preserve">Applies to all employees and contractors submitting expense reports. Covers travel, meals, entertainment, and miscellaneous business expenses.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.003 Expense Limits and Approval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Limit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Approval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Airfare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Economy/Coach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class: VP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$250/night; $350 major cities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cap: Director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Meals (per day, individual)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$75/day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limit: Manager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entertainment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$150 per person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$150: Director + 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Ground transportation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economical option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Rental car: Manager pre-approval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.004 Submission Requirements</w:t>
      </w:r>
    </w:p>
    <w:p>
      <w:r>
        <w:rPr>
          <w:rFonts w:ascii="Arial" w:cs="Arial" w:eastAsia="Arial" w:hAnsi="Arial"/>
          <w:sz w:val="22"/>
          <w:szCs w:val="22"/>
        </w:rPr>
        <w:t xml:space="preserve">Expense reports must be submitted within 30 calendar days of the expense date. Late submissions require VP approval. All reports must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Original receipts for any expense $25 or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purpose and attendees (for meals/entertainment)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Manager approval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or cost center code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.005 Non-Reimbursable Expenses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are not reimbursable under any circumstances: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 entertainment, including in-room movies or mini-bar charges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Fines, penalties, or traffic violations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Expenses for spouses, partners, or family members unless pre-approved as business guests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First-class upgrades without prior VP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Alcohol, except as part of approved client entertainment within the per-person limit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.006 Corporate Card</w:t>
      </w:r>
    </w:p>
    <w:p>
      <w:r>
        <w:rPr>
          <w:rFonts w:ascii="Arial" w:cs="Arial" w:eastAsia="Arial" w:hAnsi="Arial"/>
          <w:sz w:val="22"/>
          <w:szCs w:val="22"/>
        </w:rPr>
        <w:t xml:space="preserve">Employees in roles with regular travel needs are issued a corporate card. Corporate cards must be used for all travel expenses where accepted. Personal card reimbursement is available when corporate cards are not accepted; attach a note explaining why.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.007 Compliance and Audit</w:t>
      </w:r>
    </w:p>
    <w:p>
      <w:r>
        <w:rPr>
          <w:rFonts w:ascii="Arial" w:cs="Arial" w:eastAsia="Arial" w:hAnsi="Arial"/>
          <w:sz w:val="22"/>
          <w:szCs w:val="22"/>
        </w:rPr>
        <w:t xml:space="preserve">Finance conducts quarterly audits of expense submissions. Non-compliant reports will be returned for correction. Repeated violations or fraudulent submissions will be escalated to HR and may result in disciplinary action up to and including termination.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A3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A3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2026-03-16T20:42:44.329Z</dcterms:created>
  <dcterms:modified xsi:type="dcterms:W3CDTF">2026-03-16T20:42:44.329Z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