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Whistleblower and Non-Retaliation Policy</w:t>
      </w:r>
    </w:p>
    <w:p>
      <w:pPr>
        <w:jc w:val="center"/>
      </w:pPr>
      <w:r>
        <w:rPr>
          <w:rFonts w:ascii="Arial" w:cs="Arial" w:eastAsia="Arial" w:hAnsi="Arial"/>
          <w:color w:val="888888"/>
          <w:sz w:val="18"/>
          <w:szCs w:val="18"/>
        </w:rPr>
        <w:t xml:space="preserve">Policy Number: LEGAL-1100  |  Version: 2.0  |  Effective: March 1, 2026  |  Owner: Legal / Compliance</w:t>
      </w:r>
    </w:p>
    <w:p>
      <w:pPr>
        <w:jc w:val="center"/>
      </w:pPr>
      <w:r>
        <w:rPr>
          <w:rFonts w:ascii="Arial" w:cs="Arial" w:eastAsia="Arial" w:hAnsi="Arial"/>
          <w:i/>
          <w:iCs/>
          <w:color w:val="AA3333"/>
          <w:sz w:val="16"/>
          <w:szCs w:val="16"/>
        </w:rPr>
        <w:t xml:space="preserve">Supersedes Version 1.0 (January 1, 2025)</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encourages employees to report concerns about potential legal violations, financial fraud, safety hazards, or other serious misconduct without fear of retaliation. Version 2.0 strengthens investigation timelines and adds a new AI-assisted anonymous reporting channel.</w:t>
      </w:r>
    </w:p>
    <w:p/>
    <w:p>
      <w:pPr>
        <w:pStyle w:val="Heading1"/>
      </w:pPr>
      <w:r>
        <w:rPr>
          <w:rFonts w:ascii="Arial" w:cs="Arial" w:eastAsia="Arial" w:hAnsi="Arial"/>
        </w:rPr>
        <w:t xml:space="preserve">.002 Scope</w:t>
      </w:r>
    </w:p>
    <w:p>
      <w:r>
        <w:rPr>
          <w:rFonts w:ascii="Arial" w:cs="Arial" w:eastAsia="Arial" w:hAnsi="Arial"/>
          <w:sz w:val="22"/>
          <w:szCs w:val="22"/>
        </w:rPr>
        <w:t xml:space="preserve">Applies to all employees, officers, directors, contractors, and agents of the company worldwide, including subsidiaries acquired after the original effective date. This policy supplements protections afforded by applicable law including SOX, Dodd-Frank, and state whistleblower statutes.</w:t>
      </w:r>
    </w:p>
    <w:p/>
    <w:p>
      <w:pPr>
        <w:pStyle w:val="Heading1"/>
      </w:pPr>
      <w:r>
        <w:rPr>
          <w:rFonts w:ascii="Arial" w:cs="Arial" w:eastAsia="Arial" w:hAnsi="Arial"/>
        </w:rPr>
        <w:t xml:space="preserve">.003 Reportable Concerns</w:t>
      </w:r>
    </w:p>
    <w:p>
      <w:r>
        <w:rPr>
          <w:rFonts w:ascii="Arial" w:cs="Arial" w:eastAsia="Arial" w:hAnsi="Arial"/>
          <w:sz w:val="22"/>
          <w:szCs w:val="22"/>
        </w:rPr>
        <w:t xml:space="preserve">Employees are encouraged to report any good-faith concern about:</w:t>
      </w:r>
    </w:p>
    <w:p>
      <w:pPr>
        <w:pStyle w:val="ListParagraph"/>
        <w:numPr>
          <w:ilvl w:val="0"/>
          <w:numId w:val="2"/>
        </w:numPr>
      </w:pPr>
      <w:r>
        <w:rPr>
          <w:rFonts w:ascii="Arial" w:cs="Arial" w:eastAsia="Arial" w:hAnsi="Arial"/>
          <w:sz w:val="22"/>
          <w:szCs w:val="22"/>
        </w:rPr>
        <w:t xml:space="preserve">Violations of federal, state, or local law or regulation</w:t>
      </w:r>
    </w:p>
    <w:p>
      <w:pPr>
        <w:pStyle w:val="ListParagraph"/>
        <w:numPr>
          <w:ilvl w:val="0"/>
          <w:numId w:val="2"/>
        </w:numPr>
      </w:pPr>
      <w:r>
        <w:rPr>
          <w:rFonts w:ascii="Arial" w:cs="Arial" w:eastAsia="Arial" w:hAnsi="Arial"/>
          <w:sz w:val="22"/>
          <w:szCs w:val="22"/>
        </w:rPr>
        <w:t xml:space="preserve">Financial fraud, accounting irregularities, or material misstatements</w:t>
      </w:r>
    </w:p>
    <w:p>
      <w:pPr>
        <w:pStyle w:val="ListParagraph"/>
        <w:numPr>
          <w:ilvl w:val="0"/>
          <w:numId w:val="2"/>
        </w:numPr>
      </w:pPr>
      <w:r>
        <w:rPr>
          <w:rFonts w:ascii="Arial" w:cs="Arial" w:eastAsia="Arial" w:hAnsi="Arial"/>
          <w:sz w:val="22"/>
          <w:szCs w:val="22"/>
        </w:rPr>
        <w:t xml:space="preserve">Bribery, corruption, or violations of the Code of Business Conduct</w:t>
      </w:r>
    </w:p>
    <w:p>
      <w:pPr>
        <w:pStyle w:val="ListParagraph"/>
        <w:numPr>
          <w:ilvl w:val="0"/>
          <w:numId w:val="2"/>
        </w:numPr>
      </w:pPr>
      <w:r>
        <w:rPr>
          <w:rFonts w:ascii="Arial" w:cs="Arial" w:eastAsia="Arial" w:hAnsi="Arial"/>
          <w:sz w:val="22"/>
          <w:szCs w:val="22"/>
        </w:rPr>
        <w:t xml:space="preserve">Safety hazards that pose a risk of serious harm</w:t>
      </w:r>
    </w:p>
    <w:p>
      <w:pPr>
        <w:pStyle w:val="ListParagraph"/>
        <w:numPr>
          <w:ilvl w:val="0"/>
          <w:numId w:val="2"/>
        </w:numPr>
      </w:pPr>
      <w:r>
        <w:rPr>
          <w:rFonts w:ascii="Arial" w:cs="Arial" w:eastAsia="Arial" w:hAnsi="Arial"/>
          <w:sz w:val="22"/>
          <w:szCs w:val="22"/>
        </w:rPr>
        <w:t xml:space="preserve">Discrimination, harassment, or hostile work environment</w:t>
      </w:r>
    </w:p>
    <w:p>
      <w:pPr>
        <w:pStyle w:val="ListParagraph"/>
        <w:numPr>
          <w:ilvl w:val="0"/>
          <w:numId w:val="2"/>
        </w:numPr>
      </w:pPr>
      <w:r>
        <w:rPr>
          <w:rFonts w:ascii="Arial" w:cs="Arial" w:eastAsia="Arial" w:hAnsi="Arial"/>
          <w:sz w:val="22"/>
          <w:szCs w:val="22"/>
        </w:rPr>
        <w:t xml:space="preserve">Misuse of company AI systems or data in violation of policy (new in v2.0)</w:t>
      </w:r>
    </w:p>
    <w:p>
      <w:pPr>
        <w:pStyle w:val="ListParagraph"/>
        <w:numPr>
          <w:ilvl w:val="0"/>
          <w:numId w:val="2"/>
        </w:numPr>
      </w:pPr>
      <w:r>
        <w:rPr>
          <w:rFonts w:ascii="Arial" w:cs="Arial" w:eastAsia="Arial" w:hAnsi="Arial"/>
          <w:sz w:val="22"/>
          <w:szCs w:val="22"/>
        </w:rPr>
        <w:t xml:space="preserve">Retaliation against another employee who made a report</w:t>
      </w:r>
    </w:p>
    <w:p/>
    <w:p>
      <w:pPr>
        <w:pStyle w:val="Heading1"/>
      </w:pPr>
      <w:r>
        <w:rPr>
          <w:rFonts w:ascii="Arial" w:cs="Arial" w:eastAsia="Arial" w:hAnsi="Arial"/>
        </w:rPr>
        <w:t xml:space="preserve">.004 Reporting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2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Manager</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manager is not implicated in the concern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Business Partner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hr-ethics@company.com</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 Compliance</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compliance@company.com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Anonymous Ethics Hotline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1-800-XXX-XXXX (24/7, third-party operated)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 Reporting Portal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ethics.company.com (anonymous option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AI-Assisted Reporter (New v2.0)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ethics.company.com/ai-chat — guided intake with real-time classification; fully anonymous</w:t>
            </w:r>
          </w:p>
        </w:tc>
      </w:tr>
    </w:tbl>
    <w:p/>
    <w:p>
      <w:pPr>
        <w:pStyle w:val="Heading1"/>
      </w:pPr>
      <w:r>
        <w:rPr>
          <w:rFonts w:ascii="Arial" w:cs="Arial" w:eastAsia="Arial" w:hAnsi="Arial"/>
        </w:rPr>
        <w:t xml:space="preserve">.005 Non-Retaliation</w:t>
      </w:r>
    </w:p>
    <w:p>
      <w:r>
        <w:rPr>
          <w:rFonts w:ascii="Arial" w:cs="Arial" w:eastAsia="Arial" w:hAnsi="Arial"/>
          <w:sz w:val="22"/>
          <w:szCs w:val="22"/>
        </w:rPr>
        <w:t xml:space="preserve">Retaliation against any employee who makes a good-faith report or participates in an investigation is strictly prohibited. Prohibited retaliatory actions include termination, demotion, suspension, harassment, threats, reduction in pay or benefits, negative performance evaluations motivated by the report, and exclusion from meetings or opportunities.</w:t>
      </w:r>
    </w:p>
    <w:p/>
    <w:p>
      <w:pPr>
        <w:pStyle w:val="Heading1"/>
      </w:pPr>
      <w:r>
        <w:rPr>
          <w:rFonts w:ascii="Arial" w:cs="Arial" w:eastAsia="Arial" w:hAnsi="Arial"/>
        </w:rPr>
        <w:t xml:space="preserve">.006 Investigation Process</w:t>
      </w:r>
    </w:p>
    <w:p>
      <w:r>
        <w:rPr>
          <w:rFonts w:ascii="Arial" w:cs="Arial" w:eastAsia="Arial" w:hAnsi="Arial"/>
          <w:sz w:val="22"/>
          <w:szCs w:val="22"/>
        </w:rPr>
        <w:t xml:space="preserve">All reports will be reviewed promptly. Updated timelines effective v2.0:</w:t>
      </w:r>
    </w:p>
    <w:p>
      <w:pPr>
        <w:pStyle w:val="ListParagraph"/>
        <w:numPr>
          <w:ilvl w:val="0"/>
          <w:numId w:val="2"/>
        </w:numPr>
      </w:pPr>
      <w:r>
        <w:rPr>
          <w:rFonts w:ascii="Arial" w:cs="Arial" w:eastAsia="Arial" w:hAnsi="Arial"/>
          <w:sz w:val="22"/>
          <w:szCs w:val="22"/>
        </w:rPr>
        <w:t xml:space="preserve">Acknowledgement of receipt: within 2 business days (reduced from 3)</w:t>
      </w:r>
    </w:p>
    <w:p>
      <w:pPr>
        <w:pStyle w:val="ListParagraph"/>
        <w:numPr>
          <w:ilvl w:val="0"/>
          <w:numId w:val="2"/>
        </w:numPr>
      </w:pPr>
      <w:r>
        <w:rPr>
          <w:rFonts w:ascii="Arial" w:cs="Arial" w:eastAsia="Arial" w:hAnsi="Arial"/>
          <w:sz w:val="22"/>
          <w:szCs w:val="22"/>
        </w:rPr>
        <w:t xml:space="preserve">Investigator assigned and initial scope defined: within 5 business days</w:t>
      </w:r>
    </w:p>
    <w:p>
      <w:pPr>
        <w:pStyle w:val="ListParagraph"/>
        <w:numPr>
          <w:ilvl w:val="0"/>
          <w:numId w:val="2"/>
        </w:numPr>
      </w:pPr>
      <w:r>
        <w:rPr>
          <w:rFonts w:ascii="Arial" w:cs="Arial" w:eastAsia="Arial" w:hAnsi="Arial"/>
          <w:sz w:val="22"/>
          <w:szCs w:val="22"/>
        </w:rPr>
        <w:t xml:space="preserve">Investigation completed: within 20 business days of opening (reduced from 30); extensions require Compliance Director approval</w:t>
      </w:r>
    </w:p>
    <w:p>
      <w:pPr>
        <w:pStyle w:val="ListParagraph"/>
        <w:numPr>
          <w:ilvl w:val="0"/>
          <w:numId w:val="2"/>
        </w:numPr>
      </w:pPr>
      <w:r>
        <w:rPr>
          <w:rFonts w:ascii="Arial" w:cs="Arial" w:eastAsia="Arial" w:hAnsi="Arial"/>
          <w:sz w:val="22"/>
          <w:szCs w:val="22"/>
        </w:rPr>
        <w:t xml:space="preserve">Outcome communication to reporter: within 5 business days of investigation close</w:t>
      </w:r>
    </w:p>
    <w:p/>
    <w:p>
      <w:pPr>
        <w:pStyle w:val="Heading1"/>
      </w:pPr>
      <w:r>
        <w:rPr>
          <w:rFonts w:ascii="Arial" w:cs="Arial" w:eastAsia="Arial" w:hAnsi="Arial"/>
        </w:rPr>
        <w:t xml:space="preserve">.007 Good Faith Requirement</w:t>
      </w:r>
    </w:p>
    <w:p>
      <w:r>
        <w:rPr>
          <w:rFonts w:ascii="Arial" w:cs="Arial" w:eastAsia="Arial" w:hAnsi="Arial"/>
          <w:sz w:val="22"/>
          <w:szCs w:val="22"/>
        </w:rPr>
        <w:t xml:space="preserve">This policy protects reports made in good faith. Knowingly filing a false report may result in disciplinary action. Malicious use of this policy to harm colleagues is a serious violation.</w:t>
      </w:r>
    </w:p>
    <w:p/>
    <w:p>
      <w:r>
        <w:rPr>
          <w:rFonts w:ascii="Arial" w:cs="Arial" w:eastAsia="Arial" w:hAnsi="Arial"/>
          <w:b/>
          <w:bCs/>
          <w:color w:val="1A3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January 1, 2025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1,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Acknowledgement SLA reduced to 2 days; investigation timeline reduced to 20 days; AI-Assisted Reporter channel added; AI misuse added to reportable concerns; scope extended to subsidiaries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2026-03-16T21:40:23.797Z</dcterms:created>
  <dcterms:modified xsi:type="dcterms:W3CDTF">2026-03-16T21:40:23.797Z</dcterms:modified>
</cp:coreProperties>
</file>

<file path=docProps/custom.xml><?xml version="1.0" encoding="utf-8"?>
<Properties xmlns="http://schemas.openxmlformats.org/officeDocument/2006/custom-properties" xmlns:vt="http://schemas.openxmlformats.org/officeDocument/2006/docPropsVTypes"/>
</file>