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Workplace Accommodation Policy</w:t>
      </w:r>
    </w:p>
    <w:p>
      <w:pPr>
        <w:jc w:val="center"/>
      </w:pPr>
      <w:r>
        <w:rPr>
          <w:rFonts w:ascii="Arial" w:cs="Arial" w:eastAsia="Arial" w:hAnsi="Arial"/>
          <w:color w:val="888888"/>
          <w:sz w:val="18"/>
          <w:szCs w:val="18"/>
        </w:rPr>
        <w:t xml:space="preserve">Policy Number: HR-3100  |  Effective: January 1, 2025  |  Owner: HR / People Operations</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the process for requesting and evaluating workplace accommodations for employees with disabilities, pregnancy-related conditions, and other protected characteristics where accommodations are required by applicable law.</w:t>
      </w:r>
    </w:p>
    <w:p/>
    <w:p>
      <w:pPr>
        <w:pStyle w:val="Heading1"/>
      </w:pPr>
      <w:r>
        <w:rPr>
          <w:rFonts w:ascii="Arial" w:cs="Arial" w:eastAsia="Arial" w:hAnsi="Arial"/>
        </w:rPr>
        <w:t xml:space="preserve">.002 Legal Basis</w:t>
      </w:r>
    </w:p>
    <w:p>
      <w:r>
        <w:rPr>
          <w:rFonts w:ascii="Arial" w:cs="Arial" w:eastAsia="Arial" w:hAnsi="Arial"/>
          <w:sz w:val="22"/>
          <w:szCs w:val="22"/>
        </w:rPr>
        <w:t xml:space="preserve">Accommodations may be required under the Americans with Disabilities Act (ADA), the Pregnancy Discrimination Act (PDA), applicable state/local disability and pregnancy accommodation laws, and the company's commitment to equal employment opportunity.</w:t>
      </w:r>
    </w:p>
    <w:p/>
    <w:p>
      <w:pPr>
        <w:pStyle w:val="Heading1"/>
      </w:pPr>
      <w:r>
        <w:rPr>
          <w:rFonts w:ascii="Arial" w:cs="Arial" w:eastAsia="Arial" w:hAnsi="Arial"/>
        </w:rPr>
        <w:t xml:space="preserve">.003 Eligibility</w:t>
      </w:r>
    </w:p>
    <w:p>
      <w:r>
        <w:rPr>
          <w:rFonts w:ascii="Arial" w:cs="Arial" w:eastAsia="Arial" w:hAnsi="Arial"/>
          <w:sz w:val="22"/>
          <w:szCs w:val="22"/>
        </w:rPr>
        <w:t xml:space="preserve">Any employee who has a physical or mental impairment that substantially limits one or more major life activities, has a record of such an impairment, or is regarded as having such an impairment may request a reasonable accommodation. Temporary conditions may also qualify depending on severity and applicable state law.</w:t>
      </w:r>
    </w:p>
    <w:p/>
    <w:p>
      <w:pPr>
        <w:pStyle w:val="Heading1"/>
      </w:pPr>
      <w:r>
        <w:rPr>
          <w:rFonts w:ascii="Arial" w:cs="Arial" w:eastAsia="Arial" w:hAnsi="Arial"/>
        </w:rPr>
        <w:t xml:space="preserve">.004 Request Process</w:t>
      </w:r>
    </w:p>
    <w:p>
      <w:r>
        <w:rPr>
          <w:rFonts w:ascii="Arial" w:cs="Arial" w:eastAsia="Arial" w:hAnsi="Arial"/>
          <w:sz w:val="22"/>
          <w:szCs w:val="22"/>
        </w:rPr>
        <w:t xml:space="preserve">Employees seeking an accommodation should:</w:t>
      </w:r>
    </w:p>
    <w:p>
      <w:pPr>
        <w:pStyle w:val="ListParagraph"/>
        <w:numPr>
          <w:ilvl w:val="0"/>
          <w:numId w:val="2"/>
        </w:numPr>
      </w:pPr>
      <w:r>
        <w:rPr>
          <w:rFonts w:ascii="Arial" w:cs="Arial" w:eastAsia="Arial" w:hAnsi="Arial"/>
          <w:sz w:val="22"/>
          <w:szCs w:val="22"/>
        </w:rPr>
        <w:t xml:space="preserve">Notify HR or their manager that they need an adjustment due to a medical or qualifying condition</w:t>
      </w:r>
    </w:p>
    <w:p>
      <w:pPr>
        <w:pStyle w:val="ListParagraph"/>
        <w:numPr>
          <w:ilvl w:val="0"/>
          <w:numId w:val="2"/>
        </w:numPr>
      </w:pPr>
      <w:r>
        <w:rPr>
          <w:rFonts w:ascii="Arial" w:cs="Arial" w:eastAsia="Arial" w:hAnsi="Arial"/>
          <w:sz w:val="22"/>
          <w:szCs w:val="22"/>
        </w:rPr>
        <w:t xml:space="preserve">Submit the Accommodation Request Form (available on the HR portal)</w:t>
      </w:r>
    </w:p>
    <w:p>
      <w:pPr>
        <w:pStyle w:val="ListParagraph"/>
        <w:numPr>
          <w:ilvl w:val="0"/>
          <w:numId w:val="2"/>
        </w:numPr>
      </w:pPr>
      <w:r>
        <w:rPr>
          <w:rFonts w:ascii="Arial" w:cs="Arial" w:eastAsia="Arial" w:hAnsi="Arial"/>
          <w:sz w:val="22"/>
          <w:szCs w:val="22"/>
        </w:rPr>
        <w:t xml:space="preserve">Provide medical documentation from a licensed healthcare provider if requested by HR</w:t>
      </w:r>
    </w:p>
    <w:p>
      <w:pPr>
        <w:pStyle w:val="ListParagraph"/>
        <w:numPr>
          <w:ilvl w:val="0"/>
          <w:numId w:val="2"/>
        </w:numPr>
      </w:pPr>
      <w:r>
        <w:rPr>
          <w:rFonts w:ascii="Arial" w:cs="Arial" w:eastAsia="Arial" w:hAnsi="Arial"/>
          <w:sz w:val="22"/>
          <w:szCs w:val="22"/>
        </w:rPr>
        <w:t xml:space="preserve">Participate in the interactive process with HR to identify effective accommodation options</w:t>
      </w:r>
    </w:p>
    <w:p/>
    <w:p>
      <w:pPr>
        <w:pStyle w:val="Heading1"/>
      </w:pPr>
      <w:r>
        <w:rPr>
          <w:rFonts w:ascii="Arial" w:cs="Arial" w:eastAsia="Arial" w:hAnsi="Arial"/>
        </w:rPr>
        <w:t xml:space="preserve">.005 Interactive Process</w:t>
      </w:r>
    </w:p>
    <w:p>
      <w:r>
        <w:rPr>
          <w:rFonts w:ascii="Arial" w:cs="Arial" w:eastAsia="Arial" w:hAnsi="Arial"/>
          <w:sz w:val="22"/>
          <w:szCs w:val="22"/>
        </w:rPr>
        <w:t xml:space="preserve">HR will initiate an interactive dialogue with the employee within 5 business days of receiving a complete accommodation request. The process includes reviewing the essential functions of the role, exploring accommodation options, consulting with the employee's manager, and determining feasibility. HR will provide a written decision within 15 business days.</w:t>
      </w:r>
    </w:p>
    <w:p/>
    <w:p>
      <w:pPr>
        <w:pStyle w:val="Heading1"/>
      </w:pPr>
      <w:r>
        <w:rPr>
          <w:rFonts w:ascii="Arial" w:cs="Arial" w:eastAsia="Arial" w:hAnsi="Arial"/>
        </w:rPr>
        <w:t xml:space="preserve">.006 Types of Accommodations</w:t>
      </w:r>
    </w:p>
    <w:p>
      <w:r>
        <w:rPr>
          <w:rFonts w:ascii="Arial" w:cs="Arial" w:eastAsia="Arial" w:hAnsi="Arial"/>
          <w:sz w:val="22"/>
          <w:szCs w:val="22"/>
        </w:rPr>
        <w:t xml:space="preserve">Accommodations vary by individual need. Common examples include:</w:t>
      </w:r>
    </w:p>
    <w:p>
      <w:pPr>
        <w:pStyle w:val="ListParagraph"/>
        <w:numPr>
          <w:ilvl w:val="0"/>
          <w:numId w:val="2"/>
        </w:numPr>
      </w:pPr>
      <w:r>
        <w:rPr>
          <w:rFonts w:ascii="Arial" w:cs="Arial" w:eastAsia="Arial" w:hAnsi="Arial"/>
          <w:sz w:val="22"/>
          <w:szCs w:val="22"/>
        </w:rPr>
        <w:t xml:space="preserve">Modified work schedules or reduced hours</w:t>
      </w:r>
    </w:p>
    <w:p>
      <w:pPr>
        <w:pStyle w:val="ListParagraph"/>
        <w:numPr>
          <w:ilvl w:val="0"/>
          <w:numId w:val="2"/>
        </w:numPr>
      </w:pPr>
      <w:r>
        <w:rPr>
          <w:rFonts w:ascii="Arial" w:cs="Arial" w:eastAsia="Arial" w:hAnsi="Arial"/>
          <w:sz w:val="22"/>
          <w:szCs w:val="22"/>
        </w:rPr>
        <w:t xml:space="preserve">Remote work or hybrid arrangements</w:t>
      </w:r>
    </w:p>
    <w:p>
      <w:pPr>
        <w:pStyle w:val="ListParagraph"/>
        <w:numPr>
          <w:ilvl w:val="0"/>
          <w:numId w:val="2"/>
        </w:numPr>
      </w:pPr>
      <w:r>
        <w:rPr>
          <w:rFonts w:ascii="Arial" w:cs="Arial" w:eastAsia="Arial" w:hAnsi="Arial"/>
          <w:sz w:val="22"/>
          <w:szCs w:val="22"/>
        </w:rPr>
        <w:t xml:space="preserve">Ergonomic equipment or modified workspace</w:t>
      </w:r>
    </w:p>
    <w:p>
      <w:pPr>
        <w:pStyle w:val="ListParagraph"/>
        <w:numPr>
          <w:ilvl w:val="0"/>
          <w:numId w:val="2"/>
        </w:numPr>
      </w:pPr>
      <w:r>
        <w:rPr>
          <w:rFonts w:ascii="Arial" w:cs="Arial" w:eastAsia="Arial" w:hAnsi="Arial"/>
          <w:sz w:val="22"/>
          <w:szCs w:val="22"/>
        </w:rPr>
        <w:t xml:space="preserve">Reassignment to a vacant position (as a last resort)</w:t>
      </w:r>
    </w:p>
    <w:p>
      <w:pPr>
        <w:pStyle w:val="ListParagraph"/>
        <w:numPr>
          <w:ilvl w:val="0"/>
          <w:numId w:val="2"/>
        </w:numPr>
      </w:pPr>
      <w:r>
        <w:rPr>
          <w:rFonts w:ascii="Arial" w:cs="Arial" w:eastAsia="Arial" w:hAnsi="Arial"/>
          <w:sz w:val="22"/>
          <w:szCs w:val="22"/>
        </w:rPr>
        <w:t xml:space="preserve">Leave of absence for treatment or recovery</w:t>
      </w:r>
    </w:p>
    <w:p>
      <w:pPr>
        <w:pStyle w:val="ListParagraph"/>
        <w:numPr>
          <w:ilvl w:val="0"/>
          <w:numId w:val="2"/>
        </w:numPr>
      </w:pPr>
      <w:r>
        <w:rPr>
          <w:rFonts w:ascii="Arial" w:cs="Arial" w:eastAsia="Arial" w:hAnsi="Arial"/>
          <w:sz w:val="22"/>
          <w:szCs w:val="22"/>
        </w:rPr>
        <w:t xml:space="preserve">Modified communication formats (e.g., screen readers, captioning)</w:t>
      </w:r>
    </w:p>
    <w:p/>
    <w:p>
      <w:pPr>
        <w:pStyle w:val="Heading1"/>
      </w:pPr>
      <w:r>
        <w:rPr>
          <w:rFonts w:ascii="Arial" w:cs="Arial" w:eastAsia="Arial" w:hAnsi="Arial"/>
        </w:rPr>
        <w:t xml:space="preserve">.007 Confidentiality</w:t>
      </w:r>
    </w:p>
    <w:p>
      <w:r>
        <w:rPr>
          <w:rFonts w:ascii="Arial" w:cs="Arial" w:eastAsia="Arial" w:hAnsi="Arial"/>
          <w:sz w:val="22"/>
          <w:szCs w:val="22"/>
        </w:rPr>
        <w:t xml:space="preserve">Medical information provided in connection with an accommodation request is maintained separately from the personnel file and is accessible only to HR and individuals with a legitimate need to know. Managers will be informed of necessary restrictions and accommodations but not of the underlying medical diagnosis.</w:t>
      </w:r>
    </w:p>
    <w:p/>
    <w:p>
      <w:pPr>
        <w:pStyle w:val="Heading1"/>
      </w:pPr>
      <w:r>
        <w:rPr>
          <w:rFonts w:ascii="Arial" w:cs="Arial" w:eastAsia="Arial" w:hAnsi="Arial"/>
        </w:rPr>
        <w:t xml:space="preserve">.008 Non-Retaliation</w:t>
      </w:r>
    </w:p>
    <w:p>
      <w:r>
        <w:rPr>
          <w:rFonts w:ascii="Arial" w:cs="Arial" w:eastAsia="Arial" w:hAnsi="Arial"/>
          <w:sz w:val="22"/>
          <w:szCs w:val="22"/>
        </w:rPr>
        <w:t xml:space="preserve">Employees who request or receive accommodations are protected from retaliation. Any adverse action taken in connection with an accommodation request should be reported immediately to HR or through the Ethics Hotline.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2026-03-16T20:37:01.712Z</dcterms:created>
  <dcterms:modified xsi:type="dcterms:W3CDTF">2026-03-16T20:37:01.712Z</dcterms:modified>
</cp:coreProperties>
</file>

<file path=docProps/custom.xml><?xml version="1.0" encoding="utf-8"?>
<Properties xmlns="http://schemas.openxmlformats.org/officeDocument/2006/custom-properties" xmlns:vt="http://schemas.openxmlformats.org/officeDocument/2006/docPropsVTypes"/>
</file>