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IT Change Management Policy</w:t>
      </w:r>
    </w:p>
    <w:p>
      <w:pPr>
        <w:jc w:val="center"/>
      </w:pPr>
      <w:r>
        <w:rPr>
          <w:rFonts w:ascii="Arial" w:cs="Arial" w:eastAsia="Arial" w:hAnsi="Arial"/>
          <w:color w:val="888888"/>
          <w:sz w:val="18"/>
          <w:szCs w:val="18"/>
        </w:rPr>
        <w:t xml:space="preserve">Policy Number: IT-5000  |  Version: 2.0  |  Effective: February 1, 2026  |  Owner: IT / Engineering</w:t>
      </w:r>
    </w:p>
    <w:p>
      <w:pPr>
        <w:jc w:val="center"/>
      </w:pPr>
      <w:r>
        <w:rPr>
          <w:rFonts w:ascii="Arial" w:cs="Arial" w:eastAsia="Arial" w:hAnsi="Arial"/>
          <w:i/>
          <w:iCs/>
          <w:color w:val="AA3333"/>
          <w:sz w:val="16"/>
          <w:szCs w:val="16"/>
        </w:rPr>
        <w:t xml:space="preserve">Supersedes Version 1.0 (February 1, 2025)</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governs the planning, review, approval, and implementation of changes to production IT systems. Version 2.0 tightens emergency change governance, expands the blackout calendar, and introduces controls specific to AI and machine learning system changes.</w:t>
      </w:r>
    </w:p>
    <w:p/>
    <w:p>
      <w:pPr>
        <w:pStyle w:val="Heading1"/>
      </w:pPr>
      <w:r>
        <w:rPr>
          <w:rFonts w:ascii="Arial" w:cs="Arial" w:eastAsia="Arial" w:hAnsi="Arial"/>
        </w:rPr>
        <w:t xml:space="preserve">.002 Change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Approval Path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Pre-approved, low-risk, routine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CAB required; follow pre-approved runbook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non-emergency change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CAB review at weekly meeting; 5-day lead time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impact or risk; affects core systems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CAB + CTO approval; 10-day lead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Urgent fix to restore service or patch critical vulnerability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ECAB (CISO + CTO required, new in v2.0); post-implementation review within 10 days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AI/ML System Change (New)</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change to production ML models, training pipelines, or AI decision systems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CAB + CISO + AI Ethics review; 15-day lead time</w:t>
            </w:r>
          </w:p>
        </w:tc>
      </w:tr>
    </w:tbl>
    <w:p/>
    <w:p>
      <w:pPr>
        <w:pStyle w:val="Heading1"/>
      </w:pPr>
      <w:r>
        <w:rPr>
          <w:rFonts w:ascii="Arial" w:cs="Arial" w:eastAsia="Arial" w:hAnsi="Arial"/>
        </w:rPr>
        <w:t xml:space="preserve">.003 Change Advisory Board (CAB)</w:t>
      </w:r>
    </w:p>
    <w:p>
      <w:r>
        <w:rPr>
          <w:rFonts w:ascii="Arial" w:cs="Arial" w:eastAsia="Arial" w:hAnsi="Arial"/>
          <w:sz w:val="22"/>
          <w:szCs w:val="22"/>
        </w:rPr>
        <w:t xml:space="preserve">The CAB meets weekly and includes representatives from IT Operations, Engineering, Security, and business stakeholders. Approval requires consensus; Security may veto any change with an unacceptable risk profile. Starting v2.0, a Legal representative is a standing CAB member for Major and AI/ML category changes.</w:t>
      </w:r>
    </w:p>
    <w:p/>
    <w:p>
      <w:pPr>
        <w:pStyle w:val="Heading1"/>
      </w:pPr>
      <w:r>
        <w:rPr>
          <w:rFonts w:ascii="Arial" w:cs="Arial" w:eastAsia="Arial" w:hAnsi="Arial"/>
        </w:rPr>
        <w:t xml:space="preserve">.004 Change Request Requirements</w:t>
      </w:r>
    </w:p>
    <w:p>
      <w:r>
        <w:rPr>
          <w:rFonts w:ascii="Arial" w:cs="Arial" w:eastAsia="Arial" w:hAnsi="Arial"/>
          <w:sz w:val="22"/>
          <w:szCs w:val="22"/>
        </w:rPr>
        <w:t xml:space="preserve">All Normal, Major, and AI/ML change requests must include:</w:t>
      </w:r>
    </w:p>
    <w:p>
      <w:pPr>
        <w:pStyle w:val="ListParagraph"/>
        <w:numPr>
          <w:ilvl w:val="0"/>
          <w:numId w:val="2"/>
        </w:numPr>
      </w:pPr>
      <w:r>
        <w:rPr>
          <w:rFonts w:ascii="Arial" w:cs="Arial" w:eastAsia="Arial" w:hAnsi="Arial"/>
          <w:sz w:val="22"/>
          <w:szCs w:val="22"/>
        </w:rPr>
        <w:t xml:space="preserve">Description of change and business justification</w:t>
      </w:r>
    </w:p>
    <w:p>
      <w:pPr>
        <w:pStyle w:val="ListParagraph"/>
        <w:numPr>
          <w:ilvl w:val="0"/>
          <w:numId w:val="2"/>
        </w:numPr>
      </w:pPr>
      <w:r>
        <w:rPr>
          <w:rFonts w:ascii="Arial" w:cs="Arial" w:eastAsia="Arial" w:hAnsi="Arial"/>
          <w:sz w:val="22"/>
          <w:szCs w:val="22"/>
        </w:rPr>
        <w:t xml:space="preserve">Impact assessment (systems, users, dependencies)</w:t>
      </w:r>
    </w:p>
    <w:p>
      <w:pPr>
        <w:pStyle w:val="ListParagraph"/>
        <w:numPr>
          <w:ilvl w:val="0"/>
          <w:numId w:val="2"/>
        </w:numPr>
      </w:pPr>
      <w:r>
        <w:rPr>
          <w:rFonts w:ascii="Arial" w:cs="Arial" w:eastAsia="Arial" w:hAnsi="Arial"/>
          <w:sz w:val="22"/>
          <w:szCs w:val="22"/>
        </w:rPr>
        <w:t xml:space="preserve">Risk assessment and mitigation plan</w:t>
      </w:r>
    </w:p>
    <w:p>
      <w:pPr>
        <w:pStyle w:val="ListParagraph"/>
        <w:numPr>
          <w:ilvl w:val="0"/>
          <w:numId w:val="2"/>
        </w:numPr>
      </w:pPr>
      <w:r>
        <w:rPr>
          <w:rFonts w:ascii="Arial" w:cs="Arial" w:eastAsia="Arial" w:hAnsi="Arial"/>
          <w:sz w:val="22"/>
          <w:szCs w:val="22"/>
        </w:rPr>
        <w:t xml:space="preserve">Implementation steps and timeline</w:t>
      </w:r>
    </w:p>
    <w:p>
      <w:pPr>
        <w:pStyle w:val="ListParagraph"/>
        <w:numPr>
          <w:ilvl w:val="0"/>
          <w:numId w:val="2"/>
        </w:numPr>
      </w:pPr>
      <w:r>
        <w:rPr>
          <w:rFonts w:ascii="Arial" w:cs="Arial" w:eastAsia="Arial" w:hAnsi="Arial"/>
          <w:sz w:val="22"/>
          <w:szCs w:val="22"/>
        </w:rPr>
        <w:t xml:space="preserve">Rollback plan with tested restore procedure</w:t>
      </w:r>
    </w:p>
    <w:p>
      <w:pPr>
        <w:pStyle w:val="ListParagraph"/>
        <w:numPr>
          <w:ilvl w:val="0"/>
          <w:numId w:val="2"/>
        </w:numPr>
      </w:pPr>
      <w:r>
        <w:rPr>
          <w:rFonts w:ascii="Arial" w:cs="Arial" w:eastAsia="Arial" w:hAnsi="Arial"/>
          <w:sz w:val="22"/>
          <w:szCs w:val="22"/>
        </w:rPr>
        <w:t xml:space="preserve">Test results from non-production environment</w:t>
      </w:r>
    </w:p>
    <w:p>
      <w:pPr>
        <w:pStyle w:val="ListParagraph"/>
        <w:numPr>
          <w:ilvl w:val="0"/>
          <w:numId w:val="2"/>
        </w:numPr>
      </w:pPr>
      <w:r>
        <w:rPr>
          <w:rFonts w:ascii="Arial" w:cs="Arial" w:eastAsia="Arial" w:hAnsi="Arial"/>
          <w:sz w:val="22"/>
          <w:szCs w:val="22"/>
        </w:rPr>
        <w:t xml:space="preserve">Communication plan for affected stakeholders</w:t>
      </w:r>
    </w:p>
    <w:p>
      <w:pPr>
        <w:pStyle w:val="ListParagraph"/>
        <w:numPr>
          <w:ilvl w:val="0"/>
          <w:numId w:val="2"/>
        </w:numPr>
      </w:pPr>
      <w:r>
        <w:rPr>
          <w:rFonts w:ascii="Arial" w:cs="Arial" w:eastAsia="Arial" w:hAnsi="Arial"/>
          <w:sz w:val="22"/>
          <w:szCs w:val="22"/>
        </w:rPr>
        <w:t xml:space="preserve">For AI/ML changes: model card, fairness assessment, and monitoring plan (new in v2.0)</w:t>
      </w:r>
    </w:p>
    <w:p/>
    <w:p>
      <w:pPr>
        <w:pStyle w:val="Heading1"/>
      </w:pPr>
      <w:r>
        <w:rPr>
          <w:rFonts w:ascii="Arial" w:cs="Arial" w:eastAsia="Arial" w:hAnsi="Arial"/>
        </w:rPr>
        <w:t xml:space="preserve">.005 Blackout Periods</w:t>
      </w:r>
    </w:p>
    <w:p>
      <w:r>
        <w:rPr>
          <w:rFonts w:ascii="Arial" w:cs="Arial" w:eastAsia="Arial" w:hAnsi="Arial"/>
          <w:sz w:val="22"/>
          <w:szCs w:val="22"/>
        </w:rPr>
        <w:t xml:space="preserve">Changes to production systems are prohibited during the following blackout periods unless approved as Emergency changes:</w:t>
      </w:r>
    </w:p>
    <w:p>
      <w:pPr>
        <w:pStyle w:val="ListParagraph"/>
        <w:numPr>
          <w:ilvl w:val="0"/>
          <w:numId w:val="2"/>
        </w:numPr>
      </w:pPr>
      <w:r>
        <w:rPr>
          <w:rFonts w:ascii="Arial" w:cs="Arial" w:eastAsia="Arial" w:hAnsi="Arial"/>
          <w:sz w:val="22"/>
          <w:szCs w:val="22"/>
        </w:rPr>
        <w:t xml:space="preserve">Fiscal quarter-end close (last 5 business days of each quarter)</w:t>
      </w:r>
    </w:p>
    <w:p>
      <w:pPr>
        <w:pStyle w:val="ListParagraph"/>
        <w:numPr>
          <w:ilvl w:val="0"/>
          <w:numId w:val="2"/>
        </w:numPr>
      </w:pPr>
      <w:r>
        <w:rPr>
          <w:rFonts w:ascii="Arial" w:cs="Arial" w:eastAsia="Arial" w:hAnsi="Arial"/>
          <w:sz w:val="22"/>
          <w:szCs w:val="22"/>
        </w:rPr>
        <w:t xml:space="preserve">Major product releases (72 hours before and after)</w:t>
      </w:r>
    </w:p>
    <w:p>
      <w:pPr>
        <w:pStyle w:val="ListParagraph"/>
        <w:numPr>
          <w:ilvl w:val="0"/>
          <w:numId w:val="2"/>
        </w:numPr>
      </w:pPr>
      <w:r>
        <w:rPr>
          <w:rFonts w:ascii="Arial" w:cs="Arial" w:eastAsia="Arial" w:hAnsi="Arial"/>
          <w:sz w:val="22"/>
          <w:szCs w:val="22"/>
        </w:rPr>
        <w:t xml:space="preserve">Company-wide events (all-hands, major launches)</w:t>
      </w:r>
    </w:p>
    <w:p>
      <w:pPr>
        <w:pStyle w:val="ListParagraph"/>
        <w:numPr>
          <w:ilvl w:val="0"/>
          <w:numId w:val="2"/>
        </w:numPr>
      </w:pPr>
      <w:r>
        <w:rPr>
          <w:rFonts w:ascii="Arial" w:cs="Arial" w:eastAsia="Arial" w:hAnsi="Arial"/>
          <w:sz w:val="22"/>
          <w:szCs w:val="22"/>
        </w:rPr>
        <w:t xml:space="preserve">Federal holidays designated by IT Operations each January</w:t>
      </w:r>
    </w:p>
    <w:p>
      <w:pPr>
        <w:pStyle w:val="ListParagraph"/>
        <w:numPr>
          <w:ilvl w:val="0"/>
          <w:numId w:val="2"/>
        </w:numPr>
      </w:pPr>
      <w:r>
        <w:rPr>
          <w:rFonts w:ascii="Arial" w:cs="Arial" w:eastAsia="Arial" w:hAnsi="Arial"/>
          <w:sz w:val="22"/>
          <w:szCs w:val="22"/>
        </w:rPr>
        <w:t xml:space="preserve">Cyber Threat Level 4 or 5 alerts issued by IT Security (new in v2.0) — automatic freeze until threat downgraded</w:t>
      </w:r>
    </w:p>
    <w:p/>
    <w:p>
      <w:pPr>
        <w:pStyle w:val="Heading1"/>
      </w:pPr>
      <w:r>
        <w:rPr>
          <w:rFonts w:ascii="Arial" w:cs="Arial" w:eastAsia="Arial" w:hAnsi="Arial"/>
        </w:rPr>
        <w:t xml:space="preserve">.006 Post-Implementation Review</w:t>
      </w:r>
    </w:p>
    <w:p>
      <w:r>
        <w:rPr>
          <w:rFonts w:ascii="Arial" w:cs="Arial" w:eastAsia="Arial" w:hAnsi="Arial"/>
          <w:sz w:val="22"/>
          <w:szCs w:val="22"/>
        </w:rPr>
        <w:t xml:space="preserve">All Major changes and any change that caused an unplanned outage or incident require a post-implementation review within 10 business days (extended from 5 for thoroughness). Emergency changes require post-implementation review within 5 business days. Reviews are stored in the Change Management repository and presented to the CAB monthly.</w:t>
      </w:r>
    </w:p>
    <w:p/>
    <w:p>
      <w:pPr>
        <w:pStyle w:val="Heading1"/>
      </w:pPr>
      <w:r>
        <w:rPr>
          <w:rFonts w:ascii="Arial" w:cs="Arial" w:eastAsia="Arial" w:hAnsi="Arial"/>
        </w:rPr>
        <w:t xml:space="preserve">.007 AI and Machine Learning System Changes (New in v2.0)</w:t>
      </w:r>
    </w:p>
    <w:p>
      <w:r>
        <w:rPr>
          <w:rFonts w:ascii="Arial" w:cs="Arial" w:eastAsia="Arial" w:hAnsi="Arial"/>
          <w:sz w:val="22"/>
          <w:szCs w:val="22"/>
        </w:rPr>
        <w:t xml:space="preserve">Changes to production AI/ML systems carry unique risks due to emergent behavior, data dependency, and fairness implications. In addition to standard change requirements, AI/ML change requests must document:</w:t>
      </w:r>
    </w:p>
    <w:p>
      <w:pPr>
        <w:pStyle w:val="ListParagraph"/>
        <w:numPr>
          <w:ilvl w:val="0"/>
          <w:numId w:val="2"/>
        </w:numPr>
      </w:pPr>
      <w:r>
        <w:rPr>
          <w:rFonts w:ascii="Arial" w:cs="Arial" w:eastAsia="Arial" w:hAnsi="Arial"/>
          <w:sz w:val="22"/>
          <w:szCs w:val="22"/>
        </w:rPr>
        <w:t xml:space="preserve">Training data sources and any changes to the data pipeline</w:t>
      </w:r>
    </w:p>
    <w:p>
      <w:pPr>
        <w:pStyle w:val="ListParagraph"/>
        <w:numPr>
          <w:ilvl w:val="0"/>
          <w:numId w:val="2"/>
        </w:numPr>
      </w:pPr>
      <w:r>
        <w:rPr>
          <w:rFonts w:ascii="Arial" w:cs="Arial" w:eastAsia="Arial" w:hAnsi="Arial"/>
          <w:sz w:val="22"/>
          <w:szCs w:val="22"/>
        </w:rPr>
        <w:t xml:space="preserve">Evaluation metrics before and after change (accuracy, recall, bias metrics)</w:t>
      </w:r>
    </w:p>
    <w:p>
      <w:pPr>
        <w:pStyle w:val="ListParagraph"/>
        <w:numPr>
          <w:ilvl w:val="0"/>
          <w:numId w:val="2"/>
        </w:numPr>
      </w:pPr>
      <w:r>
        <w:rPr>
          <w:rFonts w:ascii="Arial" w:cs="Arial" w:eastAsia="Arial" w:hAnsi="Arial"/>
          <w:sz w:val="22"/>
          <w:szCs w:val="22"/>
        </w:rPr>
        <w:t xml:space="preserve">Monitoring and alerting plan for model drift</w:t>
      </w:r>
    </w:p>
    <w:p>
      <w:pPr>
        <w:pStyle w:val="ListParagraph"/>
        <w:numPr>
          <w:ilvl w:val="0"/>
          <w:numId w:val="2"/>
        </w:numPr>
      </w:pPr>
      <w:r>
        <w:rPr>
          <w:rFonts w:ascii="Arial" w:cs="Arial" w:eastAsia="Arial" w:hAnsi="Arial"/>
          <w:sz w:val="22"/>
          <w:szCs w:val="22"/>
        </w:rPr>
        <w:t xml:space="preserve">Human review touchpoints for high-stakes automated decisions</w:t>
      </w:r>
    </w:p>
    <w:p>
      <w:pPr>
        <w:pStyle w:val="ListParagraph"/>
        <w:numPr>
          <w:ilvl w:val="0"/>
          <w:numId w:val="2"/>
        </w:numPr>
      </w:pPr>
      <w:r>
        <w:rPr>
          <w:rFonts w:ascii="Arial" w:cs="Arial" w:eastAsia="Arial" w:hAnsi="Arial"/>
          <w:sz w:val="22"/>
          <w:szCs w:val="22"/>
        </w:rPr>
        <w:t xml:space="preserve">Rollback criteria: conditions under which the prior model version is automatically restored</w:t>
      </w:r>
    </w:p>
    <w:p>
      <w:r>
        <w:rPr>
          <w:rFonts w:ascii="Arial" w:cs="Arial" w:eastAsia="Arial" w:hAnsi="Arial"/>
          <w:sz w:val="22"/>
          <w:szCs w:val="22"/>
        </w:rPr>
        <w:t xml:space="preserve">The AI Ethics committee must sign off on any AI/ML change that affects decisions related to employment, credit, healthcare, or legal matters.</w:t>
      </w:r>
    </w:p>
    <w:p/>
    <w:p>
      <w:r>
        <w:rPr>
          <w:rFonts w:ascii="Arial" w:cs="Arial" w:eastAsia="Arial" w:hAnsi="Arial"/>
          <w:b/>
          <w:bCs/>
          <w:color w:val="1A3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4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1, 2025</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February 1,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CAB requires CISO + CTO sign-off; AI/ML change category added (.002, .007); Legal added as standing CAB member; blackout expanded for cyber threat alerts; post-impl review extended to 10 days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2026-03-16T21:40:23.865Z</dcterms:created>
  <dcterms:modified xsi:type="dcterms:W3CDTF">2026-03-16T21:40:23.865Z</dcterms:modified>
</cp:coreProperties>
</file>

<file path=docProps/custom.xml><?xml version="1.0" encoding="utf-8"?>
<Properties xmlns="http://schemas.openxmlformats.org/officeDocument/2006/custom-properties" xmlns:vt="http://schemas.openxmlformats.org/officeDocument/2006/docPropsVTypes"/>
</file>