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Calibri" w:cs="Calibri" w:eastAsia="Calibri" w:hAnsi="Calibri"/>
          <w:b/>
          <w:bCs/>
          <w:color w:val="6D2E46"/>
          <w:sz w:val="40"/>
          <w:szCs w:val="40"/>
        </w:rPr>
        <w:t xml:space="preserve">Executive Travel and Personal Security Policy</w:t>
      </w:r>
    </w:p>
    <w:p>
      <w:r>
        <w:rPr>
          <w:rFonts w:ascii="Calibri" w:cs="Calibri" w:eastAsia="Calibri" w:hAnsi="Calibri"/>
          <w:color w:val="888888"/>
          <w:sz w:val="18"/>
          <w:szCs w:val="18"/>
        </w:rPr>
        <w:t xml:space="preserve">Policy Number: LEGAL-4000  |  Effective: January 1, 2025  |  Owner: Legal / Security / HR</w:t>
      </w:r>
    </w:p>
    <w:p>
      <w:pPr>
        <w:pBdr>
          <w:bottom w:val="single" w:color="A26769" w:sz="8" w:space="1"/>
        </w:pBdr>
      </w:pPr>
    </w:p>
    <w:p/>
    <w:p>
      <w:pPr>
        <w:pStyle w:val="Heading1"/>
      </w:pPr>
      <w:r>
        <w:rPr>
          <w:rFonts w:ascii="Calibri" w:cs="Calibri" w:eastAsia="Calibri" w:hAnsi="Calibri"/>
        </w:rPr>
        <w:t xml:space="preserve">1. Purpose</w:t>
      </w:r>
    </w:p>
    <w:p>
      <w:r>
        <w:rPr>
          <w:rFonts w:ascii="Calibri" w:cs="Calibri" w:eastAsia="Calibri" w:hAnsi="Calibri"/>
          <w:sz w:val="22"/>
          <w:szCs w:val="22"/>
        </w:rPr>
        <w:t xml:space="preserve">This policy establishes security and logistical requirements for executive travel, ensuring the safety of company officers and directors while managing the company's duty of care obligations and reputational risks associated with executive travel.</w:t>
      </w:r>
    </w:p>
    <w:p/>
    <w:p>
      <w:pPr>
        <w:pStyle w:val="Heading1"/>
      </w:pPr>
      <w:r>
        <w:rPr>
          <w:rFonts w:ascii="Calibri" w:cs="Calibri" w:eastAsia="Calibri" w:hAnsi="Calibri"/>
        </w:rPr>
        <w:t xml:space="preserve">2. Scope</w:t>
      </w:r>
    </w:p>
    <w:p>
      <w:r>
        <w:rPr>
          <w:rFonts w:ascii="Calibri" w:cs="Calibri" w:eastAsia="Calibri" w:hAnsi="Calibri"/>
          <w:sz w:val="22"/>
          <w:szCs w:val="22"/>
        </w:rPr>
        <w:t xml:space="preserve">Applies to all C-suite officers, EVP-level employees, and Board members when traveling domestically or internationally for company business. The Security team may extend requirements to VP-level employees traveling to elevated-risk destinations.</w:t>
      </w:r>
    </w:p>
    <w:p/>
    <w:p>
      <w:pPr>
        <w:pStyle w:val="Heading1"/>
      </w:pPr>
      <w:r>
        <w:rPr>
          <w:rFonts w:ascii="Calibri" w:cs="Calibri" w:eastAsia="Calibri" w:hAnsi="Calibri"/>
        </w:rPr>
        <w:t xml:space="preserve">3. Pre-Travel Requirements</w:t>
      </w:r>
    </w:p>
    <w:p>
      <w:pPr>
        <w:pStyle w:val="Heading2"/>
      </w:pPr>
      <w:r>
        <w:rPr>
          <w:rFonts w:ascii="Calibri" w:cs="Calibri" w:eastAsia="Calibri" w:hAnsi="Calibri"/>
        </w:rPr>
        <w:t xml:space="preserve">3.1 All Executive Travel</w:t>
      </w:r>
    </w:p>
    <w:p>
      <w:pPr>
        <w:pStyle w:val="ListParagraph"/>
        <w:numPr>
          <w:ilvl w:val="0"/>
          <w:numId w:val="2"/>
        </w:numPr>
      </w:pPr>
      <w:r>
        <w:rPr>
          <w:rFonts w:ascii="Calibri" w:cs="Calibri" w:eastAsia="Calibri" w:hAnsi="Calibri"/>
          <w:sz w:val="22"/>
          <w:szCs w:val="22"/>
        </w:rPr>
        <w:t xml:space="preserve">Register itinerary in the Executive Travel Portal at least 72 hours before departure</w:t>
      </w:r>
    </w:p>
    <w:p>
      <w:pPr>
        <w:pStyle w:val="ListParagraph"/>
        <w:numPr>
          <w:ilvl w:val="0"/>
          <w:numId w:val="2"/>
        </w:numPr>
      </w:pPr>
      <w:r>
        <w:rPr>
          <w:rFonts w:ascii="Calibri" w:cs="Calibri" w:eastAsia="Calibri" w:hAnsi="Calibri"/>
          <w:sz w:val="22"/>
          <w:szCs w:val="22"/>
        </w:rPr>
        <w:t xml:space="preserve">Confirm emergency contact list is current in the portal</w:t>
      </w:r>
    </w:p>
    <w:p>
      <w:pPr>
        <w:pStyle w:val="ListParagraph"/>
        <w:numPr>
          <w:ilvl w:val="0"/>
          <w:numId w:val="2"/>
        </w:numPr>
      </w:pPr>
      <w:r>
        <w:rPr>
          <w:rFonts w:ascii="Calibri" w:cs="Calibri" w:eastAsia="Calibri" w:hAnsi="Calibri"/>
          <w:sz w:val="22"/>
          <w:szCs w:val="22"/>
        </w:rPr>
        <w:t xml:space="preserve">Review destination risk briefing prepared by the Security team</w:t>
      </w:r>
    </w:p>
    <w:p>
      <w:pPr>
        <w:pStyle w:val="ListParagraph"/>
        <w:numPr>
          <w:ilvl w:val="0"/>
          <w:numId w:val="2"/>
        </w:numPr>
      </w:pPr>
      <w:r>
        <w:rPr>
          <w:rFonts w:ascii="Calibri" w:cs="Calibri" w:eastAsia="Calibri" w:hAnsi="Calibri"/>
          <w:sz w:val="22"/>
          <w:szCs w:val="22"/>
        </w:rPr>
        <w:t xml:space="preserve">Ensure corporate card is active and travel insurance coverage is confirmed with HR</w:t>
      </w:r>
    </w:p>
    <w:p>
      <w:pPr>
        <w:pStyle w:val="Heading2"/>
      </w:pPr>
      <w:r>
        <w:rPr>
          <w:rFonts w:ascii="Calibri" w:cs="Calibri" w:eastAsia="Calibri" w:hAnsi="Calibri"/>
        </w:rPr>
        <w:t xml:space="preserve">3.2 International Travel</w:t>
      </w:r>
    </w:p>
    <w:p>
      <w:pPr>
        <w:pStyle w:val="ListParagraph"/>
        <w:numPr>
          <w:ilvl w:val="0"/>
          <w:numId w:val="2"/>
        </w:numPr>
      </w:pPr>
      <w:r>
        <w:rPr>
          <w:rFonts w:ascii="Calibri" w:cs="Calibri" w:eastAsia="Calibri" w:hAnsi="Calibri"/>
          <w:sz w:val="22"/>
          <w:szCs w:val="22"/>
        </w:rPr>
        <w:t xml:space="preserve">Country risk assessment required — Security team provides within 24 hours of request</w:t>
      </w:r>
    </w:p>
    <w:p>
      <w:pPr>
        <w:pStyle w:val="ListParagraph"/>
        <w:numPr>
          <w:ilvl w:val="0"/>
          <w:numId w:val="2"/>
        </w:numPr>
      </w:pPr>
      <w:r>
        <w:rPr>
          <w:rFonts w:ascii="Calibri" w:cs="Calibri" w:eastAsia="Calibri" w:hAnsi="Calibri"/>
          <w:sz w:val="22"/>
          <w:szCs w:val="22"/>
        </w:rPr>
        <w:t xml:space="preserve">For Level 3 and Level 4 risk destinations (per State Department classification): VP of Security approval required before travel is booked</w:t>
      </w:r>
    </w:p>
    <w:p>
      <w:pPr>
        <w:pStyle w:val="ListParagraph"/>
        <w:numPr>
          <w:ilvl w:val="0"/>
          <w:numId w:val="2"/>
        </w:numPr>
      </w:pPr>
      <w:r>
        <w:rPr>
          <w:rFonts w:ascii="Calibri" w:cs="Calibri" w:eastAsia="Calibri" w:hAnsi="Calibri"/>
          <w:sz w:val="22"/>
          <w:szCs w:val="22"/>
        </w:rPr>
        <w:t xml:space="preserve">Sanitized devices (loaner laptops, temporary phones) must be used for travel to China, Russia, and other high-risk technology-theft jurisdictions — coordinate with IT Security 5 business days before departure</w:t>
      </w:r>
    </w:p>
    <w:p>
      <w:pPr>
        <w:pStyle w:val="ListParagraph"/>
        <w:numPr>
          <w:ilvl w:val="0"/>
          <w:numId w:val="2"/>
        </w:numPr>
      </w:pPr>
      <w:r>
        <w:rPr>
          <w:rFonts w:ascii="Calibri" w:cs="Calibri" w:eastAsia="Calibri" w:hAnsi="Calibri"/>
          <w:sz w:val="22"/>
          <w:szCs w:val="22"/>
        </w:rPr>
        <w:t xml:space="preserve">Personal VPN on company-approved app required for all international travel</w:t>
      </w:r>
    </w:p>
    <w:p/>
    <w:p>
      <w:pPr>
        <w:pStyle w:val="Heading1"/>
      </w:pPr>
      <w:r>
        <w:rPr>
          <w:rFonts w:ascii="Calibri" w:cs="Calibri" w:eastAsia="Calibri" w:hAnsi="Calibri"/>
        </w:rPr>
        <w:t xml:space="preserve">4. Ground Transportation</w:t>
      </w:r>
    </w:p>
    <w:p>
      <w:r>
        <w:rPr>
          <w:rFonts w:ascii="Calibri" w:cs="Calibri" w:eastAsia="Calibri" w:hAnsi="Calibri"/>
          <w:sz w:val="22"/>
          <w:szCs w:val="22"/>
        </w:rPr>
        <w:t xml:space="preserve">For all executive travel, ground transportation must be pre-arranged through the company's approved car service provider. Ride-share apps and unvetted taxis are prohibited for travel to/from airports and between hotels and business venues in all international locations and high-risk domestic cities. The Security team maintains a list of approved local providers by city.</w:t>
      </w:r>
    </w:p>
    <w:p/>
    <w:p>
      <w:pPr>
        <w:pStyle w:val="Heading1"/>
      </w:pPr>
      <w:r>
        <w:rPr>
          <w:rFonts w:ascii="Calibri" w:cs="Calibri" w:eastAsia="Calibri" w:hAnsi="Calibri"/>
        </w:rPr>
        <w:t xml:space="preserve">5. Accommodation</w:t>
      </w:r>
    </w:p>
    <w:p>
      <w:pPr>
        <w:pStyle w:val="ListParagraph"/>
        <w:numPr>
          <w:ilvl w:val="0"/>
          <w:numId w:val="2"/>
        </w:numPr>
      </w:pPr>
      <w:r>
        <w:rPr>
          <w:rFonts w:ascii="Calibri" w:cs="Calibri" w:eastAsia="Calibri" w:hAnsi="Calibri"/>
          <w:sz w:val="22"/>
          <w:szCs w:val="22"/>
        </w:rPr>
        <w:t xml:space="preserve">Book through the executive travel desk; do not use personal accounts or consumer platforms</w:t>
      </w:r>
    </w:p>
    <w:p>
      <w:pPr>
        <w:pStyle w:val="ListParagraph"/>
        <w:numPr>
          <w:ilvl w:val="0"/>
          <w:numId w:val="2"/>
        </w:numPr>
      </w:pPr>
      <w:r>
        <w:rPr>
          <w:rFonts w:ascii="Calibri" w:cs="Calibri" w:eastAsia="Calibri" w:hAnsi="Calibri"/>
          <w:sz w:val="22"/>
          <w:szCs w:val="22"/>
        </w:rPr>
        <w:t xml:space="preserve">Use hotels with 24-hour security and established company relationships</w:t>
      </w:r>
    </w:p>
    <w:p>
      <w:pPr>
        <w:pStyle w:val="ListParagraph"/>
        <w:numPr>
          <w:ilvl w:val="0"/>
          <w:numId w:val="2"/>
        </w:numPr>
      </w:pPr>
      <w:r>
        <w:rPr>
          <w:rFonts w:ascii="Calibri" w:cs="Calibri" w:eastAsia="Calibri" w:hAnsi="Calibri"/>
          <w:sz w:val="22"/>
          <w:szCs w:val="22"/>
        </w:rPr>
        <w:t xml:space="preserve">Do not publicize accommodation location on social media during travel</w:t>
      </w:r>
    </w:p>
    <w:p>
      <w:pPr>
        <w:pStyle w:val="ListParagraph"/>
        <w:numPr>
          <w:ilvl w:val="0"/>
          <w:numId w:val="2"/>
        </w:numPr>
      </w:pPr>
      <w:r>
        <w:rPr>
          <w:rFonts w:ascii="Calibri" w:cs="Calibri" w:eastAsia="Calibri" w:hAnsi="Calibri"/>
          <w:sz w:val="22"/>
          <w:szCs w:val="22"/>
        </w:rPr>
        <w:t xml:space="preserve">Report to the Security team any approach by unknown individuals seeking personal or company information</w:t>
      </w:r>
    </w:p>
    <w:p/>
    <w:p>
      <w:pPr>
        <w:pStyle w:val="Heading1"/>
      </w:pPr>
      <w:r>
        <w:rPr>
          <w:rFonts w:ascii="Calibri" w:cs="Calibri" w:eastAsia="Calibri" w:hAnsi="Calibri"/>
        </w:rPr>
        <w:t xml:space="preserve">6. Device and Information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6D2E46"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Situation</w:t>
            </w:r>
          </w:p>
        </w:tc>
        <w:tc>
          <w:tcPr>
            <w:tcW w:type="dxa" w:w="6240"/>
            <w:tcBorders>
              <w:top w:val="single" w:color="CCCCCC" w:sz="1"/>
              <w:left w:val="single" w:color="CCCCCC" w:sz="1"/>
              <w:bottom w:val="single" w:color="CCCCCC" w:sz="1"/>
              <w:right w:val="single" w:color="CCCCCC" w:sz="1"/>
            </w:tcBorders>
            <w:shd w:fill="6D2E46" w:val="clear"/>
            <w:tcMar>
              <w:top w:type="dxa" w:w="80"/>
              <w:left w:type="dxa" w:w="120"/>
              <w:bottom w:type="dxa" w:w="80"/>
              <w:right w:type="dxa" w:w="120"/>
            </w:tcMar>
          </w:tcPr>
          <w:p>
            <w:r>
              <w:rPr>
                <w:rFonts w:ascii="Trebuchet MS" w:cs="Trebuchet MS" w:eastAsia="Trebuchet MS" w:hAnsi="Trebuchet MS"/>
                <w:b/>
                <w:bCs/>
                <w:color w:val="FFFFFF"/>
                <w:sz w:val="20"/>
                <w:szCs w:val="20"/>
              </w:rPr>
              <w:t xml:space="preserve">Requirement</w:t>
            </w:r>
          </w:p>
        </w:tc>
      </w:tr>
      <w:tr>
        <w:tc>
          <w:tcPr>
            <w:tcW w:type="dxa" w:w="31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Trebuchet MS" w:cs="Trebuchet MS" w:eastAsia="Trebuchet MS" w:hAnsi="Trebuchet MS"/>
                <w:sz w:val="20"/>
                <w:szCs w:val="20"/>
              </w:rPr>
              <w:t xml:space="preserve">Domestic travel</w:t>
            </w:r>
          </w:p>
        </w:tc>
        <w:tc>
          <w:tcPr>
            <w:tcW w:type="dxa" w:w="62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Trebuchet MS" w:cs="Trebuchet MS" w:eastAsia="Trebuchet MS" w:hAnsi="Trebuchet MS"/>
                <w:sz w:val="20"/>
                <w:szCs w:val="20"/>
              </w:rPr>
              <w:t xml:space="preserve">Standard company laptop; full-disk encryption must be active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rebuchet MS" w:cs="Trebuchet MS" w:eastAsia="Trebuchet MS" w:hAnsi="Trebuchet MS"/>
                <w:sz w:val="20"/>
                <w:szCs w:val="20"/>
              </w:rPr>
              <w:t xml:space="preserve">International — Standard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rebuchet MS" w:cs="Trebuchet MS" w:eastAsia="Trebuchet MS" w:hAnsi="Trebuchet MS"/>
                <w:sz w:val="20"/>
                <w:szCs w:val="20"/>
              </w:rPr>
              <w:t xml:space="preserve">Standard laptop + VPN required at all times on public/hotel Wi-Fi</w:t>
            </w:r>
          </w:p>
        </w:tc>
      </w:tr>
      <w:tr>
        <w:tc>
          <w:tcPr>
            <w:tcW w:type="dxa" w:w="312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Trebuchet MS" w:cs="Trebuchet MS" w:eastAsia="Trebuchet MS" w:hAnsi="Trebuchet MS"/>
                <w:sz w:val="20"/>
                <w:szCs w:val="20"/>
              </w:rPr>
              <w:t xml:space="preserve">High-risk countries</w:t>
            </w:r>
          </w:p>
        </w:tc>
        <w:tc>
          <w:tcPr>
            <w:tcW w:type="dxa" w:w="6240"/>
            <w:tcBorders>
              <w:top w:val="single" w:color="CCCCCC" w:sz="1"/>
              <w:left w:val="single" w:color="CCCCCC" w:sz="1"/>
              <w:bottom w:val="single" w:color="CCCCCC" w:sz="1"/>
              <w:right w:val="single" w:color="CCCCCC" w:sz="1"/>
            </w:tcBorders>
            <w:shd w:fill="FDF5F0" w:val="clear"/>
            <w:tcMar>
              <w:top w:type="dxa" w:w="80"/>
              <w:left w:type="dxa" w:w="120"/>
              <w:bottom w:type="dxa" w:w="80"/>
              <w:right w:type="dxa" w:w="120"/>
            </w:tcMar>
          </w:tcPr>
          <w:p>
            <w:r>
              <w:rPr>
                <w:rFonts w:ascii="Trebuchet MS" w:cs="Trebuchet MS" w:eastAsia="Trebuchet MS" w:hAnsi="Trebuchet MS"/>
                <w:sz w:val="20"/>
                <w:szCs w:val="20"/>
              </w:rPr>
              <w:t xml:space="preserve">Sanitized loaner device only; no company data stored locally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rebuchet MS" w:cs="Trebuchet MS" w:eastAsia="Trebuchet MS" w:hAnsi="Trebuchet MS"/>
                <w:sz w:val="20"/>
                <w:szCs w:val="20"/>
              </w:rPr>
              <w:t xml:space="preserve">Public-facing events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rebuchet MS" w:cs="Trebuchet MS" w:eastAsia="Trebuchet MS" w:hAnsi="Trebuchet MS"/>
                <w:sz w:val="20"/>
                <w:szCs w:val="20"/>
              </w:rPr>
              <w:t xml:space="preserve">Limit sensitive discussions; no confidential materials on screen in public</w:t>
            </w:r>
          </w:p>
        </w:tc>
      </w:tr>
    </w:tbl>
    <w:p/>
    <w:p>
      <w:pPr>
        <w:pStyle w:val="Heading1"/>
      </w:pPr>
      <w:r>
        <w:rPr>
          <w:rFonts w:ascii="Calibri" w:cs="Calibri" w:eastAsia="Calibri" w:hAnsi="Calibri"/>
        </w:rPr>
        <w:t xml:space="preserve">7. Incident Reporting</w:t>
      </w:r>
    </w:p>
    <w:p>
      <w:r>
        <w:rPr>
          <w:rFonts w:ascii="Calibri" w:cs="Calibri" w:eastAsia="Calibri" w:hAnsi="Calibri"/>
          <w:sz w:val="22"/>
          <w:szCs w:val="22"/>
        </w:rPr>
        <w:t xml:space="preserve">Executives must report any security incident, theft, suspicious contact, or device compromise to the VP of Security within 1 hour of discovery. Lost or stolen devices must also be reported to IT Security immediately so remote wipe can be initiated. All incidents are documented and reviewed quarterly by the Security Committee.</w:t>
      </w:r>
    </w:p>
    <w:p/>
    <w:p>
      <w:pPr>
        <w:pStyle w:val="Heading1"/>
      </w:pPr>
      <w:r>
        <w:rPr>
          <w:rFonts w:ascii="Calibri" w:cs="Calibri" w:eastAsia="Calibri" w:hAnsi="Calibri"/>
        </w:rPr>
        <w:t xml:space="preserve">8. Personal Security Briefings</w:t>
      </w:r>
    </w:p>
    <w:p>
      <w:r>
        <w:rPr>
          <w:rFonts w:ascii="Calibri" w:cs="Calibri" w:eastAsia="Calibri" w:hAnsi="Calibri"/>
          <w:sz w:val="22"/>
          <w:szCs w:val="22"/>
        </w:rPr>
        <w:t xml:space="preserve">The VP of Security provides an annual security briefing to all in-scope executives covering current threat environment, social engineering risks, and travel security best practices. Briefings are mandatory and completion is tracked by Legal. New executives receive a briefing within 30 days of appointment.</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left w:val="single" w:color="6D2E46" w:sz="16" w:space="8"/>
      </w:pBdr>
      <w:spacing w:before="300" w:after="160"/>
      <w:outlineLvl w:val="0"/>
    </w:pPr>
    <w:rPr>
      <w:rFonts w:ascii="Calibri" w:cs="Calibri" w:eastAsia="Calibri" w:hAnsi="Calibri"/>
      <w:b/>
      <w:bCs/>
      <w:color w:val="6D2E46"/>
      <w:sz w:val="30"/>
      <w:szCs w:val="30"/>
    </w:rPr>
  </w:style>
  <w:style w:type="paragraph" w:styleId="Heading2">
    <w:name w:val="Heading 2"/>
    <w:basedOn w:val="Normal"/>
    <w:next w:val="Normal"/>
    <w:qFormat/>
    <w:pPr>
      <w:spacing w:before="180" w:after="80"/>
      <w:outlineLvl w:val="1"/>
    </w:pPr>
    <w:rPr>
      <w:rFonts w:ascii="Calibri" w:cs="Calibri" w:eastAsia="Calibri" w:hAnsi="Calibri"/>
      <w:b/>
      <w:bCs/>
      <w:color w:val="4A1A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2026-03-16T21:15:42.289Z</dcterms:created>
  <dcterms:modified xsi:type="dcterms:W3CDTF">2026-03-16T21:15:42.289Z</dcterms:modified>
</cp:coreProperties>
</file>

<file path=docProps/custom.xml><?xml version="1.0" encoding="utf-8"?>
<Properties xmlns="http://schemas.openxmlformats.org/officeDocument/2006/custom-properties" xmlns:vt="http://schemas.openxmlformats.org/officeDocument/2006/docPropsVTypes"/>
</file>