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Tuition and Professional Development Reimbursement Policy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Policy Number: HR-5000  |  Effective: September 1, 2024  |  Owner: HR / Total Rewards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.001 Purpose</w:t>
      </w:r>
    </w:p>
    <w:p>
      <w:r>
        <w:rPr>
          <w:rFonts w:ascii="Arial" w:cs="Arial" w:eastAsia="Arial" w:hAnsi="Arial"/>
          <w:sz w:val="22"/>
          <w:szCs w:val="22"/>
        </w:rPr>
        <w:t xml:space="preserve">This policy supports employees' professional growth by providing financial assistance for qualifying educational programs and professional certifications. Investing in employee development strengthens the company's capabilities and improves retention.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.002 Eligibility</w:t>
      </w:r>
    </w:p>
    <w:p>
      <w:r>
        <w:rPr>
          <w:rFonts w:ascii="Arial" w:cs="Arial" w:eastAsia="Arial" w:hAnsi="Arial"/>
          <w:sz w:val="22"/>
          <w:szCs w:val="22"/>
        </w:rPr>
        <w:t xml:space="preserve">Employees must meet all of the following criteria to be eligible: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Regular full-time employment status (part-time employees at 0.8 FTE or above are eligible at a prorated amount)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6 months of continuous employment at time of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Satisfactory performance standing (no active PIP or corrective action)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 approval from manager and HR before beginning the program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.003 Covered Expenses and Annual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Maximum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Undergraduate tuition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Job-related programs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Graduate tuition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$6,500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relevant to current or future 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certifications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fees and prep materials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Conferences / workshops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manager and budget approval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.004 Approval Process</w:t>
      </w:r>
    </w:p>
    <w:p>
      <w:r>
        <w:rPr>
          <w:rFonts w:ascii="Arial" w:cs="Arial" w:eastAsia="Arial" w:hAnsi="Arial"/>
          <w:sz w:val="22"/>
          <w:szCs w:val="22"/>
        </w:rPr>
        <w:t xml:space="preserve">Employees must submit an Education Assistance Request through the HR portal before enrolling. The request must include the program name, institution, estimated cost, and a statement of how the program relates to the employee's role or career development. Manager and HR approval is required before any commitment is made.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.005 Reimbursement Conditions</w:t>
      </w:r>
    </w:p>
    <w:p>
      <w:r>
        <w:rPr>
          <w:rFonts w:ascii="Arial" w:cs="Arial" w:eastAsia="Arial" w:hAnsi="Arial"/>
          <w:sz w:val="22"/>
          <w:szCs w:val="22"/>
        </w:rPr>
        <w:t xml:space="preserve">Reimbursement is paid after successful completion of the program. For degree programs, a grade of B or better (or Pass in pass/fail courses) is required. For certifications, the employee must pass the exam. Original receipts or invoices must be submitted within 60 days of program completion.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.006 Repayment Obligation</w:t>
      </w:r>
    </w:p>
    <w:p>
      <w:r>
        <w:rPr>
          <w:rFonts w:ascii="Arial" w:cs="Arial" w:eastAsia="Arial" w:hAnsi="Arial"/>
          <w:sz w:val="22"/>
          <w:szCs w:val="22"/>
        </w:rPr>
        <w:t xml:space="preserve">If an employee voluntarily resigns or is terminated for cause within 12 months of receiving reimbursement, a prorated repayment obligation applies: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0–6 months post-reimbursement: 100% repayment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6–12 months post-reimbursement: 50% repayment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12+ months post-reimbursement: No repayment required</w:t>
      </w:r>
    </w:p>
    <w:p>
      <w:r>
        <w:rPr>
          <w:rFonts w:ascii="Arial" w:cs="Arial" w:eastAsia="Arial" w:hAnsi="Arial"/>
          <w:sz w:val="22"/>
          <w:szCs w:val="22"/>
        </w:rPr>
        <w:t xml:space="preserve">Repayment may be deducted from final pay where permitted by applicable state law.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A3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A3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2026-03-16T20:37:01.795Z</dcterms:created>
  <dcterms:modified xsi:type="dcterms:W3CDTF">2026-03-16T20:37:01.795Z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