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3A4A"/>
          <w:sz w:val="40"/>
          <w:szCs w:val="40"/>
        </w:rPr>
        <w:t xml:space="preserve">Insider Trading and Securities Law Compliance Policy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Policy Number: LEGAL-1200  |  Effective: January 1, 2025  |  Owner: Legal / General Counsel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.001 Purpose</w:t>
      </w:r>
    </w:p>
    <w:p>
      <w:r>
        <w:rPr>
          <w:rFonts w:ascii="Arial" w:cs="Arial" w:eastAsia="Arial" w:hAnsi="Arial"/>
          <w:sz w:val="22"/>
          <w:szCs w:val="22"/>
        </w:rPr>
        <w:t xml:space="preserve">This policy prohibits insider trading and other violations of securities laws by employees who may have access to material non-public information (MNPI) about the company or third parties. Violations carry severe civil and criminal penalties.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.002 What is Material Non-Public Information?</w:t>
      </w:r>
    </w:p>
    <w:p>
      <w:r>
        <w:rPr>
          <w:rFonts w:ascii="Arial" w:cs="Arial" w:eastAsia="Arial" w:hAnsi="Arial"/>
          <w:sz w:val="22"/>
          <w:szCs w:val="22"/>
        </w:rPr>
        <w:t xml:space="preserve">MNPI is information that: (a) has not been publicly disclosed, and (b) a reasonable investor would consider important in deciding whether to buy, sell, or hold securities. Examples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Pending mergers, acquisitions, or divestitures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Financial results before public release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Significant contract wins or losses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Major litigation developments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Regulatory decisions or investigations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Leadership changes or restructurings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.003 Trading Restrictions</w:t>
      </w:r>
    </w:p>
    <w:p>
      <w:r>
        <w:rPr>
          <w:rFonts w:ascii="Arial" w:cs="Arial" w:eastAsia="Arial" w:hAnsi="Arial"/>
          <w:sz w:val="22"/>
          <w:szCs w:val="22"/>
        </w:rPr>
        <w:t xml:space="preserve">Employees in possession of MNPI must not: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Buy or sell company securities (stock, options, bonds) while aware of MNPI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Tip others (including family members) to trade based on MNPI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Trade in securities of any public company based on MNPI learned through work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.004 Pre-Clearance Requirement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individuals must obtain pre-clearance from the General Counsel before trading company securities regardless of whether they possess MNPI: all officers, directors, and employees in Finance, Legal, and any other role designated by Legal. Pre-clearance requests must be submitted at least 2 business days before the intended trade. Pre-clearance does not guarantee the trade is lawful.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.005 Blackout Periods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Blackout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earnings blackout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Begins 2 weeks before quarter-end; ends 48 hours after earnings release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blackout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by General Counsel when MNPI event arises; duration varies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.006 10b5-1 Plans</w:t>
      </w:r>
    </w:p>
    <w:p>
      <w:r>
        <w:rPr>
          <w:rFonts w:ascii="Arial" w:cs="Arial" w:eastAsia="Arial" w:hAnsi="Arial"/>
          <w:sz w:val="22"/>
          <w:szCs w:val="22"/>
        </w:rPr>
        <w:t xml:space="preserve">Employees subject to pre-clearance may establish a Rule 10b5-1 trading plan during an open window period when they are not aware of MNPI. Once established, trades under a valid plan may occur during blackout periods. Plans must be reviewed by Legal before adoption.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.007 Consequences</w:t>
      </w:r>
    </w:p>
    <w:p>
      <w:r>
        <w:rPr>
          <w:rFonts w:ascii="Arial" w:cs="Arial" w:eastAsia="Arial" w:hAnsi="Arial"/>
          <w:sz w:val="22"/>
          <w:szCs w:val="22"/>
        </w:rPr>
        <w:t xml:space="preserve">Insider trading violations can result in: SEC enforcement actions with disgorgement of profits plus penalties up to three times the profit gained; criminal prosecution with fines up to $5 million and up to 20 years imprisonment; civil suits by shareholders; and termination of employment. Legal must be notified immediately of any government inquiry related to securities trading.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A3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1A3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2026-03-16T20:43:50.539Z</dcterms:created>
  <dcterms:modified xsi:type="dcterms:W3CDTF">2026-03-16T20:43:50.539Z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