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color w:val="1A3A4A"/>
          <w:sz w:val="40"/>
          <w:szCs w:val="40"/>
        </w:rPr>
        <w:t xml:space="preserve">Executive Compensation Philosophy and Policy</w:t>
      </w:r>
    </w:p>
    <w:p>
      <w:pPr>
        <w:jc w:val="center"/>
      </w:pPr>
      <w:r>
        <w:rPr>
          <w:rFonts w:ascii="Arial" w:cs="Arial" w:eastAsia="Arial" w:hAnsi="Arial"/>
          <w:color w:val="888888"/>
          <w:sz w:val="18"/>
          <w:szCs w:val="18"/>
        </w:rPr>
        <w:t xml:space="preserve">Policy Number: HR-6000  |  Effective: January 1, 2025  |  Owner: Total Rewards / Board Compensation Committee</w:t>
      </w:r>
    </w:p>
    <w:p/>
    <w:p>
      <w:pPr>
        <w:pStyle w:val="Heading1"/>
      </w:pPr>
      <w:r>
        <w:rPr>
          <w:rFonts w:ascii="Arial" w:cs="Arial" w:eastAsia="Arial" w:hAnsi="Arial"/>
        </w:rPr>
        <w:t xml:space="preserve">.001 Purpose</w:t>
      </w:r>
    </w:p>
    <w:p>
      <w:r>
        <w:rPr>
          <w:rFonts w:ascii="Arial" w:cs="Arial" w:eastAsia="Arial" w:hAnsi="Arial"/>
          <w:sz w:val="22"/>
          <w:szCs w:val="22"/>
        </w:rPr>
        <w:t xml:space="preserve">This policy articulates the company's executive compensation philosophy and establishes the framework for setting and reviewing compensation for officers and other senior leaders. It is designed to attract and retain high-caliber talent while aligning executive incentives with long-term shareholder value.</w:t>
      </w:r>
    </w:p>
    <w:p/>
    <w:p>
      <w:pPr>
        <w:pStyle w:val="Heading1"/>
      </w:pPr>
      <w:r>
        <w:rPr>
          <w:rFonts w:ascii="Arial" w:cs="Arial" w:eastAsia="Arial" w:hAnsi="Arial"/>
        </w:rPr>
        <w:t xml:space="preserve">.002 Scope</w:t>
      </w:r>
    </w:p>
    <w:p>
      <w:r>
        <w:rPr>
          <w:rFonts w:ascii="Arial" w:cs="Arial" w:eastAsia="Arial" w:hAnsi="Arial"/>
          <w:sz w:val="22"/>
          <w:szCs w:val="22"/>
        </w:rPr>
        <w:t xml:space="preserve">Applies to the CEO, CFO, CTO, and all other C-suite and EVP-level employees. Compensation decisions for this group require Compensation Committee approval.</w:t>
      </w:r>
    </w:p>
    <w:p/>
    <w:p>
      <w:pPr>
        <w:pStyle w:val="Heading1"/>
      </w:pPr>
      <w:r>
        <w:rPr>
          <w:rFonts w:ascii="Arial" w:cs="Arial" w:eastAsia="Arial" w:hAnsi="Arial"/>
        </w:rPr>
        <w:t xml:space="preserve">.003 Compensation Philosophy</w:t>
      </w:r>
    </w:p>
    <w:p>
      <w:r>
        <w:rPr>
          <w:rFonts w:ascii="Arial" w:cs="Arial" w:eastAsia="Arial" w:hAnsi="Arial"/>
          <w:sz w:val="22"/>
          <w:szCs w:val="22"/>
        </w:rPr>
        <w:t xml:space="preserve">The company targets total compensation at the 60th percentile of a peer group of comparable technology companies (defined annually by the Compensation Committee with input from an independent compensation consultant). Pay mix emphasizes long-term incentives to align with shareholder value creation.</w:t>
      </w:r>
    </w:p>
    <w:p/>
    <w:p>
      <w:pPr>
        <w:pStyle w:val="Heading1"/>
      </w:pPr>
      <w:r>
        <w:rPr>
          <w:rFonts w:ascii="Arial" w:cs="Arial" w:eastAsia="Arial" w:hAnsi="Arial"/>
        </w:rPr>
        <w:t xml:space="preserve">.004 Compensation Elements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380"/>
        <w:gridCol w:w="4380"/>
      </w:tblGrid>
      <w:tr>
        <w:tc>
          <w:tcPr>
            <w:tcW w:type="dxa" w:w="2600"/>
            <w:tcBorders>
              <w:top w:val="single" w:color="CCCCCC" w:sz="1"/>
              <w:left w:val="single" w:color="CCCCCC" w:sz="1"/>
              <w:bottom w:val="single" w:color="CCCCCC" w:sz="1"/>
              <w:right w:val="single" w:color="CCCCCC" w:sz="1"/>
            </w:tcBorders>
            <w:shd w:fill="1A3A4A"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2380"/>
            <w:tcBorders>
              <w:top w:val="single" w:color="CCCCCC" w:sz="1"/>
              <w:left w:val="single" w:color="CCCCCC" w:sz="1"/>
              <w:bottom w:val="single" w:color="CCCCCC" w:sz="1"/>
              <w:right w:val="single" w:color="CCCCCC" w:sz="1"/>
            </w:tcBorders>
            <w:shd w:fill="1A3A4A" w:val="clear"/>
            <w:tcMar>
              <w:top w:type="dxa" w:w="80"/>
              <w:left w:type="dxa" w:w="120"/>
              <w:bottom w:type="dxa" w:w="80"/>
              <w:right w:type="dxa" w:w="120"/>
            </w:tcMar>
          </w:tcPr>
          <w:p>
            <w:r>
              <w:rPr>
                <w:rFonts w:ascii="Arial" w:cs="Arial" w:eastAsia="Arial" w:hAnsi="Arial"/>
                <w:b/>
                <w:bCs/>
                <w:color w:val="FFFFFF"/>
                <w:sz w:val="20"/>
                <w:szCs w:val="20"/>
              </w:rPr>
              <w:t xml:space="preserve">Form</w:t>
            </w:r>
          </w:p>
        </w:tc>
        <w:tc>
          <w:tcPr>
            <w:tcW w:type="dxa" w:w="4380"/>
            <w:tcBorders>
              <w:top w:val="single" w:color="CCCCCC" w:sz="1"/>
              <w:left w:val="single" w:color="CCCCCC" w:sz="1"/>
              <w:bottom w:val="single" w:color="CCCCCC" w:sz="1"/>
              <w:right w:val="single" w:color="CCCCCC" w:sz="1"/>
            </w:tcBorders>
            <w:shd w:fill="1A3A4A" w:val="clear"/>
            <w:tcMar>
              <w:top w:type="dxa" w:w="80"/>
              <w:left w:type="dxa" w:w="120"/>
              <w:bottom w:type="dxa" w:w="80"/>
              <w:right w:type="dxa" w:w="120"/>
            </w:tcMar>
          </w:tcPr>
          <w:p>
            <w:r>
              <w:rPr>
                <w:rFonts w:ascii="Arial" w:cs="Arial" w:eastAsia="Arial" w:hAnsi="Arial"/>
                <w:b/>
                <w:bCs/>
                <w:color w:val="FFFFFF"/>
                <w:sz w:val="20"/>
                <w:szCs w:val="20"/>
              </w:rPr>
              <w:t xml:space="preserve">Objective</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Base Salary</w:t>
            </w:r>
          </w:p>
        </w:tc>
        <w:tc>
          <w:tcPr>
            <w:tcW w:type="dxa" w:w="23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Cash</w:t>
            </w:r>
          </w:p>
        </w:tc>
        <w:tc>
          <w:tcPr>
            <w:tcW w:type="dxa" w:w="43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Competitive fixed pay; reflects role scope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Annual Incentive</w:t>
            </w:r>
          </w:p>
        </w:tc>
        <w:tc>
          <w:tcPr>
            <w:tcW w:type="dxa" w:w="2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Cash bonus</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Rewards achievement of annual financial and strategic goals</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Long-Term Incentive</w:t>
            </w:r>
          </w:p>
        </w:tc>
        <w:tc>
          <w:tcPr>
            <w:tcW w:type="dxa" w:w="23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RSUs + PSUs</w:t>
            </w:r>
          </w:p>
        </w:tc>
        <w:tc>
          <w:tcPr>
            <w:tcW w:type="dxa" w:w="43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Aligns with multi-year value creation; retention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Benefits</w:t>
            </w:r>
          </w:p>
        </w:tc>
        <w:tc>
          <w:tcPr>
            <w:tcW w:type="dxa" w:w="2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 + executive</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Health, retirement, and limited executive perquisites</w:t>
            </w:r>
          </w:p>
        </w:tc>
      </w:tr>
    </w:tbl>
    <w:p/>
    <w:p>
      <w:pPr>
        <w:pStyle w:val="Heading1"/>
      </w:pPr>
      <w:r>
        <w:rPr>
          <w:rFonts w:ascii="Arial" w:cs="Arial" w:eastAsia="Arial" w:hAnsi="Arial"/>
        </w:rPr>
        <w:t xml:space="preserve">.005 Annual Incentive Plan</w:t>
      </w:r>
    </w:p>
    <w:p>
      <w:r>
        <w:rPr>
          <w:rFonts w:ascii="Arial" w:cs="Arial" w:eastAsia="Arial" w:hAnsi="Arial"/>
          <w:sz w:val="22"/>
          <w:szCs w:val="22"/>
        </w:rPr>
        <w:t xml:space="preserve">The Annual Incentive Plan (AIP) for executives is funded based on company-level financial performance (revenue, EBITDA) weighted at 70%, with individual/strategic objectives weighted at 30%. Target bonus as a percentage of base salary ranges from 50% (VP level) to 150% (CEO). Payouts range from 0% to 200% of target.</w:t>
      </w:r>
    </w:p>
    <w:p/>
    <w:p>
      <w:pPr>
        <w:pStyle w:val="Heading1"/>
      </w:pPr>
      <w:r>
        <w:rPr>
          <w:rFonts w:ascii="Arial" w:cs="Arial" w:eastAsia="Arial" w:hAnsi="Arial"/>
        </w:rPr>
        <w:t xml:space="preserve">.006 Long-Term Incentive Program</w:t>
      </w:r>
    </w:p>
    <w:p>
      <w:r>
        <w:rPr>
          <w:rFonts w:ascii="Arial" w:cs="Arial" w:eastAsia="Arial" w:hAnsi="Arial"/>
          <w:sz w:val="22"/>
          <w:szCs w:val="22"/>
        </w:rPr>
        <w:t xml:space="preserve">Annual LTI grants consist of 60% Performance Stock Units (PSUs) and 40% Restricted Stock Units (RSUs). PSUs vest based on three-year relative Total Shareholder Return (TSR) versus the peer group. RSUs vest ratably over four years, subject to continued employment. LTI grant values are determined by the Compensation Committee at the February board meeting.</w:t>
      </w:r>
    </w:p>
    <w:p/>
    <w:p>
      <w:pPr>
        <w:pStyle w:val="Heading1"/>
      </w:pPr>
      <w:r>
        <w:rPr>
          <w:rFonts w:ascii="Arial" w:cs="Arial" w:eastAsia="Arial" w:hAnsi="Arial"/>
        </w:rPr>
        <w:t xml:space="preserve">.007 Clawback Policy</w:t>
      </w:r>
    </w:p>
    <w:p>
      <w:r>
        <w:rPr>
          <w:rFonts w:ascii="Arial" w:cs="Arial" w:eastAsia="Arial" w:hAnsi="Arial"/>
          <w:sz w:val="22"/>
          <w:szCs w:val="22"/>
        </w:rPr>
        <w:t xml:space="preserve">In the event of a material financial restatement or demonstrated misconduct, the company will seek recoupment of incentive compensation paid to executives in the prior three years to the extent required by applicable law (including SEC Rule 10D-1) and Compensation Committee determination.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60"/>
      <w:outlineLvl w:val="0"/>
    </w:pPr>
    <w:rPr>
      <w:rFonts w:ascii="Arial" w:cs="Arial" w:eastAsia="Arial" w:hAnsi="Arial"/>
      <w:b/>
      <w:bCs/>
      <w:color w:val="1A3A4A"/>
      <w:sz w:val="32"/>
      <w:szCs w:val="32"/>
    </w:rPr>
  </w:style>
  <w:style w:type="paragraph" w:styleId="Heading2">
    <w:name w:val="Heading 2"/>
    <w:basedOn w:val="Normal"/>
    <w:next w:val="Normal"/>
    <w:qFormat/>
    <w:pPr>
      <w:spacing w:before="200" w:after="120"/>
      <w:outlineLvl w:val="1"/>
    </w:pPr>
    <w:rPr>
      <w:rFonts w:ascii="Arial" w:cs="Arial" w:eastAsia="Arial" w:hAnsi="Arial"/>
      <w:b/>
      <w:bCs/>
      <w:color w:val="1A3A4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2026-03-16T20:42:16.826Z</dcterms:created>
  <dcterms:modified xsi:type="dcterms:W3CDTF">2026-03-16T20:42:16.826Z</dcterms:modified>
</cp:coreProperties>
</file>

<file path=docProps/custom.xml><?xml version="1.0" encoding="utf-8"?>
<Properties xmlns="http://schemas.openxmlformats.org/officeDocument/2006/custom-properties" xmlns:vt="http://schemas.openxmlformats.org/officeDocument/2006/docPropsVTypes"/>
</file>