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1869" w14:textId="77777777" w:rsidR="000C64B6" w:rsidRDefault="00C246F1">
      <w:pPr>
        <w:spacing w:after="80"/>
        <w:rPr>
          <w:lang w:eastAsia="zh-CN"/>
        </w:rPr>
      </w:pPr>
      <w:r>
        <w:rPr>
          <w:b/>
          <w:color w:val="2E74B5"/>
          <w:sz w:val="28"/>
          <w:lang w:eastAsia="zh-CN"/>
        </w:rPr>
        <w:t>研究报告</w:t>
      </w:r>
    </w:p>
    <w:p w14:paraId="7FD3498F" w14:textId="77777777" w:rsidR="000C64B6" w:rsidRDefault="00C246F1">
      <w:pPr>
        <w:spacing w:after="40"/>
        <w:rPr>
          <w:lang w:eastAsia="zh-CN"/>
        </w:rPr>
      </w:pPr>
      <w:r>
        <w:rPr>
          <w:b/>
          <w:sz w:val="48"/>
          <w:lang w:eastAsia="zh-CN"/>
        </w:rPr>
        <w:t>A</w:t>
      </w:r>
      <w:r>
        <w:rPr>
          <w:b/>
          <w:sz w:val="48"/>
          <w:lang w:eastAsia="zh-CN"/>
        </w:rPr>
        <w:t>股多因子边际贡献与经济属性分组验证</w:t>
      </w:r>
    </w:p>
    <w:p w14:paraId="67B9F5D9" w14:textId="77777777" w:rsidR="000C64B6" w:rsidRDefault="00C246F1">
      <w:pPr>
        <w:spacing w:after="240"/>
      </w:pPr>
      <w:proofErr w:type="spellStart"/>
      <w:r>
        <w:rPr>
          <w:color w:val="5A5A5A"/>
          <w:sz w:val="26"/>
        </w:rPr>
        <w:t>基于</w:t>
      </w:r>
      <w:proofErr w:type="spellEnd"/>
      <w:r>
        <w:rPr>
          <w:color w:val="5A5A5A"/>
          <w:sz w:val="26"/>
        </w:rPr>
        <w:t xml:space="preserve"> </w:t>
      </w:r>
      <w:proofErr w:type="spellStart"/>
      <w:r>
        <w:rPr>
          <w:color w:val="5A5A5A"/>
          <w:sz w:val="26"/>
        </w:rPr>
        <w:t>Leave-one-out</w:t>
      </w:r>
      <w:r>
        <w:rPr>
          <w:color w:val="5A5A5A"/>
          <w:sz w:val="26"/>
        </w:rPr>
        <w:t>、</w:t>
      </w:r>
      <w:r>
        <w:rPr>
          <w:color w:val="5A5A5A"/>
          <w:sz w:val="26"/>
        </w:rPr>
        <w:t>Add-one-back</w:t>
      </w:r>
      <w:proofErr w:type="spellEnd"/>
      <w:r>
        <w:rPr>
          <w:color w:val="5A5A5A"/>
          <w:sz w:val="26"/>
        </w:rPr>
        <w:t xml:space="preserve"> </w:t>
      </w:r>
      <w:proofErr w:type="spellStart"/>
      <w:r>
        <w:rPr>
          <w:color w:val="5A5A5A"/>
          <w:sz w:val="26"/>
        </w:rPr>
        <w:t>与预冻结经济属性分组的样本外研究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0C64B6" w14:paraId="44EC248D" w14:textId="77777777">
        <w:trPr>
          <w:tblHeader/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64196C42" w14:textId="77777777" w:rsidR="000C64B6" w:rsidRDefault="00C246F1">
            <w:pPr>
              <w:spacing w:after="0"/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7416" w:type="dxa"/>
            <w:shd w:val="clear" w:color="auto" w:fill="F2F4F7"/>
            <w:vAlign w:val="center"/>
          </w:tcPr>
          <w:p w14:paraId="3E5B056E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说明</w:t>
            </w:r>
            <w:proofErr w:type="spellEnd"/>
          </w:p>
        </w:tc>
      </w:tr>
      <w:tr w:rsidR="000C64B6" w14:paraId="611FBF85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32431C07" w14:textId="77777777" w:rsidR="000C64B6" w:rsidRDefault="00C246F1">
            <w:pPr>
              <w:spacing w:after="0"/>
            </w:pPr>
            <w:proofErr w:type="spellStart"/>
            <w:r>
              <w:rPr>
                <w:sz w:val="18"/>
              </w:rPr>
              <w:t>研究范围</w:t>
            </w:r>
            <w:proofErr w:type="spellEnd"/>
          </w:p>
        </w:tc>
        <w:tc>
          <w:tcPr>
            <w:tcW w:w="7416" w:type="dxa"/>
            <w:vAlign w:val="center"/>
          </w:tcPr>
          <w:p w14:paraId="5396F41C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</w:t>
            </w:r>
            <w:r>
              <w:rPr>
                <w:sz w:val="18"/>
                <w:lang w:eastAsia="zh-CN"/>
              </w:rPr>
              <w:t>11</w:t>
            </w:r>
            <w:r>
              <w:rPr>
                <w:sz w:val="18"/>
                <w:lang w:eastAsia="zh-CN"/>
              </w:rPr>
              <w:t>因子、固定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因子、</w:t>
            </w:r>
            <w:r>
              <w:rPr>
                <w:sz w:val="18"/>
                <w:lang w:eastAsia="zh-CN"/>
              </w:rPr>
              <w:t>11</w:t>
            </w:r>
            <w:r>
              <w:rPr>
                <w:sz w:val="18"/>
                <w:lang w:eastAsia="zh-CN"/>
              </w:rPr>
              <w:t>个删除实验、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个加入实验及</w:t>
            </w:r>
            <w:r>
              <w:rPr>
                <w:sz w:val="18"/>
                <w:lang w:eastAsia="zh-CN"/>
              </w:rPr>
              <w:t>8</w:t>
            </w:r>
            <w:r>
              <w:rPr>
                <w:sz w:val="18"/>
                <w:lang w:eastAsia="zh-CN"/>
              </w:rPr>
              <w:t>组经济属性组合</w:t>
            </w:r>
          </w:p>
        </w:tc>
      </w:tr>
      <w:tr w:rsidR="000C64B6" w14:paraId="5E7BDDA1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1A0339FE" w14:textId="77777777" w:rsidR="000C64B6" w:rsidRDefault="00C246F1">
            <w:pPr>
              <w:spacing w:after="0"/>
            </w:pPr>
            <w:proofErr w:type="spellStart"/>
            <w:r>
              <w:rPr>
                <w:sz w:val="18"/>
              </w:rPr>
              <w:t>训练期</w:t>
            </w:r>
            <w:proofErr w:type="spellEnd"/>
          </w:p>
        </w:tc>
        <w:tc>
          <w:tcPr>
            <w:tcW w:w="7416" w:type="dxa"/>
            <w:vAlign w:val="center"/>
          </w:tcPr>
          <w:p w14:paraId="08D4959A" w14:textId="77777777" w:rsidR="000C64B6" w:rsidRDefault="00C246F1">
            <w:pPr>
              <w:spacing w:after="0"/>
              <w:jc w:val="center"/>
            </w:pPr>
            <w:r>
              <w:rPr>
                <w:sz w:val="18"/>
              </w:rPr>
              <w:t xml:space="preserve">2022-01-01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2024-12-31</w:t>
            </w:r>
          </w:p>
        </w:tc>
      </w:tr>
      <w:tr w:rsidR="000C64B6" w14:paraId="42440883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50F25B87" w14:textId="77777777" w:rsidR="000C64B6" w:rsidRDefault="00C246F1">
            <w:pPr>
              <w:spacing w:after="0"/>
            </w:pPr>
            <w:proofErr w:type="spellStart"/>
            <w:r>
              <w:rPr>
                <w:sz w:val="18"/>
              </w:rPr>
              <w:t>样本外期</w:t>
            </w:r>
            <w:proofErr w:type="spellEnd"/>
          </w:p>
        </w:tc>
        <w:tc>
          <w:tcPr>
            <w:tcW w:w="7416" w:type="dxa"/>
            <w:vAlign w:val="center"/>
          </w:tcPr>
          <w:p w14:paraId="7CAE3569" w14:textId="77777777" w:rsidR="000C64B6" w:rsidRDefault="00C246F1">
            <w:pPr>
              <w:spacing w:after="0"/>
              <w:jc w:val="center"/>
            </w:pPr>
            <w:r>
              <w:rPr>
                <w:sz w:val="18"/>
              </w:rPr>
              <w:t xml:space="preserve">2025-01-01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2026-07-07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个调仓月）</w:t>
            </w:r>
          </w:p>
        </w:tc>
      </w:tr>
      <w:tr w:rsidR="000C64B6" w14:paraId="2734648D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7075DBC" w14:textId="77777777" w:rsidR="000C64B6" w:rsidRDefault="00C246F1">
            <w:pPr>
              <w:spacing w:after="0"/>
            </w:pPr>
            <w:proofErr w:type="spellStart"/>
            <w:r>
              <w:rPr>
                <w:sz w:val="18"/>
              </w:rPr>
              <w:t>数据与交易口径</w:t>
            </w:r>
            <w:proofErr w:type="spellEnd"/>
          </w:p>
        </w:tc>
        <w:tc>
          <w:tcPr>
            <w:tcW w:w="7416" w:type="dxa"/>
            <w:vAlign w:val="center"/>
          </w:tcPr>
          <w:p w14:paraId="00A3CE77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月末信号、下一交易日执行；数据库只读；</w:t>
            </w:r>
            <w:r>
              <w:rPr>
                <w:sz w:val="18"/>
                <w:lang w:eastAsia="zh-CN"/>
              </w:rPr>
              <w:t>Top20</w:t>
            </w:r>
            <w:r>
              <w:rPr>
                <w:sz w:val="18"/>
                <w:lang w:eastAsia="zh-CN"/>
              </w:rPr>
              <w:t>扣单边</w:t>
            </w:r>
            <w:r>
              <w:rPr>
                <w:sz w:val="18"/>
                <w:lang w:eastAsia="zh-CN"/>
              </w:rPr>
              <w:t>0.10%</w:t>
            </w:r>
            <w:r>
              <w:rPr>
                <w:sz w:val="18"/>
                <w:lang w:eastAsia="zh-CN"/>
              </w:rPr>
              <w:t>换手成本</w:t>
            </w:r>
          </w:p>
        </w:tc>
      </w:tr>
      <w:tr w:rsidR="000C64B6" w14:paraId="1259291A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0024D57" w14:textId="77777777" w:rsidR="000C64B6" w:rsidRDefault="00C246F1">
            <w:pPr>
              <w:spacing w:after="0"/>
            </w:pPr>
            <w:proofErr w:type="spellStart"/>
            <w:r>
              <w:rPr>
                <w:sz w:val="18"/>
              </w:rPr>
              <w:t>报告日期</w:t>
            </w:r>
            <w:proofErr w:type="spellEnd"/>
          </w:p>
        </w:tc>
        <w:tc>
          <w:tcPr>
            <w:tcW w:w="7416" w:type="dxa"/>
            <w:vAlign w:val="center"/>
          </w:tcPr>
          <w:p w14:paraId="135DD8F7" w14:textId="77777777" w:rsidR="000C64B6" w:rsidRDefault="00C246F1">
            <w:pPr>
              <w:spacing w:after="0"/>
              <w:jc w:val="center"/>
            </w:pPr>
            <w:r>
              <w:rPr>
                <w:sz w:val="18"/>
              </w:rPr>
              <w:t>2026-07-18</w:t>
            </w:r>
          </w:p>
        </w:tc>
      </w:tr>
    </w:tbl>
    <w:p w14:paraId="018A9078" w14:textId="77777777" w:rsidR="000C64B6" w:rsidRDefault="000C64B6"/>
    <w:p w14:paraId="3BD50866" w14:textId="77777777" w:rsidR="000C64B6" w:rsidRDefault="00C246F1">
      <w:pPr>
        <w:pStyle w:val="1"/>
      </w:pPr>
      <w:proofErr w:type="spellStart"/>
      <w:r>
        <w:t>摘要</w:t>
      </w:r>
      <w:proofErr w:type="spellEnd"/>
    </w:p>
    <w:p w14:paraId="76B0071C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本研究针对固定</w:t>
      </w:r>
      <w:r>
        <w:rPr>
          <w:lang w:eastAsia="zh-CN"/>
        </w:rPr>
        <w:t>4</w:t>
      </w:r>
      <w:r>
        <w:rPr>
          <w:lang w:eastAsia="zh-CN"/>
        </w:rPr>
        <w:t>因子筛选方案在</w:t>
      </w:r>
      <w:r>
        <w:rPr>
          <w:lang w:eastAsia="zh-CN"/>
        </w:rPr>
        <w:t>2025</w:t>
      </w:r>
      <w:r>
        <w:rPr>
          <w:lang w:eastAsia="zh-CN"/>
        </w:rPr>
        <w:t>年后的样本外失效，重新从组合边际贡献和经济属性分散角度解释原始</w:t>
      </w:r>
      <w:r>
        <w:rPr>
          <w:lang w:eastAsia="zh-CN"/>
        </w:rPr>
        <w:t>11</w:t>
      </w:r>
      <w:r>
        <w:rPr>
          <w:lang w:eastAsia="zh-CN"/>
        </w:rPr>
        <w:t>因子等权组合的优势。研究严格冻结因子方向、分组、权重、信号时点与交易口径，不使用样本外收益重新选择因子或调参。</w:t>
      </w:r>
    </w:p>
    <w:p w14:paraId="5A0DA6E5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样本外结果显示，原始</w:t>
      </w:r>
      <w:r>
        <w:rPr>
          <w:lang w:eastAsia="zh-CN"/>
        </w:rPr>
        <w:t>11</w:t>
      </w:r>
      <w:r>
        <w:rPr>
          <w:lang w:eastAsia="zh-CN"/>
        </w:rPr>
        <w:t>因子的</w:t>
      </w:r>
      <w:r>
        <w:rPr>
          <w:lang w:eastAsia="zh-CN"/>
        </w:rPr>
        <w:t>D10-D1</w:t>
      </w:r>
      <w:r>
        <w:rPr>
          <w:lang w:eastAsia="zh-CN"/>
        </w:rPr>
        <w:t>年化为</w:t>
      </w:r>
      <w:r>
        <w:rPr>
          <w:lang w:eastAsia="zh-CN"/>
        </w:rPr>
        <w:t>9.05%</w:t>
      </w:r>
      <w:r>
        <w:rPr>
          <w:lang w:eastAsia="zh-CN"/>
        </w:rPr>
        <w:t>，</w:t>
      </w:r>
      <w:r>
        <w:rPr>
          <w:lang w:eastAsia="zh-CN"/>
        </w:rPr>
        <w:t>Top20</w:t>
      </w:r>
      <w:r>
        <w:rPr>
          <w:lang w:eastAsia="zh-CN"/>
        </w:rPr>
        <w:t>年化超额为</w:t>
      </w:r>
      <w:r>
        <w:rPr>
          <w:lang w:eastAsia="zh-CN"/>
        </w:rPr>
        <w:t>6.85%</w:t>
      </w:r>
      <w:r>
        <w:rPr>
          <w:lang w:eastAsia="zh-CN"/>
        </w:rPr>
        <w:t>；固定</w:t>
      </w:r>
      <w:r>
        <w:rPr>
          <w:lang w:eastAsia="zh-CN"/>
        </w:rPr>
        <w:t>4</w:t>
      </w:r>
      <w:r>
        <w:rPr>
          <w:lang w:eastAsia="zh-CN"/>
        </w:rPr>
        <w:t>因子对应为</w:t>
      </w:r>
      <w:r>
        <w:rPr>
          <w:lang w:eastAsia="zh-CN"/>
        </w:rPr>
        <w:t>-12.29%</w:t>
      </w:r>
      <w:r>
        <w:rPr>
          <w:lang w:eastAsia="zh-CN"/>
        </w:rPr>
        <w:t>和</w:t>
      </w:r>
      <w:r>
        <w:rPr>
          <w:lang w:eastAsia="zh-CN"/>
        </w:rPr>
        <w:t>-3.13%</w:t>
      </w:r>
      <w:r>
        <w:rPr>
          <w:lang w:eastAsia="zh-CN"/>
        </w:rPr>
        <w:t>。固定</w:t>
      </w:r>
      <w:r>
        <w:rPr>
          <w:lang w:eastAsia="zh-CN"/>
        </w:rPr>
        <w:t>4</w:t>
      </w:r>
      <w:r>
        <w:rPr>
          <w:lang w:eastAsia="zh-CN"/>
        </w:rPr>
        <w:t>因子的平均</w:t>
      </w:r>
      <w:proofErr w:type="spellStart"/>
      <w:r>
        <w:rPr>
          <w:lang w:eastAsia="zh-CN"/>
        </w:rPr>
        <w:t>RankIC</w:t>
      </w:r>
      <w:proofErr w:type="spellEnd"/>
      <w:r>
        <w:rPr>
          <w:lang w:eastAsia="zh-CN"/>
        </w:rPr>
        <w:t>更高，但覆盖率更低且月度波动更大，说明单一排序统计量不足以代表组合层面的稳健贡献。</w:t>
      </w:r>
    </w:p>
    <w:p w14:paraId="58C8846B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预冻结的经济属性分组组合保留全部</w:t>
      </w:r>
      <w:r>
        <w:rPr>
          <w:lang w:eastAsia="zh-CN"/>
        </w:rPr>
        <w:t>11</w:t>
      </w:r>
      <w:r>
        <w:rPr>
          <w:lang w:eastAsia="zh-CN"/>
        </w:rPr>
        <w:t>因子，采用</w:t>
      </w:r>
      <w:r>
        <w:rPr>
          <w:lang w:eastAsia="zh-CN"/>
        </w:rPr>
        <w:t>“</w:t>
      </w:r>
      <w:r>
        <w:rPr>
          <w:lang w:eastAsia="zh-CN"/>
        </w:rPr>
        <w:t>组内等权、组间等权</w:t>
      </w:r>
      <w:r>
        <w:rPr>
          <w:lang w:eastAsia="zh-CN"/>
        </w:rPr>
        <w:t>”</w:t>
      </w:r>
      <w:r>
        <w:rPr>
          <w:lang w:eastAsia="zh-CN"/>
        </w:rPr>
        <w:t>。其样本外</w:t>
      </w:r>
      <w:r>
        <w:rPr>
          <w:lang w:eastAsia="zh-CN"/>
        </w:rPr>
        <w:t>D10-D1</w:t>
      </w:r>
      <w:r>
        <w:rPr>
          <w:lang w:eastAsia="zh-CN"/>
        </w:rPr>
        <w:t>年化为</w:t>
      </w:r>
      <w:r>
        <w:rPr>
          <w:lang w:eastAsia="zh-CN"/>
        </w:rPr>
        <w:t>11.82%</w:t>
      </w:r>
      <w:r>
        <w:rPr>
          <w:lang w:eastAsia="zh-CN"/>
        </w:rPr>
        <w:t>，</w:t>
      </w:r>
      <w:r>
        <w:rPr>
          <w:lang w:eastAsia="zh-CN"/>
        </w:rPr>
        <w:t>Top20</w:t>
      </w:r>
      <w:r>
        <w:rPr>
          <w:lang w:eastAsia="zh-CN"/>
        </w:rPr>
        <w:t>年化超额为</w:t>
      </w:r>
      <w:r>
        <w:rPr>
          <w:lang w:eastAsia="zh-CN"/>
        </w:rPr>
        <w:t>8.31%</w:t>
      </w:r>
      <w:r>
        <w:rPr>
          <w:lang w:eastAsia="zh-CN"/>
        </w:rPr>
        <w:t>，分别高于原始</w:t>
      </w:r>
      <w:r>
        <w:rPr>
          <w:lang w:eastAsia="zh-CN"/>
        </w:rPr>
        <w:t>11</w:t>
      </w:r>
      <w:r>
        <w:rPr>
          <w:lang w:eastAsia="zh-CN"/>
        </w:rPr>
        <w:t>因子</w:t>
      </w:r>
      <w:r>
        <w:rPr>
          <w:lang w:eastAsia="zh-CN"/>
        </w:rPr>
        <w:t>+2.76%</w:t>
      </w:r>
      <w:r>
        <w:rPr>
          <w:lang w:eastAsia="zh-CN"/>
        </w:rPr>
        <w:t>和</w:t>
      </w:r>
      <w:r>
        <w:rPr>
          <w:lang w:eastAsia="zh-CN"/>
        </w:rPr>
        <w:t>+1.46%</w:t>
      </w:r>
      <w:r>
        <w:rPr>
          <w:lang w:eastAsia="zh-CN"/>
        </w:rPr>
        <w:t>。然而，逐月配对优势的简单</w:t>
      </w:r>
      <w:r>
        <w:rPr>
          <w:lang w:eastAsia="zh-CN"/>
        </w:rPr>
        <w:t>t</w:t>
      </w:r>
      <w:r>
        <w:rPr>
          <w:lang w:eastAsia="zh-CN"/>
        </w:rPr>
        <w:t>统计量均低于</w:t>
      </w:r>
      <w:r>
        <w:rPr>
          <w:lang w:eastAsia="zh-CN"/>
        </w:rPr>
        <w:t>1</w:t>
      </w:r>
      <w:r>
        <w:rPr>
          <w:lang w:eastAsia="zh-CN"/>
        </w:rPr>
        <w:t>，且分组组合换手更高、</w:t>
      </w:r>
      <w:r>
        <w:rPr>
          <w:lang w:eastAsia="zh-CN"/>
        </w:rPr>
        <w:t>Top20</w:t>
      </w:r>
      <w:r>
        <w:rPr>
          <w:lang w:eastAsia="zh-CN"/>
        </w:rPr>
        <w:t>最大回撤略差，因此结果支持其成为前瞻验证的挑战者，而不足以立即替换原始</w:t>
      </w:r>
      <w:r>
        <w:rPr>
          <w:lang w:eastAsia="zh-CN"/>
        </w:rPr>
        <w:t>11</w:t>
      </w:r>
      <w:r>
        <w:rPr>
          <w:lang w:eastAsia="zh-CN"/>
        </w:rPr>
        <w:t>因子等权基准。</w:t>
      </w:r>
    </w:p>
    <w:p w14:paraId="1F8CE5EC" w14:textId="77777777" w:rsidR="000C64B6" w:rsidRDefault="00C246F1">
      <w:pPr>
        <w:spacing w:after="50" w:line="300" w:lineRule="auto"/>
        <w:ind w:left="259" w:hanging="259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组合价值最明确的单因子是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Revenue_Growth</w:t>
      </w:r>
      <w:proofErr w:type="spellEnd"/>
      <w:r>
        <w:rPr>
          <w:lang w:eastAsia="zh-CN"/>
        </w:rPr>
        <w:t>：在</w:t>
      </w:r>
      <w:r>
        <w:rPr>
          <w:lang w:eastAsia="zh-CN"/>
        </w:rPr>
        <w:t>Leave-one-out</w:t>
      </w:r>
      <w:r>
        <w:rPr>
          <w:lang w:eastAsia="zh-CN"/>
        </w:rPr>
        <w:t>的两个主要指标上均呈稳定正向贡献。</w:t>
      </w:r>
    </w:p>
    <w:p w14:paraId="7B5D5B88" w14:textId="77777777" w:rsidR="000C64B6" w:rsidRDefault="00C246F1">
      <w:pPr>
        <w:spacing w:after="50" w:line="300" w:lineRule="auto"/>
        <w:ind w:left="259" w:hanging="259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原始</w:t>
      </w:r>
      <w:r>
        <w:rPr>
          <w:lang w:eastAsia="zh-CN"/>
        </w:rPr>
        <w:t>11</w:t>
      </w:r>
      <w:r>
        <w:rPr>
          <w:lang w:eastAsia="zh-CN"/>
        </w:rPr>
        <w:t>因子优于固定</w:t>
      </w:r>
      <w:r>
        <w:rPr>
          <w:lang w:eastAsia="zh-CN"/>
        </w:rPr>
        <w:t>4</w:t>
      </w:r>
      <w:r>
        <w:rPr>
          <w:lang w:eastAsia="zh-CN"/>
        </w:rPr>
        <w:t>因子，主要来自被筛除因子的互补排序、经济风格分散和更完整的截面覆盖。</w:t>
      </w:r>
    </w:p>
    <w:p w14:paraId="478D7794" w14:textId="77777777" w:rsidR="000C64B6" w:rsidRDefault="00C246F1">
      <w:pPr>
        <w:spacing w:after="50" w:line="300" w:lineRule="auto"/>
        <w:ind w:left="259" w:hanging="259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经济属性分组在全样本外同时改善两个主要收益指标，但并未在风险、换手和统计显著性上形成全面支配。</w:t>
      </w:r>
    </w:p>
    <w:p w14:paraId="19313652" w14:textId="77777777" w:rsidR="000C64B6" w:rsidRDefault="00C246F1">
      <w:pPr>
        <w:spacing w:after="50" w:line="300" w:lineRule="auto"/>
        <w:ind w:left="259" w:hanging="259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lang w:eastAsia="zh-CN"/>
        </w:rPr>
        <w:t>正式决策建议：保留原始</w:t>
      </w:r>
      <w:r>
        <w:rPr>
          <w:lang w:eastAsia="zh-CN"/>
        </w:rPr>
        <w:t>11</w:t>
      </w:r>
      <w:r>
        <w:rPr>
          <w:lang w:eastAsia="zh-CN"/>
        </w:rPr>
        <w:t>因子等权为生产基准，将分组方案冻结为</w:t>
      </w:r>
      <w:r>
        <w:rPr>
          <w:lang w:eastAsia="zh-CN"/>
        </w:rPr>
        <w:t xml:space="preserve"> GroupBalanced11_v1</w:t>
      </w:r>
      <w:r>
        <w:rPr>
          <w:lang w:eastAsia="zh-CN"/>
        </w:rPr>
        <w:t>，继续前瞻观察。</w:t>
      </w:r>
    </w:p>
    <w:p w14:paraId="0FFD9B31" w14:textId="77777777" w:rsidR="000C64B6" w:rsidRDefault="00C246F1">
      <w:pPr>
        <w:pStyle w:val="1"/>
      </w:pPr>
      <w:r>
        <w:t xml:space="preserve">1. </w:t>
      </w:r>
      <w:proofErr w:type="spellStart"/>
      <w:r>
        <w:t>研究背景与目标</w:t>
      </w:r>
      <w:proofErr w:type="spellEnd"/>
    </w:p>
    <w:p w14:paraId="0F377182" w14:textId="77777777" w:rsidR="000C64B6" w:rsidRDefault="00C246F1">
      <w:pPr>
        <w:spacing w:after="80" w:line="324" w:lineRule="auto"/>
        <w:rPr>
          <w:lang w:eastAsia="zh-CN"/>
        </w:rPr>
      </w:pPr>
      <w:r>
        <w:t>此前研究依据</w:t>
      </w:r>
      <w:r>
        <w:t>2022—2024</w:t>
      </w:r>
      <w:r>
        <w:t>年训练期的经济方向、</w:t>
      </w:r>
      <w:r>
        <w:t>RankIC</w:t>
      </w:r>
      <w:r>
        <w:t>均值、胜率、稳定性、覆盖率和相关性，从</w:t>
      </w:r>
      <w:r>
        <w:t>11</w:t>
      </w:r>
      <w:r>
        <w:t>个原始因子中筛选出</w:t>
      </w:r>
      <w:r>
        <w:t>PE_TTM</w:t>
      </w:r>
      <w:r>
        <w:t>、</w:t>
      </w:r>
      <w:r>
        <w:t>Dividend_Yield</w:t>
      </w:r>
      <w:r>
        <w:t>、</w:t>
      </w:r>
      <w:r>
        <w:t>Volatility</w:t>
      </w:r>
      <w:r>
        <w:t>与</w:t>
      </w:r>
      <w:r>
        <w:t>Main_Net_In</w:t>
      </w:r>
      <w:r>
        <w:t>。</w:t>
      </w:r>
      <w:r>
        <w:rPr>
          <w:lang w:eastAsia="zh-CN"/>
        </w:rPr>
        <w:t>该固定</w:t>
      </w:r>
      <w:r>
        <w:rPr>
          <w:lang w:eastAsia="zh-CN"/>
        </w:rPr>
        <w:t>4</w:t>
      </w:r>
      <w:r>
        <w:rPr>
          <w:lang w:eastAsia="zh-CN"/>
        </w:rPr>
        <w:t>因子组合在</w:t>
      </w:r>
      <w:r>
        <w:rPr>
          <w:lang w:eastAsia="zh-CN"/>
        </w:rPr>
        <w:t>2025</w:t>
      </w:r>
      <w:r>
        <w:rPr>
          <w:lang w:eastAsia="zh-CN"/>
        </w:rPr>
        <w:t>年后的</w:t>
      </w:r>
      <w:r>
        <w:rPr>
          <w:lang w:eastAsia="zh-CN"/>
        </w:rPr>
        <w:t>D10-D1</w:t>
      </w:r>
      <w:r>
        <w:rPr>
          <w:lang w:eastAsia="zh-CN"/>
        </w:rPr>
        <w:t>与</w:t>
      </w:r>
      <w:r>
        <w:rPr>
          <w:lang w:eastAsia="zh-CN"/>
        </w:rPr>
        <w:t>Top20</w:t>
      </w:r>
      <w:r>
        <w:rPr>
          <w:lang w:eastAsia="zh-CN"/>
        </w:rPr>
        <w:t>超额收益均明显弱于原始</w:t>
      </w:r>
      <w:r>
        <w:rPr>
          <w:lang w:eastAsia="zh-CN"/>
        </w:rPr>
        <w:t>11</w:t>
      </w:r>
      <w:r>
        <w:rPr>
          <w:lang w:eastAsia="zh-CN"/>
        </w:rPr>
        <w:t>因子等权，因而筛选方案已经判定失败。</w:t>
      </w:r>
    </w:p>
    <w:p w14:paraId="5D0A3F5F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本阶段不再寻找样本外最优子集，而是回答以下五个预定义问题：</w:t>
      </w:r>
    </w:p>
    <w:p w14:paraId="6D2E13B9" w14:textId="77777777" w:rsidR="000C64B6" w:rsidRDefault="00C246F1">
      <w:pPr>
        <w:spacing w:after="50" w:line="300" w:lineRule="auto"/>
        <w:ind w:left="259" w:hanging="259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各因子相对不同组合基准的边际贡献方向是什么。</w:t>
      </w:r>
    </w:p>
    <w:p w14:paraId="1BB795D9" w14:textId="77777777" w:rsidR="000C64B6" w:rsidRDefault="00C246F1">
      <w:pPr>
        <w:spacing w:after="50" w:line="300" w:lineRule="auto"/>
        <w:ind w:left="259" w:hanging="259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原始</w:t>
      </w:r>
      <w:r>
        <w:rPr>
          <w:lang w:eastAsia="zh-CN"/>
        </w:rPr>
        <w:t>11</w:t>
      </w:r>
      <w:r>
        <w:rPr>
          <w:lang w:eastAsia="zh-CN"/>
        </w:rPr>
        <w:t>因子为何能够明显优于固定</w:t>
      </w:r>
      <w:r>
        <w:rPr>
          <w:lang w:eastAsia="zh-CN"/>
        </w:rPr>
        <w:t>4</w:t>
      </w:r>
      <w:r>
        <w:rPr>
          <w:lang w:eastAsia="zh-CN"/>
        </w:rPr>
        <w:t>因子。</w:t>
      </w:r>
    </w:p>
    <w:p w14:paraId="6CFC6033" w14:textId="77777777" w:rsidR="000C64B6" w:rsidRDefault="00C246F1">
      <w:pPr>
        <w:spacing w:after="50" w:line="300" w:lineRule="auto"/>
        <w:ind w:left="259" w:hanging="259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按经济属性先组内等权、再组间等权，能否同时改善</w:t>
      </w:r>
      <w:r>
        <w:rPr>
          <w:lang w:eastAsia="zh-CN"/>
        </w:rPr>
        <w:t>D10-D1</w:t>
      </w:r>
      <w:r>
        <w:rPr>
          <w:lang w:eastAsia="zh-CN"/>
        </w:rPr>
        <w:t>与</w:t>
      </w:r>
      <w:r>
        <w:rPr>
          <w:lang w:eastAsia="zh-CN"/>
        </w:rPr>
        <w:t>Top20</w:t>
      </w:r>
      <w:r>
        <w:rPr>
          <w:lang w:eastAsia="zh-CN"/>
        </w:rPr>
        <w:t>超额收益。</w:t>
      </w:r>
    </w:p>
    <w:p w14:paraId="2903717A" w14:textId="77777777" w:rsidR="000C64B6" w:rsidRDefault="00C246F1">
      <w:pPr>
        <w:spacing w:after="50" w:line="300" w:lineRule="auto"/>
        <w:ind w:left="259" w:hanging="259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上述改善是否跨</w:t>
      </w:r>
      <w:r>
        <w:rPr>
          <w:lang w:eastAsia="zh-CN"/>
        </w:rPr>
        <w:t>2025H1</w:t>
      </w:r>
      <w:r>
        <w:rPr>
          <w:lang w:eastAsia="zh-CN"/>
        </w:rPr>
        <w:t>、</w:t>
      </w:r>
      <w:r>
        <w:rPr>
          <w:lang w:eastAsia="zh-CN"/>
        </w:rPr>
        <w:t>2025H2</w:t>
      </w:r>
      <w:r>
        <w:rPr>
          <w:lang w:eastAsia="zh-CN"/>
        </w:rPr>
        <w:t>和</w:t>
      </w:r>
      <w:r>
        <w:rPr>
          <w:lang w:eastAsia="zh-CN"/>
        </w:rPr>
        <w:t>2026YTD</w:t>
      </w:r>
      <w:r>
        <w:rPr>
          <w:lang w:eastAsia="zh-CN"/>
        </w:rPr>
        <w:t>保持方向稳定。</w:t>
      </w:r>
    </w:p>
    <w:p w14:paraId="04250CFF" w14:textId="77777777" w:rsidR="000C64B6" w:rsidRDefault="00C246F1">
      <w:pPr>
        <w:spacing w:after="50" w:line="300" w:lineRule="auto"/>
        <w:ind w:left="259" w:hanging="259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现有证据是否足以替换原始</w:t>
      </w:r>
      <w:r>
        <w:rPr>
          <w:lang w:eastAsia="zh-CN"/>
        </w:rPr>
        <w:t>11</w:t>
      </w:r>
      <w:r>
        <w:rPr>
          <w:lang w:eastAsia="zh-CN"/>
        </w:rPr>
        <w:t>因子等权组合。</w:t>
      </w:r>
    </w:p>
    <w:p w14:paraId="1C70448B" w14:textId="77777777" w:rsidR="000C64B6" w:rsidRDefault="00C246F1">
      <w:pPr>
        <w:pStyle w:val="1"/>
      </w:pPr>
      <w:r>
        <w:t xml:space="preserve">2. </w:t>
      </w:r>
      <w:proofErr w:type="spellStart"/>
      <w:r>
        <w:t>研究设计与回测口径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0C64B6" w14:paraId="7BC9ADE8" w14:textId="77777777">
        <w:trPr>
          <w:tblHeader/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1A023AED" w14:textId="77777777" w:rsidR="000C64B6" w:rsidRDefault="00C246F1">
            <w:pPr>
              <w:spacing w:after="0"/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7416" w:type="dxa"/>
            <w:shd w:val="clear" w:color="auto" w:fill="F2F4F7"/>
            <w:vAlign w:val="center"/>
          </w:tcPr>
          <w:p w14:paraId="629B52F0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冻结设置</w:t>
            </w:r>
            <w:proofErr w:type="spellEnd"/>
          </w:p>
        </w:tc>
      </w:tr>
      <w:tr w:rsidR="000C64B6" w14:paraId="1C246D95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03218CA1" w14:textId="77777777" w:rsidR="000C64B6" w:rsidRDefault="00C246F1">
            <w:pPr>
              <w:spacing w:after="0"/>
            </w:pPr>
            <w:proofErr w:type="spellStart"/>
            <w:r>
              <w:rPr>
                <w:sz w:val="17"/>
              </w:rPr>
              <w:t>因子与方向</w:t>
            </w:r>
            <w:proofErr w:type="spellEnd"/>
          </w:p>
        </w:tc>
        <w:tc>
          <w:tcPr>
            <w:tcW w:w="7416" w:type="dxa"/>
            <w:vAlign w:val="center"/>
          </w:tcPr>
          <w:p w14:paraId="391CACF8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来自既有</w:t>
            </w:r>
            <w:r>
              <w:rPr>
                <w:sz w:val="17"/>
              </w:rPr>
              <w:t>walk_forward_champion</w:t>
            </w:r>
            <w:r>
              <w:rPr>
                <w:sz w:val="17"/>
              </w:rPr>
              <w:t>配置的完整</w:t>
            </w:r>
            <w:r>
              <w:rPr>
                <w:sz w:val="17"/>
              </w:rPr>
              <w:t>11</w:t>
            </w:r>
            <w:r>
              <w:rPr>
                <w:sz w:val="17"/>
              </w:rPr>
              <w:t>因子，不重新定义</w:t>
            </w:r>
          </w:p>
        </w:tc>
      </w:tr>
      <w:tr w:rsidR="000C64B6" w14:paraId="233BAE07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3C8C9C2F" w14:textId="77777777" w:rsidR="000C64B6" w:rsidRDefault="00C246F1">
            <w:pPr>
              <w:spacing w:after="0"/>
            </w:pPr>
            <w:proofErr w:type="spellStart"/>
            <w:r>
              <w:rPr>
                <w:sz w:val="17"/>
              </w:rPr>
              <w:t>训练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样本外隔离</w:t>
            </w:r>
            <w:proofErr w:type="spellEnd"/>
          </w:p>
        </w:tc>
        <w:tc>
          <w:tcPr>
            <w:tcW w:w="7416" w:type="dxa"/>
            <w:vAlign w:val="center"/>
          </w:tcPr>
          <w:p w14:paraId="7950939C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训练期</w:t>
            </w:r>
            <w:r>
              <w:rPr>
                <w:sz w:val="17"/>
                <w:lang w:eastAsia="zh-CN"/>
              </w:rPr>
              <w:t>2022—2024</w:t>
            </w:r>
            <w:r>
              <w:rPr>
                <w:sz w:val="17"/>
                <w:lang w:eastAsia="zh-CN"/>
              </w:rPr>
              <w:t>；主要评价期自</w:t>
            </w:r>
            <w:r>
              <w:rPr>
                <w:sz w:val="17"/>
                <w:lang w:eastAsia="zh-CN"/>
              </w:rPr>
              <w:t>2025-01-01</w:t>
            </w:r>
            <w:r>
              <w:rPr>
                <w:sz w:val="17"/>
                <w:lang w:eastAsia="zh-CN"/>
              </w:rPr>
              <w:t>起；样本外收益不进入权重</w:t>
            </w:r>
          </w:p>
        </w:tc>
      </w:tr>
      <w:tr w:rsidR="000C64B6" w14:paraId="62D3E0CD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38FFAD0" w14:textId="77777777" w:rsidR="000C64B6" w:rsidRDefault="00C246F1">
            <w:pPr>
              <w:spacing w:after="0"/>
            </w:pPr>
            <w:proofErr w:type="spellStart"/>
            <w:r>
              <w:rPr>
                <w:sz w:val="17"/>
              </w:rPr>
              <w:t>信号与执行</w:t>
            </w:r>
            <w:proofErr w:type="spellEnd"/>
          </w:p>
        </w:tc>
        <w:tc>
          <w:tcPr>
            <w:tcW w:w="7416" w:type="dxa"/>
            <w:vAlign w:val="center"/>
          </w:tcPr>
          <w:p w14:paraId="0595E737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月末生成信号，下一交易日执行；沿用中性化、停牌和缺失收益处理</w:t>
            </w:r>
          </w:p>
        </w:tc>
      </w:tr>
      <w:tr w:rsidR="000C64B6" w14:paraId="38451DB9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7563FEAC" w14:textId="77777777" w:rsidR="000C64B6" w:rsidRDefault="00C246F1">
            <w:pPr>
              <w:spacing w:after="0"/>
            </w:pPr>
            <w:r>
              <w:rPr>
                <w:sz w:val="17"/>
              </w:rPr>
              <w:t>D10-D1</w:t>
            </w:r>
          </w:p>
        </w:tc>
        <w:tc>
          <w:tcPr>
            <w:tcW w:w="7416" w:type="dxa"/>
            <w:vAlign w:val="center"/>
          </w:tcPr>
          <w:p w14:paraId="182E0366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D10</w:t>
            </w:r>
            <w:r>
              <w:rPr>
                <w:sz w:val="17"/>
                <w:lang w:eastAsia="zh-CN"/>
              </w:rPr>
              <w:t>平均远期毛收益减</w:t>
            </w:r>
            <w:r>
              <w:rPr>
                <w:sz w:val="17"/>
                <w:lang w:eastAsia="zh-CN"/>
              </w:rPr>
              <w:t>D1</w:t>
            </w:r>
            <w:r>
              <w:rPr>
                <w:sz w:val="17"/>
                <w:lang w:eastAsia="zh-CN"/>
              </w:rPr>
              <w:t>平均远期毛收益，月度复利年化；不扣成本</w:t>
            </w:r>
          </w:p>
        </w:tc>
      </w:tr>
      <w:tr w:rsidR="000C64B6" w14:paraId="206B78D6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E92087D" w14:textId="77777777" w:rsidR="000C64B6" w:rsidRDefault="00C246F1">
            <w:pPr>
              <w:spacing w:after="0"/>
            </w:pPr>
            <w:r>
              <w:rPr>
                <w:sz w:val="17"/>
              </w:rPr>
              <w:t>Top20</w:t>
            </w:r>
            <w:r>
              <w:rPr>
                <w:sz w:val="17"/>
              </w:rPr>
              <w:t>超额</w:t>
            </w:r>
          </w:p>
        </w:tc>
        <w:tc>
          <w:tcPr>
            <w:tcW w:w="7416" w:type="dxa"/>
            <w:vAlign w:val="center"/>
          </w:tcPr>
          <w:p w14:paraId="535C8BC9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最高</w:t>
            </w:r>
            <w:r>
              <w:rPr>
                <w:sz w:val="17"/>
                <w:lang w:eastAsia="zh-CN"/>
              </w:rPr>
              <w:t>20%</w:t>
            </w:r>
            <w:r>
              <w:rPr>
                <w:sz w:val="17"/>
                <w:lang w:eastAsia="zh-CN"/>
              </w:rPr>
              <w:t>股票等权；扣单边</w:t>
            </w:r>
            <w:r>
              <w:rPr>
                <w:sz w:val="17"/>
                <w:lang w:eastAsia="zh-CN"/>
              </w:rPr>
              <w:t>0.10%</w:t>
            </w:r>
            <w:r>
              <w:rPr>
                <w:sz w:val="17"/>
                <w:lang w:eastAsia="zh-CN"/>
              </w:rPr>
              <w:t>换手成本；相对</w:t>
            </w:r>
            <w:r>
              <w:rPr>
                <w:sz w:val="17"/>
                <w:lang w:eastAsia="zh-CN"/>
              </w:rPr>
              <w:t>000985.CSI</w:t>
            </w:r>
            <w:r>
              <w:rPr>
                <w:sz w:val="17"/>
                <w:lang w:eastAsia="zh-CN"/>
              </w:rPr>
              <w:t>年化超额</w:t>
            </w:r>
          </w:p>
        </w:tc>
      </w:tr>
      <w:tr w:rsidR="000C64B6" w14:paraId="331E8589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560762E9" w14:textId="77777777" w:rsidR="000C64B6" w:rsidRDefault="00C246F1">
            <w:pPr>
              <w:spacing w:after="0"/>
            </w:pPr>
            <w:proofErr w:type="spellStart"/>
            <w:r>
              <w:rPr>
                <w:sz w:val="17"/>
              </w:rPr>
              <w:t>辅助指标</w:t>
            </w:r>
            <w:proofErr w:type="spellEnd"/>
          </w:p>
        </w:tc>
        <w:tc>
          <w:tcPr>
            <w:tcW w:w="7416" w:type="dxa"/>
            <w:vAlign w:val="center"/>
          </w:tcPr>
          <w:p w14:paraId="746A752F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RankIC</w:t>
            </w:r>
            <w:proofErr w:type="spellEnd"/>
            <w:r>
              <w:rPr>
                <w:sz w:val="17"/>
                <w:lang w:eastAsia="zh-CN"/>
              </w:rPr>
              <w:t>、最大回撤、换手率、覆盖率和预定义子区间稳定性</w:t>
            </w:r>
          </w:p>
        </w:tc>
      </w:tr>
      <w:tr w:rsidR="000C64B6" w14:paraId="6B54A8A0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34F59D2E" w14:textId="77777777" w:rsidR="000C64B6" w:rsidRDefault="00C246F1">
            <w:pPr>
              <w:spacing w:after="0"/>
            </w:pPr>
            <w:proofErr w:type="spellStart"/>
            <w:r>
              <w:rPr>
                <w:sz w:val="17"/>
              </w:rPr>
              <w:t>边际贡献</w:t>
            </w:r>
            <w:proofErr w:type="spellEnd"/>
          </w:p>
        </w:tc>
        <w:tc>
          <w:tcPr>
            <w:tcW w:w="7416" w:type="dxa"/>
            <w:vAlign w:val="center"/>
          </w:tcPr>
          <w:p w14:paraId="4D9BC155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Leave-one-out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Full11</w:t>
            </w:r>
            <w:r>
              <w:rPr>
                <w:sz w:val="17"/>
              </w:rPr>
              <w:t>－删除方案；</w:t>
            </w:r>
            <w:r>
              <w:rPr>
                <w:sz w:val="17"/>
              </w:rPr>
              <w:t>Add-one-back</w:t>
            </w:r>
            <w:r>
              <w:rPr>
                <w:sz w:val="17"/>
              </w:rPr>
              <w:t>：加入方案－</w:t>
            </w:r>
            <w:r>
              <w:rPr>
                <w:sz w:val="17"/>
              </w:rPr>
              <w:t>Fixed4</w:t>
            </w:r>
          </w:p>
        </w:tc>
      </w:tr>
      <w:tr w:rsidR="000C64B6" w14:paraId="73CBDFEC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9D5FEA8" w14:textId="77777777" w:rsidR="000C64B6" w:rsidRDefault="00C246F1">
            <w:pPr>
              <w:spacing w:after="0"/>
            </w:pPr>
            <w:proofErr w:type="spellStart"/>
            <w:r>
              <w:rPr>
                <w:sz w:val="17"/>
              </w:rPr>
              <w:t>稳定标签</w:t>
            </w:r>
            <w:proofErr w:type="spellEnd"/>
          </w:p>
        </w:tc>
        <w:tc>
          <w:tcPr>
            <w:tcW w:w="7416" w:type="dxa"/>
            <w:vAlign w:val="center"/>
          </w:tcPr>
          <w:p w14:paraId="119748AD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全样本外同号，且三个子区间中至少两个同号</w:t>
            </w:r>
          </w:p>
        </w:tc>
      </w:tr>
      <w:tr w:rsidR="000C64B6" w14:paraId="5CFB8D09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6F5A6115" w14:textId="77777777" w:rsidR="000C64B6" w:rsidRDefault="00C246F1">
            <w:pPr>
              <w:spacing w:after="0"/>
            </w:pPr>
            <w:proofErr w:type="spellStart"/>
            <w:r>
              <w:rPr>
                <w:sz w:val="17"/>
              </w:rPr>
              <w:t>数据库边界</w:t>
            </w:r>
            <w:proofErr w:type="spellEnd"/>
          </w:p>
        </w:tc>
        <w:tc>
          <w:tcPr>
            <w:tcW w:w="7416" w:type="dxa"/>
            <w:vAlign w:val="center"/>
          </w:tcPr>
          <w:p w14:paraId="794B68AC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研究脚本以</w:t>
            </w:r>
            <w:r>
              <w:rPr>
                <w:sz w:val="17"/>
              </w:rPr>
              <w:t>read_only</w:t>
            </w:r>
            <w:proofErr w:type="spellEnd"/>
            <w:r>
              <w:rPr>
                <w:sz w:val="17"/>
              </w:rPr>
              <w:t>=</w:t>
            </w:r>
            <w:proofErr w:type="spellStart"/>
            <w:r>
              <w:rPr>
                <w:sz w:val="17"/>
              </w:rPr>
              <w:t>True</w:t>
            </w:r>
            <w:r>
              <w:rPr>
                <w:sz w:val="17"/>
              </w:rPr>
              <w:t>连接；本报告仅读取既有</w:t>
            </w:r>
            <w:r>
              <w:rPr>
                <w:sz w:val="17"/>
              </w:rPr>
              <w:t>CSV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PNG</w:t>
            </w:r>
            <w:r>
              <w:rPr>
                <w:sz w:val="17"/>
              </w:rPr>
              <w:t>，不连接数据库</w:t>
            </w:r>
            <w:proofErr w:type="spellEnd"/>
          </w:p>
        </w:tc>
      </w:tr>
    </w:tbl>
    <w:p w14:paraId="395E8A88" w14:textId="77777777" w:rsidR="000C64B6" w:rsidRDefault="000C64B6"/>
    <w:p w14:paraId="7AF54B56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D10-D1</w:t>
      </w:r>
      <w:r>
        <w:rPr>
          <w:lang w:eastAsia="zh-CN"/>
        </w:rPr>
        <w:t>与</w:t>
      </w:r>
      <w:r>
        <w:rPr>
          <w:lang w:eastAsia="zh-CN"/>
        </w:rPr>
        <w:t>Top20</w:t>
      </w:r>
      <w:r>
        <w:rPr>
          <w:lang w:eastAsia="zh-CN"/>
        </w:rPr>
        <w:t>超额收益是并列的主要指标，不合并为单一评分。最大回撤的</w:t>
      </w:r>
      <w:r>
        <w:rPr>
          <w:lang w:eastAsia="zh-CN"/>
        </w:rPr>
        <w:t>“</w:t>
      </w:r>
      <w:r>
        <w:rPr>
          <w:lang w:eastAsia="zh-CN"/>
        </w:rPr>
        <w:t>改善</w:t>
      </w:r>
      <w:r>
        <w:rPr>
          <w:lang w:eastAsia="zh-CN"/>
        </w:rPr>
        <w:t>”</w:t>
      </w:r>
      <w:r>
        <w:rPr>
          <w:lang w:eastAsia="zh-CN"/>
        </w:rPr>
        <w:t>应理解为回撤绝对值缩小；边际贡献属于特定基准附近的局部差异，不具有</w:t>
      </w:r>
      <w:r>
        <w:rPr>
          <w:lang w:eastAsia="zh-CN"/>
        </w:rPr>
        <w:t>Shapley</w:t>
      </w:r>
      <w:r>
        <w:rPr>
          <w:lang w:eastAsia="zh-CN"/>
        </w:rPr>
        <w:t>可加性，也不能被直接解释为因果效应。</w:t>
      </w:r>
    </w:p>
    <w:p w14:paraId="2F580A78" w14:textId="77777777" w:rsidR="000C64B6" w:rsidRDefault="00C246F1">
      <w:pPr>
        <w:pStyle w:val="1"/>
      </w:pPr>
      <w:r>
        <w:lastRenderedPageBreak/>
        <w:t xml:space="preserve">3. </w:t>
      </w:r>
      <w:proofErr w:type="spellStart"/>
      <w:r>
        <w:t>因子池与经济属性分组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936"/>
        <w:gridCol w:w="1224"/>
        <w:gridCol w:w="1512"/>
        <w:gridCol w:w="1656"/>
        <w:gridCol w:w="1008"/>
      </w:tblGrid>
      <w:tr w:rsidR="000C64B6" w14:paraId="1148C786" w14:textId="77777777">
        <w:trPr>
          <w:tblHeader/>
          <w:jc w:val="center"/>
        </w:trPr>
        <w:tc>
          <w:tcPr>
            <w:tcW w:w="2088" w:type="dxa"/>
            <w:shd w:val="clear" w:color="auto" w:fill="F2F4F7"/>
            <w:vAlign w:val="center"/>
          </w:tcPr>
          <w:p w14:paraId="5F966A8B" w14:textId="77777777" w:rsidR="000C64B6" w:rsidRDefault="00C246F1">
            <w:pPr>
              <w:spacing w:after="0"/>
            </w:pPr>
            <w:proofErr w:type="spellStart"/>
            <w:r>
              <w:rPr>
                <w:b/>
                <w:sz w:val="16"/>
              </w:rPr>
              <w:t>因子</w:t>
            </w:r>
            <w:proofErr w:type="spellEnd"/>
          </w:p>
        </w:tc>
        <w:tc>
          <w:tcPr>
            <w:tcW w:w="936" w:type="dxa"/>
            <w:shd w:val="clear" w:color="auto" w:fill="F2F4F7"/>
            <w:vAlign w:val="center"/>
          </w:tcPr>
          <w:p w14:paraId="2882453E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方向</w:t>
            </w:r>
            <w:proofErr w:type="spellEnd"/>
          </w:p>
        </w:tc>
        <w:tc>
          <w:tcPr>
            <w:tcW w:w="1224" w:type="dxa"/>
            <w:shd w:val="clear" w:color="auto" w:fill="F2F4F7"/>
            <w:vAlign w:val="center"/>
          </w:tcPr>
          <w:p w14:paraId="28A720D5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经济组</w:t>
            </w:r>
            <w:proofErr w:type="spellEnd"/>
          </w:p>
        </w:tc>
        <w:tc>
          <w:tcPr>
            <w:tcW w:w="1512" w:type="dxa"/>
            <w:shd w:val="clear" w:color="auto" w:fill="F2F4F7"/>
            <w:vAlign w:val="center"/>
          </w:tcPr>
          <w:p w14:paraId="2EA365E5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6"/>
              </w:rPr>
              <w:t>11</w:t>
            </w:r>
            <w:r>
              <w:rPr>
                <w:b/>
                <w:sz w:val="16"/>
              </w:rPr>
              <w:t>因子权重</w:t>
            </w:r>
          </w:p>
        </w:tc>
        <w:tc>
          <w:tcPr>
            <w:tcW w:w="1656" w:type="dxa"/>
            <w:shd w:val="clear" w:color="auto" w:fill="F2F4F7"/>
            <w:vAlign w:val="center"/>
          </w:tcPr>
          <w:p w14:paraId="4D88C5DA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分组有效权重</w:t>
            </w:r>
            <w:proofErr w:type="spellEnd"/>
          </w:p>
        </w:tc>
        <w:tc>
          <w:tcPr>
            <w:tcW w:w="1008" w:type="dxa"/>
            <w:shd w:val="clear" w:color="auto" w:fill="F2F4F7"/>
            <w:vAlign w:val="center"/>
          </w:tcPr>
          <w:p w14:paraId="131B16DD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6"/>
              </w:rPr>
              <w:t>固定</w:t>
            </w:r>
            <w:r>
              <w:rPr>
                <w:b/>
                <w:sz w:val="16"/>
              </w:rPr>
              <w:t>4</w:t>
            </w:r>
          </w:p>
        </w:tc>
      </w:tr>
      <w:tr w:rsidR="000C64B6" w14:paraId="18CA17F0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301B0BBD" w14:textId="77777777" w:rsidR="000C64B6" w:rsidRDefault="00C246F1">
            <w:pPr>
              <w:spacing w:after="0"/>
            </w:pPr>
            <w:r>
              <w:rPr>
                <w:sz w:val="15"/>
              </w:rPr>
              <w:t>PE_TTM</w:t>
            </w:r>
          </w:p>
        </w:tc>
        <w:tc>
          <w:tcPr>
            <w:tcW w:w="936" w:type="dxa"/>
            <w:vAlign w:val="center"/>
          </w:tcPr>
          <w:p w14:paraId="189E2402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反向</w:t>
            </w:r>
            <w:proofErr w:type="spellEnd"/>
          </w:p>
        </w:tc>
        <w:tc>
          <w:tcPr>
            <w:tcW w:w="1224" w:type="dxa"/>
            <w:vAlign w:val="center"/>
          </w:tcPr>
          <w:p w14:paraId="05D82C1C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价值</w:t>
            </w:r>
            <w:proofErr w:type="spellEnd"/>
          </w:p>
        </w:tc>
        <w:tc>
          <w:tcPr>
            <w:tcW w:w="1512" w:type="dxa"/>
            <w:vAlign w:val="center"/>
          </w:tcPr>
          <w:p w14:paraId="5120D74F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9.09%</w:t>
            </w:r>
          </w:p>
        </w:tc>
        <w:tc>
          <w:tcPr>
            <w:tcW w:w="1656" w:type="dxa"/>
            <w:vAlign w:val="center"/>
          </w:tcPr>
          <w:p w14:paraId="73F0C0D2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6.25%</w:t>
            </w:r>
          </w:p>
        </w:tc>
        <w:tc>
          <w:tcPr>
            <w:tcW w:w="1008" w:type="dxa"/>
            <w:vAlign w:val="center"/>
          </w:tcPr>
          <w:p w14:paraId="7622314C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是</w:t>
            </w:r>
          </w:p>
        </w:tc>
      </w:tr>
      <w:tr w:rsidR="000C64B6" w14:paraId="2256DC4E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1C05183F" w14:textId="77777777" w:rsidR="000C64B6" w:rsidRDefault="00C246F1">
            <w:pPr>
              <w:spacing w:after="0"/>
            </w:pPr>
            <w:proofErr w:type="spellStart"/>
            <w:r>
              <w:rPr>
                <w:sz w:val="15"/>
              </w:rPr>
              <w:t>Dividend_Yield</w:t>
            </w:r>
            <w:proofErr w:type="spellEnd"/>
          </w:p>
        </w:tc>
        <w:tc>
          <w:tcPr>
            <w:tcW w:w="936" w:type="dxa"/>
            <w:vAlign w:val="center"/>
          </w:tcPr>
          <w:p w14:paraId="0A7FFC5C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正向</w:t>
            </w:r>
            <w:proofErr w:type="spellEnd"/>
          </w:p>
        </w:tc>
        <w:tc>
          <w:tcPr>
            <w:tcW w:w="1224" w:type="dxa"/>
            <w:vAlign w:val="center"/>
          </w:tcPr>
          <w:p w14:paraId="6B01163C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价值</w:t>
            </w:r>
            <w:proofErr w:type="spellEnd"/>
          </w:p>
        </w:tc>
        <w:tc>
          <w:tcPr>
            <w:tcW w:w="1512" w:type="dxa"/>
            <w:vAlign w:val="center"/>
          </w:tcPr>
          <w:p w14:paraId="23BEDA35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9.09%</w:t>
            </w:r>
          </w:p>
        </w:tc>
        <w:tc>
          <w:tcPr>
            <w:tcW w:w="1656" w:type="dxa"/>
            <w:vAlign w:val="center"/>
          </w:tcPr>
          <w:p w14:paraId="6BC5F7FF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6.25%</w:t>
            </w:r>
          </w:p>
        </w:tc>
        <w:tc>
          <w:tcPr>
            <w:tcW w:w="1008" w:type="dxa"/>
            <w:vAlign w:val="center"/>
          </w:tcPr>
          <w:p w14:paraId="24C7DC30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是</w:t>
            </w:r>
          </w:p>
        </w:tc>
      </w:tr>
      <w:tr w:rsidR="000C64B6" w14:paraId="7C770A47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794E5F05" w14:textId="77777777" w:rsidR="000C64B6" w:rsidRDefault="00C246F1">
            <w:pPr>
              <w:spacing w:after="0"/>
            </w:pPr>
            <w:r>
              <w:rPr>
                <w:sz w:val="15"/>
              </w:rPr>
              <w:t>ROE</w:t>
            </w:r>
          </w:p>
        </w:tc>
        <w:tc>
          <w:tcPr>
            <w:tcW w:w="936" w:type="dxa"/>
            <w:vAlign w:val="center"/>
          </w:tcPr>
          <w:p w14:paraId="4EA035FB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正向</w:t>
            </w:r>
            <w:proofErr w:type="spellEnd"/>
          </w:p>
        </w:tc>
        <w:tc>
          <w:tcPr>
            <w:tcW w:w="1224" w:type="dxa"/>
            <w:vAlign w:val="center"/>
          </w:tcPr>
          <w:p w14:paraId="7343BF10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质量</w:t>
            </w:r>
            <w:proofErr w:type="spellEnd"/>
          </w:p>
        </w:tc>
        <w:tc>
          <w:tcPr>
            <w:tcW w:w="1512" w:type="dxa"/>
            <w:vAlign w:val="center"/>
          </w:tcPr>
          <w:p w14:paraId="0905C3B3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9.09%</w:t>
            </w:r>
          </w:p>
        </w:tc>
        <w:tc>
          <w:tcPr>
            <w:tcW w:w="1656" w:type="dxa"/>
            <w:vAlign w:val="center"/>
          </w:tcPr>
          <w:p w14:paraId="3D31594F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4.17%</w:t>
            </w:r>
          </w:p>
        </w:tc>
        <w:tc>
          <w:tcPr>
            <w:tcW w:w="1008" w:type="dxa"/>
            <w:vAlign w:val="center"/>
          </w:tcPr>
          <w:p w14:paraId="293BF6C7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否</w:t>
            </w:r>
          </w:p>
        </w:tc>
      </w:tr>
      <w:tr w:rsidR="000C64B6" w14:paraId="6B94B168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7DD24BC3" w14:textId="77777777" w:rsidR="000C64B6" w:rsidRDefault="00C246F1">
            <w:pPr>
              <w:spacing w:after="0"/>
            </w:pPr>
            <w:proofErr w:type="spellStart"/>
            <w:r>
              <w:rPr>
                <w:sz w:val="15"/>
              </w:rPr>
              <w:t>Debt_to_Equity</w:t>
            </w:r>
            <w:proofErr w:type="spellEnd"/>
          </w:p>
        </w:tc>
        <w:tc>
          <w:tcPr>
            <w:tcW w:w="936" w:type="dxa"/>
            <w:vAlign w:val="center"/>
          </w:tcPr>
          <w:p w14:paraId="07B16F5B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反向</w:t>
            </w:r>
            <w:proofErr w:type="spellEnd"/>
          </w:p>
        </w:tc>
        <w:tc>
          <w:tcPr>
            <w:tcW w:w="1224" w:type="dxa"/>
            <w:vAlign w:val="center"/>
          </w:tcPr>
          <w:p w14:paraId="3D099EBF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质量</w:t>
            </w:r>
            <w:proofErr w:type="spellEnd"/>
          </w:p>
        </w:tc>
        <w:tc>
          <w:tcPr>
            <w:tcW w:w="1512" w:type="dxa"/>
            <w:vAlign w:val="center"/>
          </w:tcPr>
          <w:p w14:paraId="351BD111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9.09%</w:t>
            </w:r>
          </w:p>
        </w:tc>
        <w:tc>
          <w:tcPr>
            <w:tcW w:w="1656" w:type="dxa"/>
            <w:vAlign w:val="center"/>
          </w:tcPr>
          <w:p w14:paraId="07303E30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4.17%</w:t>
            </w:r>
          </w:p>
        </w:tc>
        <w:tc>
          <w:tcPr>
            <w:tcW w:w="1008" w:type="dxa"/>
            <w:vAlign w:val="center"/>
          </w:tcPr>
          <w:p w14:paraId="60CE7613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否</w:t>
            </w:r>
          </w:p>
        </w:tc>
      </w:tr>
      <w:tr w:rsidR="000C64B6" w14:paraId="6B2C3D0C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4266E24F" w14:textId="77777777" w:rsidR="000C64B6" w:rsidRDefault="00C246F1">
            <w:pPr>
              <w:spacing w:after="0"/>
            </w:pPr>
            <w:proofErr w:type="spellStart"/>
            <w:r>
              <w:rPr>
                <w:sz w:val="15"/>
              </w:rPr>
              <w:t>Gross_Margin</w:t>
            </w:r>
            <w:proofErr w:type="spellEnd"/>
          </w:p>
        </w:tc>
        <w:tc>
          <w:tcPr>
            <w:tcW w:w="936" w:type="dxa"/>
            <w:vAlign w:val="center"/>
          </w:tcPr>
          <w:p w14:paraId="0004D089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正向</w:t>
            </w:r>
            <w:proofErr w:type="spellEnd"/>
          </w:p>
        </w:tc>
        <w:tc>
          <w:tcPr>
            <w:tcW w:w="1224" w:type="dxa"/>
            <w:vAlign w:val="center"/>
          </w:tcPr>
          <w:p w14:paraId="53C0D775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质量</w:t>
            </w:r>
            <w:proofErr w:type="spellEnd"/>
          </w:p>
        </w:tc>
        <w:tc>
          <w:tcPr>
            <w:tcW w:w="1512" w:type="dxa"/>
            <w:vAlign w:val="center"/>
          </w:tcPr>
          <w:p w14:paraId="28168C7B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9.09%</w:t>
            </w:r>
          </w:p>
        </w:tc>
        <w:tc>
          <w:tcPr>
            <w:tcW w:w="1656" w:type="dxa"/>
            <w:vAlign w:val="center"/>
          </w:tcPr>
          <w:p w14:paraId="04181E62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4.17%</w:t>
            </w:r>
          </w:p>
        </w:tc>
        <w:tc>
          <w:tcPr>
            <w:tcW w:w="1008" w:type="dxa"/>
            <w:vAlign w:val="center"/>
          </w:tcPr>
          <w:p w14:paraId="2C5244F5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否</w:t>
            </w:r>
          </w:p>
        </w:tc>
      </w:tr>
      <w:tr w:rsidR="000C64B6" w14:paraId="6AD76157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1B2EF198" w14:textId="77777777" w:rsidR="000C64B6" w:rsidRDefault="00C246F1">
            <w:pPr>
              <w:spacing w:after="0"/>
            </w:pPr>
            <w:proofErr w:type="spellStart"/>
            <w:r>
              <w:rPr>
                <w:sz w:val="15"/>
              </w:rPr>
              <w:t>Revenue_Growth</w:t>
            </w:r>
            <w:proofErr w:type="spellEnd"/>
          </w:p>
        </w:tc>
        <w:tc>
          <w:tcPr>
            <w:tcW w:w="936" w:type="dxa"/>
            <w:vAlign w:val="center"/>
          </w:tcPr>
          <w:p w14:paraId="72F70DFC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正向</w:t>
            </w:r>
            <w:proofErr w:type="spellEnd"/>
          </w:p>
        </w:tc>
        <w:tc>
          <w:tcPr>
            <w:tcW w:w="1224" w:type="dxa"/>
            <w:vAlign w:val="center"/>
          </w:tcPr>
          <w:p w14:paraId="0AE07E7A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成长</w:t>
            </w:r>
            <w:proofErr w:type="spellEnd"/>
          </w:p>
        </w:tc>
        <w:tc>
          <w:tcPr>
            <w:tcW w:w="1512" w:type="dxa"/>
            <w:vAlign w:val="center"/>
          </w:tcPr>
          <w:p w14:paraId="6160C098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9.09%</w:t>
            </w:r>
          </w:p>
        </w:tc>
        <w:tc>
          <w:tcPr>
            <w:tcW w:w="1656" w:type="dxa"/>
            <w:vAlign w:val="center"/>
          </w:tcPr>
          <w:p w14:paraId="57C982D9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12.50%</w:t>
            </w:r>
          </w:p>
        </w:tc>
        <w:tc>
          <w:tcPr>
            <w:tcW w:w="1008" w:type="dxa"/>
            <w:vAlign w:val="center"/>
          </w:tcPr>
          <w:p w14:paraId="68ADB3CB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否</w:t>
            </w:r>
          </w:p>
        </w:tc>
      </w:tr>
      <w:tr w:rsidR="000C64B6" w14:paraId="5F983551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63BE2457" w14:textId="77777777" w:rsidR="000C64B6" w:rsidRDefault="00C246F1">
            <w:pPr>
              <w:spacing w:after="0"/>
            </w:pPr>
            <w:r>
              <w:rPr>
                <w:sz w:val="15"/>
              </w:rPr>
              <w:t>Volatility</w:t>
            </w:r>
          </w:p>
        </w:tc>
        <w:tc>
          <w:tcPr>
            <w:tcW w:w="936" w:type="dxa"/>
            <w:vAlign w:val="center"/>
          </w:tcPr>
          <w:p w14:paraId="10850070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反向</w:t>
            </w:r>
            <w:proofErr w:type="spellEnd"/>
          </w:p>
        </w:tc>
        <w:tc>
          <w:tcPr>
            <w:tcW w:w="1224" w:type="dxa"/>
            <w:vAlign w:val="center"/>
          </w:tcPr>
          <w:p w14:paraId="596E9291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低波</w:t>
            </w:r>
            <w:proofErr w:type="spellEnd"/>
          </w:p>
        </w:tc>
        <w:tc>
          <w:tcPr>
            <w:tcW w:w="1512" w:type="dxa"/>
            <w:vAlign w:val="center"/>
          </w:tcPr>
          <w:p w14:paraId="01F9A244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9.09%</w:t>
            </w:r>
          </w:p>
        </w:tc>
        <w:tc>
          <w:tcPr>
            <w:tcW w:w="1656" w:type="dxa"/>
            <w:vAlign w:val="center"/>
          </w:tcPr>
          <w:p w14:paraId="60D2B928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12.50%</w:t>
            </w:r>
          </w:p>
        </w:tc>
        <w:tc>
          <w:tcPr>
            <w:tcW w:w="1008" w:type="dxa"/>
            <w:vAlign w:val="center"/>
          </w:tcPr>
          <w:p w14:paraId="0F16250E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是</w:t>
            </w:r>
          </w:p>
        </w:tc>
      </w:tr>
      <w:tr w:rsidR="000C64B6" w14:paraId="4A51340C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6D425D35" w14:textId="77777777" w:rsidR="000C64B6" w:rsidRDefault="00C246F1">
            <w:pPr>
              <w:spacing w:after="0"/>
            </w:pPr>
            <w:r>
              <w:rPr>
                <w:sz w:val="15"/>
              </w:rPr>
              <w:t>Momentum_60D</w:t>
            </w:r>
          </w:p>
        </w:tc>
        <w:tc>
          <w:tcPr>
            <w:tcW w:w="936" w:type="dxa"/>
            <w:vAlign w:val="center"/>
          </w:tcPr>
          <w:p w14:paraId="25FEB2F7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正向</w:t>
            </w:r>
            <w:proofErr w:type="spellEnd"/>
          </w:p>
        </w:tc>
        <w:tc>
          <w:tcPr>
            <w:tcW w:w="1224" w:type="dxa"/>
            <w:vAlign w:val="center"/>
          </w:tcPr>
          <w:p w14:paraId="3724792F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动量</w:t>
            </w:r>
            <w:proofErr w:type="spellEnd"/>
          </w:p>
        </w:tc>
        <w:tc>
          <w:tcPr>
            <w:tcW w:w="1512" w:type="dxa"/>
            <w:vAlign w:val="center"/>
          </w:tcPr>
          <w:p w14:paraId="0D49D68B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9.09%</w:t>
            </w:r>
          </w:p>
        </w:tc>
        <w:tc>
          <w:tcPr>
            <w:tcW w:w="1656" w:type="dxa"/>
            <w:vAlign w:val="center"/>
          </w:tcPr>
          <w:p w14:paraId="64B85D7F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12.50%</w:t>
            </w:r>
          </w:p>
        </w:tc>
        <w:tc>
          <w:tcPr>
            <w:tcW w:w="1008" w:type="dxa"/>
            <w:vAlign w:val="center"/>
          </w:tcPr>
          <w:p w14:paraId="0FE7CA86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否</w:t>
            </w:r>
          </w:p>
        </w:tc>
      </w:tr>
      <w:tr w:rsidR="000C64B6" w14:paraId="2EB5E448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28468122" w14:textId="77777777" w:rsidR="000C64B6" w:rsidRDefault="00C246F1">
            <w:pPr>
              <w:spacing w:after="0"/>
            </w:pPr>
            <w:proofErr w:type="spellStart"/>
            <w:r>
              <w:rPr>
                <w:sz w:val="15"/>
              </w:rPr>
              <w:t>Main_Net_In</w:t>
            </w:r>
            <w:proofErr w:type="spellEnd"/>
          </w:p>
        </w:tc>
        <w:tc>
          <w:tcPr>
            <w:tcW w:w="936" w:type="dxa"/>
            <w:vAlign w:val="center"/>
          </w:tcPr>
          <w:p w14:paraId="33D4C7D9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正向</w:t>
            </w:r>
            <w:proofErr w:type="spellEnd"/>
          </w:p>
        </w:tc>
        <w:tc>
          <w:tcPr>
            <w:tcW w:w="1224" w:type="dxa"/>
            <w:vAlign w:val="center"/>
          </w:tcPr>
          <w:p w14:paraId="0503A927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资金流</w:t>
            </w:r>
            <w:proofErr w:type="spellEnd"/>
          </w:p>
        </w:tc>
        <w:tc>
          <w:tcPr>
            <w:tcW w:w="1512" w:type="dxa"/>
            <w:vAlign w:val="center"/>
          </w:tcPr>
          <w:p w14:paraId="787CDE0F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9.09%</w:t>
            </w:r>
          </w:p>
        </w:tc>
        <w:tc>
          <w:tcPr>
            <w:tcW w:w="1656" w:type="dxa"/>
            <w:vAlign w:val="center"/>
          </w:tcPr>
          <w:p w14:paraId="695FDBAF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12.50%</w:t>
            </w:r>
          </w:p>
        </w:tc>
        <w:tc>
          <w:tcPr>
            <w:tcW w:w="1008" w:type="dxa"/>
            <w:vAlign w:val="center"/>
          </w:tcPr>
          <w:p w14:paraId="1D7BBAB1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是</w:t>
            </w:r>
          </w:p>
        </w:tc>
      </w:tr>
      <w:tr w:rsidR="000C64B6" w14:paraId="2AB32C05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130358AE" w14:textId="77777777" w:rsidR="000C64B6" w:rsidRDefault="00C246F1">
            <w:pPr>
              <w:spacing w:after="0"/>
            </w:pPr>
            <w:r>
              <w:rPr>
                <w:sz w:val="15"/>
              </w:rPr>
              <w:t>Turnover_20D</w:t>
            </w:r>
          </w:p>
        </w:tc>
        <w:tc>
          <w:tcPr>
            <w:tcW w:w="936" w:type="dxa"/>
            <w:vAlign w:val="center"/>
          </w:tcPr>
          <w:p w14:paraId="026DB95F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正向</w:t>
            </w:r>
            <w:proofErr w:type="spellEnd"/>
          </w:p>
        </w:tc>
        <w:tc>
          <w:tcPr>
            <w:tcW w:w="1224" w:type="dxa"/>
            <w:vAlign w:val="center"/>
          </w:tcPr>
          <w:p w14:paraId="466D20CB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流动性</w:t>
            </w:r>
            <w:proofErr w:type="spellEnd"/>
          </w:p>
        </w:tc>
        <w:tc>
          <w:tcPr>
            <w:tcW w:w="1512" w:type="dxa"/>
            <w:vAlign w:val="center"/>
          </w:tcPr>
          <w:p w14:paraId="638FD6D3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9.09%</w:t>
            </w:r>
          </w:p>
        </w:tc>
        <w:tc>
          <w:tcPr>
            <w:tcW w:w="1656" w:type="dxa"/>
            <w:vAlign w:val="center"/>
          </w:tcPr>
          <w:p w14:paraId="20314DA5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12.50%</w:t>
            </w:r>
          </w:p>
        </w:tc>
        <w:tc>
          <w:tcPr>
            <w:tcW w:w="1008" w:type="dxa"/>
            <w:vAlign w:val="center"/>
          </w:tcPr>
          <w:p w14:paraId="1E7C897C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否</w:t>
            </w:r>
          </w:p>
        </w:tc>
      </w:tr>
      <w:tr w:rsidR="000C64B6" w14:paraId="2AB88F1A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36AC8AB7" w14:textId="77777777" w:rsidR="000C64B6" w:rsidRDefault="00C246F1">
            <w:pPr>
              <w:spacing w:after="0"/>
            </w:pPr>
            <w:proofErr w:type="spellStart"/>
            <w:r>
              <w:rPr>
                <w:sz w:val="15"/>
              </w:rPr>
              <w:t>Holder_Concen</w:t>
            </w:r>
            <w:proofErr w:type="spellEnd"/>
          </w:p>
        </w:tc>
        <w:tc>
          <w:tcPr>
            <w:tcW w:w="936" w:type="dxa"/>
            <w:vAlign w:val="center"/>
          </w:tcPr>
          <w:p w14:paraId="14527296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正向</w:t>
            </w:r>
            <w:proofErr w:type="spellEnd"/>
          </w:p>
        </w:tc>
        <w:tc>
          <w:tcPr>
            <w:tcW w:w="1224" w:type="dxa"/>
            <w:vAlign w:val="center"/>
          </w:tcPr>
          <w:p w14:paraId="3A02B1BE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5"/>
              </w:rPr>
              <w:t>股东结构</w:t>
            </w:r>
            <w:proofErr w:type="spellEnd"/>
          </w:p>
        </w:tc>
        <w:tc>
          <w:tcPr>
            <w:tcW w:w="1512" w:type="dxa"/>
            <w:vAlign w:val="center"/>
          </w:tcPr>
          <w:p w14:paraId="1469AA48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9.09%</w:t>
            </w:r>
          </w:p>
        </w:tc>
        <w:tc>
          <w:tcPr>
            <w:tcW w:w="1656" w:type="dxa"/>
            <w:vAlign w:val="center"/>
          </w:tcPr>
          <w:p w14:paraId="34B640FB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12.50%</w:t>
            </w:r>
          </w:p>
        </w:tc>
        <w:tc>
          <w:tcPr>
            <w:tcW w:w="1008" w:type="dxa"/>
            <w:vAlign w:val="center"/>
          </w:tcPr>
          <w:p w14:paraId="4EE7B932" w14:textId="77777777" w:rsidR="000C64B6" w:rsidRDefault="00C246F1">
            <w:pPr>
              <w:spacing w:after="0"/>
              <w:jc w:val="center"/>
            </w:pPr>
            <w:r>
              <w:rPr>
                <w:sz w:val="15"/>
              </w:rPr>
              <w:t>否</w:t>
            </w:r>
          </w:p>
        </w:tc>
      </w:tr>
    </w:tbl>
    <w:p w14:paraId="0556AD6B" w14:textId="77777777" w:rsidR="000C64B6" w:rsidRDefault="000C64B6"/>
    <w:p w14:paraId="69479498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八个预冻结经济组分别为价值、质量、成长、低波、动量、资金流、流动性和股东结构。没有与现有因子直接对应的规模组和纯情绪组，故未强行归类。分组组合先在组内对可用因子等权，再在有效组之间等权；完整数据下，每个组权重为</w:t>
      </w:r>
      <w:r>
        <w:rPr>
          <w:lang w:eastAsia="zh-CN"/>
        </w:rPr>
        <w:t>12.5%</w:t>
      </w:r>
      <w:r>
        <w:rPr>
          <w:lang w:eastAsia="zh-CN"/>
        </w:rPr>
        <w:t>。</w:t>
      </w:r>
    </w:p>
    <w:p w14:paraId="7A1C8A4B" w14:textId="77777777" w:rsidR="000C64B6" w:rsidRDefault="00C246F1">
      <w:pPr>
        <w:spacing w:after="80" w:line="324" w:lineRule="auto"/>
      </w:pPr>
      <w:r>
        <w:t>该规则改变的是经济属性的预算，而不是因子名单：</w:t>
      </w:r>
      <w:r>
        <w:t>Revenue_Growth</w:t>
      </w:r>
      <w:r>
        <w:t>、</w:t>
      </w:r>
      <w:r>
        <w:t>Volatility</w:t>
      </w:r>
      <w:r>
        <w:t>、</w:t>
      </w:r>
      <w:r>
        <w:t>Momentum_60D</w:t>
      </w:r>
      <w:r>
        <w:t>、</w:t>
      </w:r>
      <w:r>
        <w:t>Main_Net_In</w:t>
      </w:r>
      <w:r>
        <w:t>、</w:t>
      </w:r>
      <w:r>
        <w:t>Turnover_20D</w:t>
      </w:r>
      <w:r>
        <w:t>和</w:t>
      </w:r>
      <w:r>
        <w:t>Holder_Concen</w:t>
      </w:r>
      <w:r>
        <w:t>等单因子组各获得</w:t>
      </w:r>
      <w:r>
        <w:t>12.5%</w:t>
      </w:r>
      <w:r>
        <w:t>；价值组两个因子各</w:t>
      </w:r>
      <w:r>
        <w:t>6.25%</w:t>
      </w:r>
      <w:r>
        <w:t>；质量组三个因子各</w:t>
      </w:r>
      <w:r>
        <w:t>4.17%</w:t>
      </w:r>
      <w:r>
        <w:t>。</w:t>
      </w:r>
    </w:p>
    <w:p w14:paraId="33F261D9" w14:textId="77777777" w:rsidR="000C64B6" w:rsidRDefault="00C246F1">
      <w:pPr>
        <w:pStyle w:val="1"/>
      </w:pPr>
      <w:r>
        <w:t xml:space="preserve">4. </w:t>
      </w:r>
      <w:proofErr w:type="spellStart"/>
      <w:r>
        <w:t>样本外核心结果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979"/>
        <w:gridCol w:w="1037"/>
        <w:gridCol w:w="821"/>
        <w:gridCol w:w="979"/>
        <w:gridCol w:w="1037"/>
        <w:gridCol w:w="979"/>
        <w:gridCol w:w="979"/>
        <w:gridCol w:w="835"/>
      </w:tblGrid>
      <w:tr w:rsidR="000C64B6" w14:paraId="3D5AA044" w14:textId="77777777">
        <w:trPr>
          <w:tblHeader/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74A08C62" w14:textId="77777777" w:rsidR="000C64B6" w:rsidRDefault="00C246F1">
            <w:pPr>
              <w:spacing w:after="0"/>
            </w:pPr>
            <w:proofErr w:type="spellStart"/>
            <w:r>
              <w:rPr>
                <w:b/>
                <w:sz w:val="15"/>
              </w:rPr>
              <w:t>组合</w:t>
            </w:r>
            <w:proofErr w:type="spellEnd"/>
          </w:p>
        </w:tc>
        <w:tc>
          <w:tcPr>
            <w:tcW w:w="979" w:type="dxa"/>
            <w:shd w:val="clear" w:color="auto" w:fill="F2F4F7"/>
            <w:vAlign w:val="center"/>
          </w:tcPr>
          <w:p w14:paraId="4E36818A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5"/>
              </w:rPr>
              <w:t>D10-D1</w:t>
            </w:r>
          </w:p>
        </w:tc>
        <w:tc>
          <w:tcPr>
            <w:tcW w:w="1037" w:type="dxa"/>
            <w:shd w:val="clear" w:color="auto" w:fill="F2F4F7"/>
            <w:vAlign w:val="center"/>
          </w:tcPr>
          <w:p w14:paraId="1C146161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5"/>
              </w:rPr>
              <w:t>Top20</w:t>
            </w:r>
            <w:r>
              <w:rPr>
                <w:b/>
                <w:sz w:val="15"/>
              </w:rPr>
              <w:t>超额</w:t>
            </w:r>
          </w:p>
        </w:tc>
        <w:tc>
          <w:tcPr>
            <w:tcW w:w="821" w:type="dxa"/>
            <w:shd w:val="clear" w:color="auto" w:fill="F2F4F7"/>
            <w:vAlign w:val="center"/>
          </w:tcPr>
          <w:p w14:paraId="54E87C56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5"/>
              </w:rPr>
              <w:t>RankIC</w:t>
            </w:r>
            <w:proofErr w:type="spellEnd"/>
          </w:p>
        </w:tc>
        <w:tc>
          <w:tcPr>
            <w:tcW w:w="979" w:type="dxa"/>
            <w:shd w:val="clear" w:color="auto" w:fill="F2F4F7"/>
            <w:vAlign w:val="center"/>
          </w:tcPr>
          <w:p w14:paraId="75F6CE9F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5"/>
              </w:rPr>
              <w:t>D10</w:t>
            </w:r>
            <w:r>
              <w:rPr>
                <w:b/>
                <w:sz w:val="15"/>
              </w:rPr>
              <w:t>回撤</w:t>
            </w:r>
          </w:p>
        </w:tc>
        <w:tc>
          <w:tcPr>
            <w:tcW w:w="1037" w:type="dxa"/>
            <w:shd w:val="clear" w:color="auto" w:fill="F2F4F7"/>
            <w:vAlign w:val="center"/>
          </w:tcPr>
          <w:p w14:paraId="1861B2BC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5"/>
              </w:rPr>
              <w:t>Top20</w:t>
            </w:r>
            <w:r>
              <w:rPr>
                <w:b/>
                <w:sz w:val="15"/>
              </w:rPr>
              <w:t>回撤</w:t>
            </w:r>
          </w:p>
        </w:tc>
        <w:tc>
          <w:tcPr>
            <w:tcW w:w="979" w:type="dxa"/>
            <w:shd w:val="clear" w:color="auto" w:fill="F2F4F7"/>
            <w:vAlign w:val="center"/>
          </w:tcPr>
          <w:p w14:paraId="77128B45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5"/>
              </w:rPr>
              <w:t>双腿换手</w:t>
            </w:r>
            <w:proofErr w:type="spellEnd"/>
          </w:p>
        </w:tc>
        <w:tc>
          <w:tcPr>
            <w:tcW w:w="979" w:type="dxa"/>
            <w:shd w:val="clear" w:color="auto" w:fill="F2F4F7"/>
            <w:vAlign w:val="center"/>
          </w:tcPr>
          <w:p w14:paraId="1D75C004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5"/>
              </w:rPr>
              <w:t>Top20</w:t>
            </w:r>
            <w:r>
              <w:rPr>
                <w:b/>
                <w:sz w:val="15"/>
              </w:rPr>
              <w:t>换手</w:t>
            </w:r>
          </w:p>
        </w:tc>
        <w:tc>
          <w:tcPr>
            <w:tcW w:w="835" w:type="dxa"/>
            <w:shd w:val="clear" w:color="auto" w:fill="F2F4F7"/>
            <w:vAlign w:val="center"/>
          </w:tcPr>
          <w:p w14:paraId="49542D4C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5"/>
              </w:rPr>
              <w:t>覆盖率</w:t>
            </w:r>
            <w:proofErr w:type="spellEnd"/>
          </w:p>
        </w:tc>
      </w:tr>
      <w:tr w:rsidR="000C64B6" w14:paraId="1C28B4D0" w14:textId="77777777">
        <w:trPr>
          <w:cantSplit/>
          <w:jc w:val="center"/>
        </w:trPr>
        <w:tc>
          <w:tcPr>
            <w:tcW w:w="1584" w:type="dxa"/>
            <w:shd w:val="clear" w:color="auto" w:fill="DDEBF7"/>
            <w:vAlign w:val="center"/>
          </w:tcPr>
          <w:p w14:paraId="58C31A82" w14:textId="77777777" w:rsidR="000C64B6" w:rsidRDefault="00C246F1">
            <w:pPr>
              <w:spacing w:after="0"/>
            </w:pPr>
            <w:r>
              <w:rPr>
                <w:sz w:val="14"/>
              </w:rPr>
              <w:t>原始</w:t>
            </w:r>
            <w:r>
              <w:rPr>
                <w:sz w:val="14"/>
              </w:rPr>
              <w:t>11</w:t>
            </w:r>
            <w:r>
              <w:rPr>
                <w:sz w:val="14"/>
              </w:rPr>
              <w:t>因子等权</w:t>
            </w:r>
          </w:p>
        </w:tc>
        <w:tc>
          <w:tcPr>
            <w:tcW w:w="979" w:type="dxa"/>
            <w:shd w:val="clear" w:color="auto" w:fill="DDEBF7"/>
            <w:vAlign w:val="center"/>
          </w:tcPr>
          <w:p w14:paraId="4FDCC3D8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9.05%</w:t>
            </w:r>
          </w:p>
        </w:tc>
        <w:tc>
          <w:tcPr>
            <w:tcW w:w="1037" w:type="dxa"/>
            <w:shd w:val="clear" w:color="auto" w:fill="DDEBF7"/>
            <w:vAlign w:val="center"/>
          </w:tcPr>
          <w:p w14:paraId="63520E68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6.85%</w:t>
            </w:r>
          </w:p>
        </w:tc>
        <w:tc>
          <w:tcPr>
            <w:tcW w:w="821" w:type="dxa"/>
            <w:shd w:val="clear" w:color="auto" w:fill="DDEBF7"/>
            <w:vAlign w:val="center"/>
          </w:tcPr>
          <w:p w14:paraId="5DFF9CEC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0.0094</w:t>
            </w:r>
          </w:p>
        </w:tc>
        <w:tc>
          <w:tcPr>
            <w:tcW w:w="979" w:type="dxa"/>
            <w:shd w:val="clear" w:color="auto" w:fill="DDEBF7"/>
            <w:vAlign w:val="center"/>
          </w:tcPr>
          <w:p w14:paraId="3233EE37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-4.14%</w:t>
            </w:r>
          </w:p>
        </w:tc>
        <w:tc>
          <w:tcPr>
            <w:tcW w:w="1037" w:type="dxa"/>
            <w:shd w:val="clear" w:color="auto" w:fill="DDEBF7"/>
            <w:vAlign w:val="center"/>
          </w:tcPr>
          <w:p w14:paraId="0D467DB7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-17.21%</w:t>
            </w:r>
          </w:p>
        </w:tc>
        <w:tc>
          <w:tcPr>
            <w:tcW w:w="979" w:type="dxa"/>
            <w:shd w:val="clear" w:color="auto" w:fill="DDEBF7"/>
            <w:vAlign w:val="center"/>
          </w:tcPr>
          <w:p w14:paraId="64517EC4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66.71%</w:t>
            </w:r>
          </w:p>
        </w:tc>
        <w:tc>
          <w:tcPr>
            <w:tcW w:w="979" w:type="dxa"/>
            <w:shd w:val="clear" w:color="auto" w:fill="DDEBF7"/>
            <w:vAlign w:val="center"/>
          </w:tcPr>
          <w:p w14:paraId="25790244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28.83%</w:t>
            </w:r>
          </w:p>
        </w:tc>
        <w:tc>
          <w:tcPr>
            <w:tcW w:w="835" w:type="dxa"/>
            <w:shd w:val="clear" w:color="auto" w:fill="DDEBF7"/>
            <w:vAlign w:val="center"/>
          </w:tcPr>
          <w:p w14:paraId="2E58B51C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99.90%</w:t>
            </w:r>
          </w:p>
        </w:tc>
      </w:tr>
      <w:tr w:rsidR="000C64B6" w14:paraId="080CAD3E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60AD4788" w14:textId="77777777" w:rsidR="000C64B6" w:rsidRDefault="00C246F1">
            <w:pPr>
              <w:spacing w:after="0"/>
            </w:pPr>
            <w:r>
              <w:rPr>
                <w:sz w:val="14"/>
              </w:rPr>
              <w:t>固定</w:t>
            </w:r>
            <w:r>
              <w:rPr>
                <w:sz w:val="14"/>
              </w:rPr>
              <w:t>4</w:t>
            </w:r>
            <w:r>
              <w:rPr>
                <w:sz w:val="14"/>
              </w:rPr>
              <w:t>因子等权</w:t>
            </w:r>
          </w:p>
        </w:tc>
        <w:tc>
          <w:tcPr>
            <w:tcW w:w="979" w:type="dxa"/>
            <w:vAlign w:val="center"/>
          </w:tcPr>
          <w:p w14:paraId="729E208B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-12.29%</w:t>
            </w:r>
          </w:p>
        </w:tc>
        <w:tc>
          <w:tcPr>
            <w:tcW w:w="1037" w:type="dxa"/>
            <w:vAlign w:val="center"/>
          </w:tcPr>
          <w:p w14:paraId="3753632B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-3.13%</w:t>
            </w:r>
          </w:p>
        </w:tc>
        <w:tc>
          <w:tcPr>
            <w:tcW w:w="821" w:type="dxa"/>
            <w:vAlign w:val="center"/>
          </w:tcPr>
          <w:p w14:paraId="1510270A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0.0481</w:t>
            </w:r>
          </w:p>
        </w:tc>
        <w:tc>
          <w:tcPr>
            <w:tcW w:w="979" w:type="dxa"/>
            <w:vAlign w:val="center"/>
          </w:tcPr>
          <w:p w14:paraId="27B669E0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-23.06%</w:t>
            </w:r>
          </w:p>
        </w:tc>
        <w:tc>
          <w:tcPr>
            <w:tcW w:w="1037" w:type="dxa"/>
            <w:vAlign w:val="center"/>
          </w:tcPr>
          <w:p w14:paraId="1C08758B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-14.69%</w:t>
            </w:r>
          </w:p>
        </w:tc>
        <w:tc>
          <w:tcPr>
            <w:tcW w:w="979" w:type="dxa"/>
            <w:vAlign w:val="center"/>
          </w:tcPr>
          <w:p w14:paraId="0B920DB2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69.51%</w:t>
            </w:r>
          </w:p>
        </w:tc>
        <w:tc>
          <w:tcPr>
            <w:tcW w:w="979" w:type="dxa"/>
            <w:vAlign w:val="center"/>
          </w:tcPr>
          <w:p w14:paraId="7D2421FA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26.83%</w:t>
            </w:r>
          </w:p>
        </w:tc>
        <w:tc>
          <w:tcPr>
            <w:tcW w:w="835" w:type="dxa"/>
            <w:vAlign w:val="center"/>
          </w:tcPr>
          <w:p w14:paraId="6E387C7D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79.61%</w:t>
            </w:r>
          </w:p>
        </w:tc>
      </w:tr>
      <w:tr w:rsidR="000C64B6" w14:paraId="43E95BB3" w14:textId="77777777">
        <w:trPr>
          <w:cantSplit/>
          <w:jc w:val="center"/>
        </w:trPr>
        <w:tc>
          <w:tcPr>
            <w:tcW w:w="1584" w:type="dxa"/>
            <w:shd w:val="clear" w:color="auto" w:fill="E2F0D9"/>
            <w:vAlign w:val="center"/>
          </w:tcPr>
          <w:p w14:paraId="695ED14D" w14:textId="77777777" w:rsidR="000C64B6" w:rsidRDefault="00C246F1">
            <w:pPr>
              <w:spacing w:after="0"/>
            </w:pPr>
            <w:proofErr w:type="spellStart"/>
            <w:r>
              <w:rPr>
                <w:sz w:val="14"/>
              </w:rPr>
              <w:t>经济属性分组</w:t>
            </w:r>
            <w:proofErr w:type="spellEnd"/>
          </w:p>
        </w:tc>
        <w:tc>
          <w:tcPr>
            <w:tcW w:w="979" w:type="dxa"/>
            <w:shd w:val="clear" w:color="auto" w:fill="E2F0D9"/>
            <w:vAlign w:val="center"/>
          </w:tcPr>
          <w:p w14:paraId="7590767F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11.82%</w:t>
            </w:r>
          </w:p>
        </w:tc>
        <w:tc>
          <w:tcPr>
            <w:tcW w:w="1037" w:type="dxa"/>
            <w:shd w:val="clear" w:color="auto" w:fill="E2F0D9"/>
            <w:vAlign w:val="center"/>
          </w:tcPr>
          <w:p w14:paraId="421EEC2F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8.31%</w:t>
            </w:r>
          </w:p>
        </w:tc>
        <w:tc>
          <w:tcPr>
            <w:tcW w:w="821" w:type="dxa"/>
            <w:shd w:val="clear" w:color="auto" w:fill="E2F0D9"/>
            <w:vAlign w:val="center"/>
          </w:tcPr>
          <w:p w14:paraId="37579F44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0.0008</w:t>
            </w:r>
          </w:p>
        </w:tc>
        <w:tc>
          <w:tcPr>
            <w:tcW w:w="979" w:type="dxa"/>
            <w:shd w:val="clear" w:color="auto" w:fill="E2F0D9"/>
            <w:vAlign w:val="center"/>
          </w:tcPr>
          <w:p w14:paraId="3785C587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-3.04%</w:t>
            </w:r>
          </w:p>
        </w:tc>
        <w:tc>
          <w:tcPr>
            <w:tcW w:w="1037" w:type="dxa"/>
            <w:shd w:val="clear" w:color="auto" w:fill="E2F0D9"/>
            <w:vAlign w:val="center"/>
          </w:tcPr>
          <w:p w14:paraId="21F78D02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-17.93%</w:t>
            </w:r>
          </w:p>
        </w:tc>
        <w:tc>
          <w:tcPr>
            <w:tcW w:w="979" w:type="dxa"/>
            <w:shd w:val="clear" w:color="auto" w:fill="E2F0D9"/>
            <w:vAlign w:val="center"/>
          </w:tcPr>
          <w:p w14:paraId="30E94BB6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84.62%</w:t>
            </w:r>
          </w:p>
        </w:tc>
        <w:tc>
          <w:tcPr>
            <w:tcW w:w="979" w:type="dxa"/>
            <w:shd w:val="clear" w:color="auto" w:fill="E2F0D9"/>
            <w:vAlign w:val="center"/>
          </w:tcPr>
          <w:p w14:paraId="010A51A0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35.66%</w:t>
            </w:r>
          </w:p>
        </w:tc>
        <w:tc>
          <w:tcPr>
            <w:tcW w:w="835" w:type="dxa"/>
            <w:shd w:val="clear" w:color="auto" w:fill="E2F0D9"/>
            <w:vAlign w:val="center"/>
          </w:tcPr>
          <w:p w14:paraId="03EA05B3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99.72%</w:t>
            </w:r>
          </w:p>
        </w:tc>
      </w:tr>
    </w:tbl>
    <w:p w14:paraId="6A6FC5CA" w14:textId="77777777" w:rsidR="000C64B6" w:rsidRDefault="000C64B6"/>
    <w:p w14:paraId="5D03B637" w14:textId="77777777" w:rsidR="000C64B6" w:rsidRDefault="00C246F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9811EC" wp14:editId="00F46195">
            <wp:extent cx="5806440" cy="34838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ed_composite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4208" w14:textId="77777777" w:rsidR="000C64B6" w:rsidRDefault="00C246F1">
      <w:pPr>
        <w:spacing w:after="40"/>
        <w:jc w:val="center"/>
        <w:rPr>
          <w:lang w:eastAsia="zh-CN"/>
        </w:rPr>
      </w:pPr>
      <w:r>
        <w:rPr>
          <w:b/>
          <w:color w:val="5A5A5A"/>
          <w:sz w:val="19"/>
          <w:lang w:eastAsia="zh-CN"/>
        </w:rPr>
        <w:t>图</w:t>
      </w:r>
      <w:r>
        <w:rPr>
          <w:b/>
          <w:color w:val="5A5A5A"/>
          <w:sz w:val="19"/>
          <w:lang w:eastAsia="zh-CN"/>
        </w:rPr>
        <w:t xml:space="preserve"> 1</w:t>
      </w:r>
      <w:r>
        <w:rPr>
          <w:b/>
          <w:color w:val="5A5A5A"/>
          <w:sz w:val="19"/>
          <w:lang w:eastAsia="zh-CN"/>
        </w:rPr>
        <w:t>：原始</w:t>
      </w:r>
      <w:r>
        <w:rPr>
          <w:b/>
          <w:color w:val="5A5A5A"/>
          <w:sz w:val="19"/>
          <w:lang w:eastAsia="zh-CN"/>
        </w:rPr>
        <w:t>11</w:t>
      </w:r>
      <w:r>
        <w:rPr>
          <w:b/>
          <w:color w:val="5A5A5A"/>
          <w:sz w:val="19"/>
          <w:lang w:eastAsia="zh-CN"/>
        </w:rPr>
        <w:t>因子、固定</w:t>
      </w:r>
      <w:r>
        <w:rPr>
          <w:b/>
          <w:color w:val="5A5A5A"/>
          <w:sz w:val="19"/>
          <w:lang w:eastAsia="zh-CN"/>
        </w:rPr>
        <w:t>4</w:t>
      </w:r>
      <w:r>
        <w:rPr>
          <w:b/>
          <w:color w:val="5A5A5A"/>
          <w:sz w:val="19"/>
          <w:lang w:eastAsia="zh-CN"/>
        </w:rPr>
        <w:t>因子与经济属性分组组合的样本外指标对比</w:t>
      </w:r>
    </w:p>
    <w:p w14:paraId="245C15E2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固定</w:t>
      </w:r>
      <w:r>
        <w:rPr>
          <w:lang w:eastAsia="zh-CN"/>
        </w:rPr>
        <w:t>4</w:t>
      </w:r>
      <w:r>
        <w:rPr>
          <w:lang w:eastAsia="zh-CN"/>
        </w:rPr>
        <w:t>因子的平均</w:t>
      </w:r>
      <w:proofErr w:type="spellStart"/>
      <w:r>
        <w:rPr>
          <w:lang w:eastAsia="zh-CN"/>
        </w:rPr>
        <w:t>RankIC</w:t>
      </w:r>
      <w:proofErr w:type="spellEnd"/>
      <w:r>
        <w:rPr>
          <w:lang w:eastAsia="zh-CN"/>
        </w:rPr>
        <w:t>为</w:t>
      </w:r>
      <w:r>
        <w:rPr>
          <w:lang w:eastAsia="zh-CN"/>
        </w:rPr>
        <w:t>4.81%</w:t>
      </w:r>
      <w:r>
        <w:rPr>
          <w:lang w:eastAsia="zh-CN"/>
        </w:rPr>
        <w:t>，高于原始</w:t>
      </w:r>
      <w:r>
        <w:rPr>
          <w:lang w:eastAsia="zh-CN"/>
        </w:rPr>
        <w:t>11</w:t>
      </w:r>
      <w:r>
        <w:rPr>
          <w:lang w:eastAsia="zh-CN"/>
        </w:rPr>
        <w:t>因子的</w:t>
      </w:r>
      <w:r>
        <w:rPr>
          <w:lang w:eastAsia="zh-CN"/>
        </w:rPr>
        <w:t>0.94%</w:t>
      </w:r>
      <w:r>
        <w:rPr>
          <w:lang w:eastAsia="zh-CN"/>
        </w:rPr>
        <w:t>，但</w:t>
      </w:r>
      <w:r>
        <w:rPr>
          <w:lang w:eastAsia="zh-CN"/>
        </w:rPr>
        <w:t>D10-D1</w:t>
      </w:r>
      <w:r>
        <w:rPr>
          <w:lang w:eastAsia="zh-CN"/>
        </w:rPr>
        <w:t>和</w:t>
      </w:r>
      <w:r>
        <w:rPr>
          <w:lang w:eastAsia="zh-CN"/>
        </w:rPr>
        <w:t>Top20</w:t>
      </w:r>
      <w:r>
        <w:rPr>
          <w:lang w:eastAsia="zh-CN"/>
        </w:rPr>
        <w:t>超额均为负。这并非口径错误：固定</w:t>
      </w:r>
      <w:r>
        <w:rPr>
          <w:lang w:eastAsia="zh-CN"/>
        </w:rPr>
        <w:t>4</w:t>
      </w:r>
      <w:r>
        <w:rPr>
          <w:lang w:eastAsia="zh-CN"/>
        </w:rPr>
        <w:t>因子的</w:t>
      </w:r>
      <w:r>
        <w:rPr>
          <w:lang w:eastAsia="zh-CN"/>
        </w:rPr>
        <w:t>IC</w:t>
      </w:r>
      <w:r>
        <w:rPr>
          <w:lang w:eastAsia="zh-CN"/>
        </w:rPr>
        <w:t>在少数月份很高、在弱势月份尾部更差；同时其平均覆盖率仅</w:t>
      </w:r>
      <w:r>
        <w:rPr>
          <w:lang w:eastAsia="zh-CN"/>
        </w:rPr>
        <w:t>79.61%</w:t>
      </w:r>
      <w:r>
        <w:rPr>
          <w:lang w:eastAsia="zh-CN"/>
        </w:rPr>
        <w:t>，明显低于原始</w:t>
      </w:r>
      <w:r>
        <w:rPr>
          <w:lang w:eastAsia="zh-CN"/>
        </w:rPr>
        <w:t>11</w:t>
      </w:r>
      <w:r>
        <w:rPr>
          <w:lang w:eastAsia="zh-CN"/>
        </w:rPr>
        <w:t>因子的</w:t>
      </w:r>
      <w:r>
        <w:rPr>
          <w:lang w:eastAsia="zh-CN"/>
        </w:rPr>
        <w:t>99.90%</w:t>
      </w:r>
      <w:r>
        <w:rPr>
          <w:lang w:eastAsia="zh-CN"/>
        </w:rPr>
        <w:t>。因此，平均</w:t>
      </w:r>
      <w:proofErr w:type="spellStart"/>
      <w:r>
        <w:rPr>
          <w:lang w:eastAsia="zh-CN"/>
        </w:rPr>
        <w:t>RankIC</w:t>
      </w:r>
      <w:proofErr w:type="spellEnd"/>
      <w:r>
        <w:rPr>
          <w:lang w:eastAsia="zh-CN"/>
        </w:rPr>
        <w:t>不能替代组合收益、尾部稳定性和覆盖率评价。</w:t>
      </w:r>
    </w:p>
    <w:p w14:paraId="7BC04502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固定</w:t>
      </w:r>
      <w:r>
        <w:rPr>
          <w:lang w:eastAsia="zh-CN"/>
        </w:rPr>
        <w:t>4</w:t>
      </w:r>
      <w:r>
        <w:rPr>
          <w:lang w:eastAsia="zh-CN"/>
        </w:rPr>
        <w:t>因子的</w:t>
      </w:r>
      <w:r>
        <w:rPr>
          <w:lang w:eastAsia="zh-CN"/>
        </w:rPr>
        <w:t>Top20</w:t>
      </w:r>
      <w:r>
        <w:rPr>
          <w:lang w:eastAsia="zh-CN"/>
        </w:rPr>
        <w:t>最大回撤为</w:t>
      </w:r>
      <w:r>
        <w:rPr>
          <w:lang w:eastAsia="zh-CN"/>
        </w:rPr>
        <w:t>-14.69%</w:t>
      </w:r>
      <w:r>
        <w:rPr>
          <w:lang w:eastAsia="zh-CN"/>
        </w:rPr>
        <w:t>，好于原始</w:t>
      </w:r>
      <w:r>
        <w:rPr>
          <w:lang w:eastAsia="zh-CN"/>
        </w:rPr>
        <w:t>11</w:t>
      </w:r>
      <w:r>
        <w:rPr>
          <w:lang w:eastAsia="zh-CN"/>
        </w:rPr>
        <w:t>因子的</w:t>
      </w:r>
      <w:r>
        <w:rPr>
          <w:lang w:eastAsia="zh-CN"/>
        </w:rPr>
        <w:t>-17.21%</w:t>
      </w:r>
      <w:r>
        <w:rPr>
          <w:lang w:eastAsia="zh-CN"/>
        </w:rPr>
        <w:t>，体现价值、红利、低波和资金流组合具有一定防御属性。原始</w:t>
      </w:r>
      <w:r>
        <w:rPr>
          <w:lang w:eastAsia="zh-CN"/>
        </w:rPr>
        <w:t>11</w:t>
      </w:r>
      <w:r>
        <w:rPr>
          <w:lang w:eastAsia="zh-CN"/>
        </w:rPr>
        <w:t>因子不是所有风险指标都占优，其优势集中在两个主要收益指标与</w:t>
      </w:r>
      <w:r>
        <w:rPr>
          <w:lang w:eastAsia="zh-CN"/>
        </w:rPr>
        <w:t>D10-D1</w:t>
      </w:r>
      <w:r>
        <w:rPr>
          <w:lang w:eastAsia="zh-CN"/>
        </w:rPr>
        <w:t>尾部控制。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656"/>
        <w:gridCol w:w="1656"/>
        <w:gridCol w:w="1944"/>
        <w:gridCol w:w="1656"/>
      </w:tblGrid>
      <w:tr w:rsidR="000C64B6" w14:paraId="4411B27A" w14:textId="77777777">
        <w:trPr>
          <w:tblHeader/>
          <w:jc w:val="center"/>
        </w:trPr>
        <w:tc>
          <w:tcPr>
            <w:tcW w:w="2232" w:type="dxa"/>
            <w:shd w:val="clear" w:color="auto" w:fill="F2F4F7"/>
            <w:vAlign w:val="center"/>
          </w:tcPr>
          <w:p w14:paraId="1A2449A0" w14:textId="77777777" w:rsidR="000C64B6" w:rsidRDefault="00C246F1">
            <w:pPr>
              <w:spacing w:after="0"/>
            </w:pPr>
            <w:proofErr w:type="spellStart"/>
            <w:r>
              <w:rPr>
                <w:b/>
                <w:sz w:val="17"/>
              </w:rPr>
              <w:t>组合</w:t>
            </w:r>
            <w:proofErr w:type="spellEnd"/>
          </w:p>
        </w:tc>
        <w:tc>
          <w:tcPr>
            <w:tcW w:w="1656" w:type="dxa"/>
            <w:shd w:val="clear" w:color="auto" w:fill="F2F4F7"/>
            <w:vAlign w:val="center"/>
          </w:tcPr>
          <w:p w14:paraId="7D29482D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7"/>
              </w:rPr>
              <w:t>D1</w:t>
            </w:r>
            <w:r>
              <w:rPr>
                <w:b/>
                <w:sz w:val="17"/>
              </w:rPr>
              <w:t>平均收益</w:t>
            </w:r>
          </w:p>
        </w:tc>
        <w:tc>
          <w:tcPr>
            <w:tcW w:w="1656" w:type="dxa"/>
            <w:shd w:val="clear" w:color="auto" w:fill="F2F4F7"/>
            <w:vAlign w:val="center"/>
          </w:tcPr>
          <w:p w14:paraId="33C2EA5F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7"/>
              </w:rPr>
              <w:t>D10</w:t>
            </w:r>
            <w:r>
              <w:rPr>
                <w:b/>
                <w:sz w:val="17"/>
              </w:rPr>
              <w:t>平均收益</w:t>
            </w:r>
          </w:p>
        </w:tc>
        <w:tc>
          <w:tcPr>
            <w:tcW w:w="1944" w:type="dxa"/>
            <w:shd w:val="clear" w:color="auto" w:fill="F2F4F7"/>
            <w:vAlign w:val="center"/>
          </w:tcPr>
          <w:p w14:paraId="57A61A73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7"/>
              </w:rPr>
              <w:t>平均月度</w:t>
            </w:r>
            <w:r>
              <w:rPr>
                <w:b/>
                <w:sz w:val="17"/>
              </w:rPr>
              <w:t>D10-D1</w:t>
            </w:r>
          </w:p>
        </w:tc>
        <w:tc>
          <w:tcPr>
            <w:tcW w:w="1656" w:type="dxa"/>
            <w:shd w:val="clear" w:color="auto" w:fill="F2F4F7"/>
            <w:vAlign w:val="center"/>
          </w:tcPr>
          <w:p w14:paraId="1A5182C0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分层</w:t>
            </w:r>
            <w:r>
              <w:rPr>
                <w:b/>
                <w:sz w:val="17"/>
              </w:rPr>
              <w:t>Spearman</w:t>
            </w:r>
            <w:proofErr w:type="spellEnd"/>
          </w:p>
        </w:tc>
      </w:tr>
      <w:tr w:rsidR="000C64B6" w14:paraId="3CCB7791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5F8CB08" w14:textId="77777777" w:rsidR="000C64B6" w:rsidRDefault="00C246F1">
            <w:pPr>
              <w:spacing w:after="0"/>
            </w:pPr>
            <w:r>
              <w:rPr>
                <w:sz w:val="16"/>
              </w:rPr>
              <w:t>原始</w:t>
            </w:r>
            <w:r>
              <w:rPr>
                <w:sz w:val="16"/>
              </w:rPr>
              <w:t>11</w:t>
            </w:r>
            <w:r>
              <w:rPr>
                <w:sz w:val="16"/>
              </w:rPr>
              <w:t>因子等权</w:t>
            </w:r>
          </w:p>
        </w:tc>
        <w:tc>
          <w:tcPr>
            <w:tcW w:w="1656" w:type="dxa"/>
            <w:vAlign w:val="center"/>
          </w:tcPr>
          <w:p w14:paraId="6491F481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1.34%</w:t>
            </w:r>
          </w:p>
        </w:tc>
        <w:tc>
          <w:tcPr>
            <w:tcW w:w="1656" w:type="dxa"/>
            <w:vAlign w:val="center"/>
          </w:tcPr>
          <w:p w14:paraId="4E5DE9C8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2.09%</w:t>
            </w:r>
          </w:p>
        </w:tc>
        <w:tc>
          <w:tcPr>
            <w:tcW w:w="1944" w:type="dxa"/>
            <w:vAlign w:val="center"/>
          </w:tcPr>
          <w:p w14:paraId="03DE6D3C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+0.75%</w:t>
            </w:r>
          </w:p>
        </w:tc>
        <w:tc>
          <w:tcPr>
            <w:tcW w:w="1656" w:type="dxa"/>
            <w:vAlign w:val="center"/>
          </w:tcPr>
          <w:p w14:paraId="07114688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0.721</w:t>
            </w:r>
          </w:p>
        </w:tc>
      </w:tr>
      <w:tr w:rsidR="000C64B6" w14:paraId="743718FD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64B6DD4D" w14:textId="77777777" w:rsidR="000C64B6" w:rsidRDefault="00C246F1">
            <w:pPr>
              <w:spacing w:after="0"/>
            </w:pPr>
            <w:r>
              <w:rPr>
                <w:sz w:val="16"/>
              </w:rPr>
              <w:t>固定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因子等权</w:t>
            </w:r>
          </w:p>
        </w:tc>
        <w:tc>
          <w:tcPr>
            <w:tcW w:w="1656" w:type="dxa"/>
            <w:vAlign w:val="center"/>
          </w:tcPr>
          <w:p w14:paraId="5654B4D4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2.01%</w:t>
            </w:r>
          </w:p>
        </w:tc>
        <w:tc>
          <w:tcPr>
            <w:tcW w:w="1656" w:type="dxa"/>
            <w:vAlign w:val="center"/>
          </w:tcPr>
          <w:p w14:paraId="0AAA0B66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1.08%</w:t>
            </w:r>
          </w:p>
        </w:tc>
        <w:tc>
          <w:tcPr>
            <w:tcW w:w="1944" w:type="dxa"/>
            <w:vAlign w:val="center"/>
          </w:tcPr>
          <w:p w14:paraId="38840E7D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-0.93%</w:t>
            </w:r>
          </w:p>
        </w:tc>
        <w:tc>
          <w:tcPr>
            <w:tcW w:w="1656" w:type="dxa"/>
            <w:vAlign w:val="center"/>
          </w:tcPr>
          <w:p w14:paraId="3D2CA15C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-0.479</w:t>
            </w:r>
          </w:p>
        </w:tc>
      </w:tr>
      <w:tr w:rsidR="000C64B6" w14:paraId="4213F072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00C6A88F" w14:textId="77777777" w:rsidR="000C64B6" w:rsidRDefault="00C246F1">
            <w:pPr>
              <w:spacing w:after="0"/>
            </w:pPr>
            <w:proofErr w:type="spellStart"/>
            <w:r>
              <w:rPr>
                <w:sz w:val="16"/>
              </w:rPr>
              <w:t>经济属性分组</w:t>
            </w:r>
            <w:proofErr w:type="spellEnd"/>
          </w:p>
        </w:tc>
        <w:tc>
          <w:tcPr>
            <w:tcW w:w="1656" w:type="dxa"/>
            <w:vAlign w:val="center"/>
          </w:tcPr>
          <w:p w14:paraId="603D3929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1.46%</w:t>
            </w:r>
          </w:p>
        </w:tc>
        <w:tc>
          <w:tcPr>
            <w:tcW w:w="1656" w:type="dxa"/>
            <w:vAlign w:val="center"/>
          </w:tcPr>
          <w:p w14:paraId="27C6B11D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2.42%</w:t>
            </w:r>
          </w:p>
        </w:tc>
        <w:tc>
          <w:tcPr>
            <w:tcW w:w="1944" w:type="dxa"/>
            <w:vAlign w:val="center"/>
          </w:tcPr>
          <w:p w14:paraId="0C8574F6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+0.95%</w:t>
            </w:r>
          </w:p>
        </w:tc>
        <w:tc>
          <w:tcPr>
            <w:tcW w:w="1656" w:type="dxa"/>
            <w:vAlign w:val="center"/>
          </w:tcPr>
          <w:p w14:paraId="76E4C985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0.855</w:t>
            </w:r>
          </w:p>
        </w:tc>
      </w:tr>
    </w:tbl>
    <w:p w14:paraId="11FC2C72" w14:textId="77777777" w:rsidR="000C64B6" w:rsidRDefault="000C64B6"/>
    <w:p w14:paraId="1241BB87" w14:textId="77777777" w:rsidR="000C64B6" w:rsidRDefault="00C246F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A50323F" wp14:editId="31A47FAB">
            <wp:extent cx="5806440" cy="29816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oos_decile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8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E0AA" w14:textId="77777777" w:rsidR="000C64B6" w:rsidRDefault="00C246F1">
      <w:pPr>
        <w:spacing w:after="40"/>
        <w:jc w:val="center"/>
        <w:rPr>
          <w:lang w:eastAsia="zh-CN"/>
        </w:rPr>
      </w:pPr>
      <w:r>
        <w:rPr>
          <w:b/>
          <w:color w:val="5A5A5A"/>
          <w:sz w:val="19"/>
          <w:lang w:eastAsia="zh-CN"/>
        </w:rPr>
        <w:t>图</w:t>
      </w:r>
      <w:r>
        <w:rPr>
          <w:b/>
          <w:color w:val="5A5A5A"/>
          <w:sz w:val="19"/>
          <w:lang w:eastAsia="zh-CN"/>
        </w:rPr>
        <w:t xml:space="preserve"> 2</w:t>
      </w:r>
      <w:r>
        <w:rPr>
          <w:b/>
          <w:color w:val="5A5A5A"/>
          <w:sz w:val="19"/>
          <w:lang w:eastAsia="zh-CN"/>
        </w:rPr>
        <w:t>：样本外十分组平均持有期收益曲线</w:t>
      </w:r>
    </w:p>
    <w:p w14:paraId="3B8EC38F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原始</w:t>
      </w:r>
      <w:r>
        <w:rPr>
          <w:lang w:eastAsia="zh-CN"/>
        </w:rPr>
        <w:t>11</w:t>
      </w:r>
      <w:r>
        <w:rPr>
          <w:lang w:eastAsia="zh-CN"/>
        </w:rPr>
        <w:t>因子和经济属性分组的分层</w:t>
      </w:r>
      <w:r>
        <w:rPr>
          <w:lang w:eastAsia="zh-CN"/>
        </w:rPr>
        <w:t>Spearman</w:t>
      </w:r>
      <w:r>
        <w:rPr>
          <w:lang w:eastAsia="zh-CN"/>
        </w:rPr>
        <w:t>分别约为</w:t>
      </w:r>
      <w:r>
        <w:rPr>
          <w:lang w:eastAsia="zh-CN"/>
        </w:rPr>
        <w:t>0.72</w:t>
      </w:r>
      <w:r>
        <w:rPr>
          <w:lang w:eastAsia="zh-CN"/>
        </w:rPr>
        <w:t>和</w:t>
      </w:r>
      <w:r>
        <w:rPr>
          <w:lang w:eastAsia="zh-CN"/>
        </w:rPr>
        <w:t>0.85</w:t>
      </w:r>
      <w:r>
        <w:rPr>
          <w:lang w:eastAsia="zh-CN"/>
        </w:rPr>
        <w:t>，</w:t>
      </w:r>
      <w:r>
        <w:rPr>
          <w:lang w:eastAsia="zh-CN"/>
        </w:rPr>
        <w:t>D10</w:t>
      </w:r>
      <w:r>
        <w:rPr>
          <w:lang w:eastAsia="zh-CN"/>
        </w:rPr>
        <w:t>收益均明显高于</w:t>
      </w:r>
      <w:r>
        <w:rPr>
          <w:lang w:eastAsia="zh-CN"/>
        </w:rPr>
        <w:t>D1</w:t>
      </w:r>
      <w:r>
        <w:rPr>
          <w:lang w:eastAsia="zh-CN"/>
        </w:rPr>
        <w:t>；固定</w:t>
      </w:r>
      <w:r>
        <w:rPr>
          <w:lang w:eastAsia="zh-CN"/>
        </w:rPr>
        <w:t>4</w:t>
      </w:r>
      <w:r>
        <w:rPr>
          <w:lang w:eastAsia="zh-CN"/>
        </w:rPr>
        <w:t>因子约为</w:t>
      </w:r>
      <w:r>
        <w:rPr>
          <w:lang w:eastAsia="zh-CN"/>
        </w:rPr>
        <w:t>-0.48</w:t>
      </w:r>
      <w:r>
        <w:rPr>
          <w:lang w:eastAsia="zh-CN"/>
        </w:rPr>
        <w:t>，呈反向分层。该截面形态与两个主要收益指标一致，为</w:t>
      </w:r>
      <w:r>
        <w:rPr>
          <w:lang w:eastAsia="zh-CN"/>
        </w:rPr>
        <w:t>“</w:t>
      </w:r>
      <w:r>
        <w:rPr>
          <w:lang w:eastAsia="zh-CN"/>
        </w:rPr>
        <w:t>分散组合改善排序</w:t>
      </w:r>
      <w:r>
        <w:rPr>
          <w:lang w:eastAsia="zh-CN"/>
        </w:rPr>
        <w:t>”</w:t>
      </w:r>
      <w:r>
        <w:rPr>
          <w:lang w:eastAsia="zh-CN"/>
        </w:rPr>
        <w:t>的金融解释提供了直观证据。</w:t>
      </w:r>
    </w:p>
    <w:p w14:paraId="6EF10AB4" w14:textId="77777777" w:rsidR="000C64B6" w:rsidRDefault="00C246F1">
      <w:pPr>
        <w:pStyle w:val="1"/>
      </w:pPr>
      <w:r>
        <w:t>5. Leave-one-out</w:t>
      </w:r>
      <w:r>
        <w:t>：原始</w:t>
      </w:r>
      <w:r>
        <w:t>11</w:t>
      </w:r>
      <w:r>
        <w:t>因子的局部边际贡献</w:t>
      </w:r>
    </w:p>
    <w:p w14:paraId="30349FB7" w14:textId="77777777" w:rsidR="000C64B6" w:rsidRDefault="00C246F1">
      <w:pPr>
        <w:spacing w:after="80" w:line="324" w:lineRule="auto"/>
      </w:pPr>
      <w:r>
        <w:t>Leave-one-out</w:t>
      </w:r>
      <w:r>
        <w:t>将原始</w:t>
      </w:r>
      <w:r>
        <w:t>11</w:t>
      </w:r>
      <w:r>
        <w:t>因子等权作为基准，每次删除一个因子。</w:t>
      </w:r>
      <w:proofErr w:type="gramStart"/>
      <w:r>
        <w:t>表中正值表示</w:t>
      </w:r>
      <w:r>
        <w:t>“</w:t>
      </w:r>
      <w:r>
        <w:t>保留该因子</w:t>
      </w:r>
      <w:r>
        <w:t>”</w:t>
      </w:r>
      <w:r>
        <w:t>优于</w:t>
      </w:r>
      <w:proofErr w:type="gramEnd"/>
      <w:r>
        <w:t>“</w:t>
      </w:r>
      <w:proofErr w:type="gramStart"/>
      <w:r>
        <w:t>删除该因子</w:t>
      </w:r>
      <w:r>
        <w:t>”</w:t>
      </w:r>
      <w:r>
        <w:t>；</w:t>
      </w:r>
      <w:proofErr w:type="gramEnd"/>
      <w:r>
        <w:t>负值表示该因子在这一局部基准附近拖累对应指标。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1"/>
        <w:gridCol w:w="1195"/>
        <w:gridCol w:w="1224"/>
        <w:gridCol w:w="1195"/>
        <w:gridCol w:w="1224"/>
        <w:gridCol w:w="1195"/>
        <w:gridCol w:w="1339"/>
      </w:tblGrid>
      <w:tr w:rsidR="000C64B6" w14:paraId="05221D90" w14:textId="77777777">
        <w:trPr>
          <w:tblHeader/>
          <w:jc w:val="center"/>
        </w:trPr>
        <w:tc>
          <w:tcPr>
            <w:tcW w:w="1901" w:type="dxa"/>
            <w:shd w:val="clear" w:color="auto" w:fill="F2F4F7"/>
            <w:vAlign w:val="center"/>
          </w:tcPr>
          <w:p w14:paraId="6DE000ED" w14:textId="77777777" w:rsidR="000C64B6" w:rsidRDefault="00C246F1">
            <w:pPr>
              <w:spacing w:after="0"/>
            </w:pPr>
            <w:proofErr w:type="spellStart"/>
            <w:r>
              <w:rPr>
                <w:b/>
                <w:sz w:val="15"/>
              </w:rPr>
              <w:t>因子</w:t>
            </w:r>
            <w:proofErr w:type="spellEnd"/>
          </w:p>
        </w:tc>
        <w:tc>
          <w:tcPr>
            <w:tcW w:w="1195" w:type="dxa"/>
            <w:shd w:val="clear" w:color="auto" w:fill="F2F4F7"/>
            <w:vAlign w:val="center"/>
          </w:tcPr>
          <w:p w14:paraId="45906EF2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5"/>
              </w:rPr>
              <w:t>D10-D1</w:t>
            </w:r>
            <w:r>
              <w:rPr>
                <w:b/>
                <w:sz w:val="15"/>
              </w:rPr>
              <w:t>边际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50FD14A7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5"/>
              </w:rPr>
              <w:t>D10</w:t>
            </w:r>
            <w:r>
              <w:rPr>
                <w:b/>
                <w:sz w:val="15"/>
              </w:rPr>
              <w:t>稳定性</w:t>
            </w:r>
          </w:p>
        </w:tc>
        <w:tc>
          <w:tcPr>
            <w:tcW w:w="1195" w:type="dxa"/>
            <w:shd w:val="clear" w:color="auto" w:fill="F2F4F7"/>
            <w:vAlign w:val="center"/>
          </w:tcPr>
          <w:p w14:paraId="180E233C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5"/>
              </w:rPr>
              <w:t>Top20</w:t>
            </w:r>
            <w:r>
              <w:rPr>
                <w:b/>
                <w:sz w:val="15"/>
              </w:rPr>
              <w:t>边际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716A8318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5"/>
              </w:rPr>
              <w:t>Top20</w:t>
            </w:r>
            <w:r>
              <w:rPr>
                <w:b/>
                <w:sz w:val="15"/>
              </w:rPr>
              <w:t>稳定性</w:t>
            </w:r>
          </w:p>
        </w:tc>
        <w:tc>
          <w:tcPr>
            <w:tcW w:w="1195" w:type="dxa"/>
            <w:shd w:val="clear" w:color="auto" w:fill="F2F4F7"/>
            <w:vAlign w:val="center"/>
          </w:tcPr>
          <w:p w14:paraId="1E3428CE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5"/>
              </w:rPr>
              <w:t>RankIC</w:t>
            </w:r>
            <w:r>
              <w:rPr>
                <w:b/>
                <w:sz w:val="15"/>
              </w:rPr>
              <w:t>边际</w:t>
            </w:r>
            <w:proofErr w:type="spellEnd"/>
          </w:p>
        </w:tc>
        <w:tc>
          <w:tcPr>
            <w:tcW w:w="1339" w:type="dxa"/>
            <w:shd w:val="clear" w:color="auto" w:fill="F2F4F7"/>
            <w:vAlign w:val="center"/>
          </w:tcPr>
          <w:p w14:paraId="520E2EB1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5"/>
              </w:rPr>
              <w:t>Top20</w:t>
            </w:r>
            <w:r>
              <w:rPr>
                <w:b/>
                <w:sz w:val="15"/>
              </w:rPr>
              <w:t>换手边际</w:t>
            </w:r>
          </w:p>
        </w:tc>
      </w:tr>
      <w:tr w:rsidR="000C64B6" w14:paraId="6599EF0C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08D4C7F3" w14:textId="77777777" w:rsidR="000C64B6" w:rsidRDefault="00C246F1">
            <w:pPr>
              <w:spacing w:after="0"/>
            </w:pPr>
            <w:proofErr w:type="spellStart"/>
            <w:r>
              <w:rPr>
                <w:sz w:val="14"/>
              </w:rPr>
              <w:t>Revenue_Growth</w:t>
            </w:r>
            <w:proofErr w:type="spellEnd"/>
          </w:p>
        </w:tc>
        <w:tc>
          <w:tcPr>
            <w:tcW w:w="1195" w:type="dxa"/>
            <w:vAlign w:val="center"/>
          </w:tcPr>
          <w:p w14:paraId="66077650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+7.26%</w:t>
            </w:r>
          </w:p>
        </w:tc>
        <w:tc>
          <w:tcPr>
            <w:tcW w:w="1224" w:type="dxa"/>
            <w:vAlign w:val="center"/>
          </w:tcPr>
          <w:p w14:paraId="4752CE61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4EC4279E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+3.52%</w:t>
            </w:r>
          </w:p>
        </w:tc>
        <w:tc>
          <w:tcPr>
            <w:tcW w:w="1224" w:type="dxa"/>
            <w:vAlign w:val="center"/>
          </w:tcPr>
          <w:p w14:paraId="5630C412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27DEC10E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+0.0062</w:t>
            </w:r>
          </w:p>
        </w:tc>
        <w:tc>
          <w:tcPr>
            <w:tcW w:w="1339" w:type="dxa"/>
            <w:vAlign w:val="center"/>
          </w:tcPr>
          <w:p w14:paraId="27A0F9BF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-0.85%</w:t>
            </w:r>
          </w:p>
        </w:tc>
      </w:tr>
      <w:tr w:rsidR="000C64B6" w14:paraId="190266C1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5D749751" w14:textId="77777777" w:rsidR="000C64B6" w:rsidRDefault="00C246F1">
            <w:pPr>
              <w:spacing w:after="0"/>
            </w:pPr>
            <w:proofErr w:type="spellStart"/>
            <w:r>
              <w:rPr>
                <w:sz w:val="14"/>
              </w:rPr>
              <w:t>Debt_to_Equity</w:t>
            </w:r>
            <w:proofErr w:type="spellEnd"/>
          </w:p>
        </w:tc>
        <w:tc>
          <w:tcPr>
            <w:tcW w:w="1195" w:type="dxa"/>
            <w:vAlign w:val="center"/>
          </w:tcPr>
          <w:p w14:paraId="5CDDF735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+2.85%</w:t>
            </w:r>
          </w:p>
        </w:tc>
        <w:tc>
          <w:tcPr>
            <w:tcW w:w="1224" w:type="dxa"/>
            <w:vAlign w:val="center"/>
          </w:tcPr>
          <w:p w14:paraId="4A61A4F7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1F02631C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-0.23%</w:t>
            </w:r>
          </w:p>
        </w:tc>
        <w:tc>
          <w:tcPr>
            <w:tcW w:w="1224" w:type="dxa"/>
            <w:vAlign w:val="center"/>
          </w:tcPr>
          <w:p w14:paraId="39A0F8AC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稳定负向</w:t>
            </w:r>
            <w:proofErr w:type="spellEnd"/>
          </w:p>
        </w:tc>
        <w:tc>
          <w:tcPr>
            <w:tcW w:w="1195" w:type="dxa"/>
            <w:vAlign w:val="center"/>
          </w:tcPr>
          <w:p w14:paraId="6F70AD9B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+0.0011</w:t>
            </w:r>
          </w:p>
        </w:tc>
        <w:tc>
          <w:tcPr>
            <w:tcW w:w="1339" w:type="dxa"/>
            <w:vAlign w:val="center"/>
          </w:tcPr>
          <w:p w14:paraId="50C10C51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-0.99%</w:t>
            </w:r>
          </w:p>
        </w:tc>
      </w:tr>
      <w:tr w:rsidR="000C64B6" w14:paraId="09CBDBCD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0C2CC01A" w14:textId="77777777" w:rsidR="000C64B6" w:rsidRDefault="00C246F1">
            <w:pPr>
              <w:spacing w:after="0"/>
            </w:pPr>
            <w:r>
              <w:rPr>
                <w:sz w:val="14"/>
              </w:rPr>
              <w:t>Momentum_60D</w:t>
            </w:r>
          </w:p>
        </w:tc>
        <w:tc>
          <w:tcPr>
            <w:tcW w:w="1195" w:type="dxa"/>
            <w:vAlign w:val="center"/>
          </w:tcPr>
          <w:p w14:paraId="2BD24B96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+2.73%</w:t>
            </w:r>
          </w:p>
        </w:tc>
        <w:tc>
          <w:tcPr>
            <w:tcW w:w="1224" w:type="dxa"/>
            <w:vAlign w:val="center"/>
          </w:tcPr>
          <w:p w14:paraId="3DAA7E6D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方向混合</w:t>
            </w:r>
            <w:proofErr w:type="spellEnd"/>
          </w:p>
        </w:tc>
        <w:tc>
          <w:tcPr>
            <w:tcW w:w="1195" w:type="dxa"/>
            <w:vAlign w:val="center"/>
          </w:tcPr>
          <w:p w14:paraId="50C0F9A2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+2.30%</w:t>
            </w:r>
          </w:p>
        </w:tc>
        <w:tc>
          <w:tcPr>
            <w:tcW w:w="1224" w:type="dxa"/>
            <w:vAlign w:val="center"/>
          </w:tcPr>
          <w:p w14:paraId="1635941F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20801BB1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-0.0128</w:t>
            </w:r>
          </w:p>
        </w:tc>
        <w:tc>
          <w:tcPr>
            <w:tcW w:w="1339" w:type="dxa"/>
            <w:vAlign w:val="center"/>
          </w:tcPr>
          <w:p w14:paraId="6DB31224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+5.12%</w:t>
            </w:r>
          </w:p>
        </w:tc>
      </w:tr>
      <w:tr w:rsidR="000C64B6" w14:paraId="2EBBD002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6CBC1086" w14:textId="77777777" w:rsidR="000C64B6" w:rsidRDefault="00C246F1">
            <w:pPr>
              <w:spacing w:after="0"/>
            </w:pPr>
            <w:proofErr w:type="spellStart"/>
            <w:r>
              <w:rPr>
                <w:sz w:val="14"/>
              </w:rPr>
              <w:t>Main_Net_In</w:t>
            </w:r>
            <w:proofErr w:type="spellEnd"/>
          </w:p>
        </w:tc>
        <w:tc>
          <w:tcPr>
            <w:tcW w:w="1195" w:type="dxa"/>
            <w:vAlign w:val="center"/>
          </w:tcPr>
          <w:p w14:paraId="05D2E8B5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+1.68%</w:t>
            </w:r>
          </w:p>
        </w:tc>
        <w:tc>
          <w:tcPr>
            <w:tcW w:w="1224" w:type="dxa"/>
            <w:vAlign w:val="center"/>
          </w:tcPr>
          <w:p w14:paraId="07361D55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420FF47C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-1.20%</w:t>
            </w:r>
          </w:p>
        </w:tc>
        <w:tc>
          <w:tcPr>
            <w:tcW w:w="1224" w:type="dxa"/>
            <w:vAlign w:val="center"/>
          </w:tcPr>
          <w:p w14:paraId="79231222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稳定负向</w:t>
            </w:r>
            <w:proofErr w:type="spellEnd"/>
          </w:p>
        </w:tc>
        <w:tc>
          <w:tcPr>
            <w:tcW w:w="1195" w:type="dxa"/>
            <w:vAlign w:val="center"/>
          </w:tcPr>
          <w:p w14:paraId="517BA16E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-0.0009</w:t>
            </w:r>
          </w:p>
        </w:tc>
        <w:tc>
          <w:tcPr>
            <w:tcW w:w="1339" w:type="dxa"/>
            <w:vAlign w:val="center"/>
          </w:tcPr>
          <w:p w14:paraId="0EECD533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+4.41%</w:t>
            </w:r>
          </w:p>
        </w:tc>
      </w:tr>
      <w:tr w:rsidR="000C64B6" w14:paraId="4C39F3E0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7627A554" w14:textId="77777777" w:rsidR="000C64B6" w:rsidRDefault="00C246F1">
            <w:pPr>
              <w:spacing w:after="0"/>
            </w:pPr>
            <w:proofErr w:type="spellStart"/>
            <w:r>
              <w:rPr>
                <w:sz w:val="14"/>
              </w:rPr>
              <w:t>Gross_Margin</w:t>
            </w:r>
            <w:proofErr w:type="spellEnd"/>
          </w:p>
        </w:tc>
        <w:tc>
          <w:tcPr>
            <w:tcW w:w="1195" w:type="dxa"/>
            <w:vAlign w:val="center"/>
          </w:tcPr>
          <w:p w14:paraId="69FE8817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+0.63%</w:t>
            </w:r>
          </w:p>
        </w:tc>
        <w:tc>
          <w:tcPr>
            <w:tcW w:w="1224" w:type="dxa"/>
            <w:vAlign w:val="center"/>
          </w:tcPr>
          <w:p w14:paraId="64B7CEDE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7A8805CB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-0.09%</w:t>
            </w:r>
          </w:p>
        </w:tc>
        <w:tc>
          <w:tcPr>
            <w:tcW w:w="1224" w:type="dxa"/>
            <w:vAlign w:val="center"/>
          </w:tcPr>
          <w:p w14:paraId="4F533335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稳定负向</w:t>
            </w:r>
            <w:proofErr w:type="spellEnd"/>
          </w:p>
        </w:tc>
        <w:tc>
          <w:tcPr>
            <w:tcW w:w="1195" w:type="dxa"/>
            <w:vAlign w:val="center"/>
          </w:tcPr>
          <w:p w14:paraId="45E058D6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+0.0020</w:t>
            </w:r>
          </w:p>
        </w:tc>
        <w:tc>
          <w:tcPr>
            <w:tcW w:w="1339" w:type="dxa"/>
            <w:vAlign w:val="center"/>
          </w:tcPr>
          <w:p w14:paraId="4ABCE8C0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-2.88%</w:t>
            </w:r>
          </w:p>
        </w:tc>
      </w:tr>
      <w:tr w:rsidR="000C64B6" w14:paraId="21DF093C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664DC851" w14:textId="77777777" w:rsidR="000C64B6" w:rsidRDefault="00C246F1">
            <w:pPr>
              <w:spacing w:after="0"/>
            </w:pPr>
            <w:r>
              <w:rPr>
                <w:sz w:val="14"/>
              </w:rPr>
              <w:t>PE_TTM</w:t>
            </w:r>
          </w:p>
        </w:tc>
        <w:tc>
          <w:tcPr>
            <w:tcW w:w="1195" w:type="dxa"/>
            <w:vAlign w:val="center"/>
          </w:tcPr>
          <w:p w14:paraId="510AB380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+0.06%</w:t>
            </w:r>
          </w:p>
        </w:tc>
        <w:tc>
          <w:tcPr>
            <w:tcW w:w="1224" w:type="dxa"/>
            <w:vAlign w:val="center"/>
          </w:tcPr>
          <w:p w14:paraId="22951ACE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方向混合</w:t>
            </w:r>
            <w:proofErr w:type="spellEnd"/>
          </w:p>
        </w:tc>
        <w:tc>
          <w:tcPr>
            <w:tcW w:w="1195" w:type="dxa"/>
            <w:vAlign w:val="center"/>
          </w:tcPr>
          <w:p w14:paraId="4D321A7D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+0.75%</w:t>
            </w:r>
          </w:p>
        </w:tc>
        <w:tc>
          <w:tcPr>
            <w:tcW w:w="1224" w:type="dxa"/>
            <w:vAlign w:val="center"/>
          </w:tcPr>
          <w:p w14:paraId="162F1C75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28636F53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+0.0045</w:t>
            </w:r>
          </w:p>
        </w:tc>
        <w:tc>
          <w:tcPr>
            <w:tcW w:w="1339" w:type="dxa"/>
            <w:vAlign w:val="center"/>
          </w:tcPr>
          <w:p w14:paraId="09B28D2F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-1.27%</w:t>
            </w:r>
          </w:p>
        </w:tc>
      </w:tr>
      <w:tr w:rsidR="000C64B6" w14:paraId="74CC4462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04720F61" w14:textId="77777777" w:rsidR="000C64B6" w:rsidRDefault="00C246F1">
            <w:pPr>
              <w:spacing w:after="0"/>
            </w:pPr>
            <w:proofErr w:type="spellStart"/>
            <w:r>
              <w:rPr>
                <w:sz w:val="14"/>
              </w:rPr>
              <w:t>Holder_Concen</w:t>
            </w:r>
            <w:proofErr w:type="spellEnd"/>
          </w:p>
        </w:tc>
        <w:tc>
          <w:tcPr>
            <w:tcW w:w="1195" w:type="dxa"/>
            <w:vAlign w:val="center"/>
          </w:tcPr>
          <w:p w14:paraId="26C4A1C7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-0.31%</w:t>
            </w:r>
          </w:p>
        </w:tc>
        <w:tc>
          <w:tcPr>
            <w:tcW w:w="1224" w:type="dxa"/>
            <w:vAlign w:val="center"/>
          </w:tcPr>
          <w:p w14:paraId="607F2935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方向混合</w:t>
            </w:r>
            <w:proofErr w:type="spellEnd"/>
          </w:p>
        </w:tc>
        <w:tc>
          <w:tcPr>
            <w:tcW w:w="1195" w:type="dxa"/>
            <w:vAlign w:val="center"/>
          </w:tcPr>
          <w:p w14:paraId="095CAEE6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+1.20%</w:t>
            </w:r>
          </w:p>
        </w:tc>
        <w:tc>
          <w:tcPr>
            <w:tcW w:w="1224" w:type="dxa"/>
            <w:vAlign w:val="center"/>
          </w:tcPr>
          <w:p w14:paraId="43AE5C76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131DE978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+0.0001</w:t>
            </w:r>
          </w:p>
        </w:tc>
        <w:tc>
          <w:tcPr>
            <w:tcW w:w="1339" w:type="dxa"/>
            <w:vAlign w:val="center"/>
          </w:tcPr>
          <w:p w14:paraId="7D9268D2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-3.16%</w:t>
            </w:r>
          </w:p>
        </w:tc>
      </w:tr>
      <w:tr w:rsidR="000C64B6" w14:paraId="1FBABE3C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5B686CCB" w14:textId="77777777" w:rsidR="000C64B6" w:rsidRDefault="00C246F1">
            <w:pPr>
              <w:spacing w:after="0"/>
            </w:pPr>
            <w:r>
              <w:rPr>
                <w:sz w:val="14"/>
              </w:rPr>
              <w:t>Volatility</w:t>
            </w:r>
          </w:p>
        </w:tc>
        <w:tc>
          <w:tcPr>
            <w:tcW w:w="1195" w:type="dxa"/>
            <w:vAlign w:val="center"/>
          </w:tcPr>
          <w:p w14:paraId="50229810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-0.49%</w:t>
            </w:r>
          </w:p>
        </w:tc>
        <w:tc>
          <w:tcPr>
            <w:tcW w:w="1224" w:type="dxa"/>
            <w:vAlign w:val="center"/>
          </w:tcPr>
          <w:p w14:paraId="5A30825D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稳定负向</w:t>
            </w:r>
            <w:proofErr w:type="spellEnd"/>
          </w:p>
        </w:tc>
        <w:tc>
          <w:tcPr>
            <w:tcW w:w="1195" w:type="dxa"/>
            <w:vAlign w:val="center"/>
          </w:tcPr>
          <w:p w14:paraId="120620D9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-1.14%</w:t>
            </w:r>
          </w:p>
        </w:tc>
        <w:tc>
          <w:tcPr>
            <w:tcW w:w="1224" w:type="dxa"/>
            <w:vAlign w:val="center"/>
          </w:tcPr>
          <w:p w14:paraId="1026F05D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稳定负向</w:t>
            </w:r>
            <w:proofErr w:type="spellEnd"/>
          </w:p>
        </w:tc>
        <w:tc>
          <w:tcPr>
            <w:tcW w:w="1195" w:type="dxa"/>
            <w:vAlign w:val="center"/>
          </w:tcPr>
          <w:p w14:paraId="40DFD6DC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+0.0188</w:t>
            </w:r>
          </w:p>
        </w:tc>
        <w:tc>
          <w:tcPr>
            <w:tcW w:w="1339" w:type="dxa"/>
            <w:vAlign w:val="center"/>
          </w:tcPr>
          <w:p w14:paraId="66427CCD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-1.69%</w:t>
            </w:r>
          </w:p>
        </w:tc>
      </w:tr>
      <w:tr w:rsidR="000C64B6" w14:paraId="1FAE8AD1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5A20BDA4" w14:textId="77777777" w:rsidR="000C64B6" w:rsidRDefault="00C246F1">
            <w:pPr>
              <w:spacing w:after="0"/>
            </w:pPr>
            <w:r>
              <w:rPr>
                <w:sz w:val="14"/>
              </w:rPr>
              <w:t>ROE</w:t>
            </w:r>
          </w:p>
        </w:tc>
        <w:tc>
          <w:tcPr>
            <w:tcW w:w="1195" w:type="dxa"/>
            <w:vAlign w:val="center"/>
          </w:tcPr>
          <w:p w14:paraId="35181F1C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-0.51%</w:t>
            </w:r>
          </w:p>
        </w:tc>
        <w:tc>
          <w:tcPr>
            <w:tcW w:w="1224" w:type="dxa"/>
            <w:vAlign w:val="center"/>
          </w:tcPr>
          <w:p w14:paraId="796E498A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方向混合</w:t>
            </w:r>
            <w:proofErr w:type="spellEnd"/>
          </w:p>
        </w:tc>
        <w:tc>
          <w:tcPr>
            <w:tcW w:w="1195" w:type="dxa"/>
            <w:vAlign w:val="center"/>
          </w:tcPr>
          <w:p w14:paraId="17082135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-0.54%</w:t>
            </w:r>
          </w:p>
        </w:tc>
        <w:tc>
          <w:tcPr>
            <w:tcW w:w="1224" w:type="dxa"/>
            <w:vAlign w:val="center"/>
          </w:tcPr>
          <w:p w14:paraId="2DEE9B4A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稳定负向</w:t>
            </w:r>
            <w:proofErr w:type="spellEnd"/>
          </w:p>
        </w:tc>
        <w:tc>
          <w:tcPr>
            <w:tcW w:w="1195" w:type="dxa"/>
            <w:vAlign w:val="center"/>
          </w:tcPr>
          <w:p w14:paraId="35C81FBA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+0.0024</w:t>
            </w:r>
          </w:p>
        </w:tc>
        <w:tc>
          <w:tcPr>
            <w:tcW w:w="1339" w:type="dxa"/>
            <w:vAlign w:val="center"/>
          </w:tcPr>
          <w:p w14:paraId="5976051A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-2.65%</w:t>
            </w:r>
          </w:p>
        </w:tc>
      </w:tr>
      <w:tr w:rsidR="000C64B6" w14:paraId="32749318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06103BA3" w14:textId="77777777" w:rsidR="000C64B6" w:rsidRDefault="00C246F1">
            <w:pPr>
              <w:spacing w:after="0"/>
            </w:pPr>
            <w:r>
              <w:rPr>
                <w:sz w:val="14"/>
              </w:rPr>
              <w:t>Turnover_20D</w:t>
            </w:r>
          </w:p>
        </w:tc>
        <w:tc>
          <w:tcPr>
            <w:tcW w:w="1195" w:type="dxa"/>
            <w:vAlign w:val="center"/>
          </w:tcPr>
          <w:p w14:paraId="37CC892C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-1.43%</w:t>
            </w:r>
          </w:p>
        </w:tc>
        <w:tc>
          <w:tcPr>
            <w:tcW w:w="1224" w:type="dxa"/>
            <w:vAlign w:val="center"/>
          </w:tcPr>
          <w:p w14:paraId="3CB73639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稳定负向</w:t>
            </w:r>
            <w:proofErr w:type="spellEnd"/>
          </w:p>
        </w:tc>
        <w:tc>
          <w:tcPr>
            <w:tcW w:w="1195" w:type="dxa"/>
            <w:vAlign w:val="center"/>
          </w:tcPr>
          <w:p w14:paraId="5BA80F5C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+1.00%</w:t>
            </w:r>
          </w:p>
        </w:tc>
        <w:tc>
          <w:tcPr>
            <w:tcW w:w="1224" w:type="dxa"/>
            <w:vAlign w:val="center"/>
          </w:tcPr>
          <w:p w14:paraId="5962106A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221CA41A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-0.0248</w:t>
            </w:r>
          </w:p>
        </w:tc>
        <w:tc>
          <w:tcPr>
            <w:tcW w:w="1339" w:type="dxa"/>
            <w:vAlign w:val="center"/>
          </w:tcPr>
          <w:p w14:paraId="3FD03B02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+5.13%</w:t>
            </w:r>
          </w:p>
        </w:tc>
      </w:tr>
      <w:tr w:rsidR="000C64B6" w14:paraId="6044F72D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3D3BD19E" w14:textId="77777777" w:rsidR="000C64B6" w:rsidRDefault="00C246F1">
            <w:pPr>
              <w:spacing w:after="0"/>
            </w:pPr>
            <w:proofErr w:type="spellStart"/>
            <w:r>
              <w:rPr>
                <w:sz w:val="14"/>
              </w:rPr>
              <w:t>Dividend_Yield</w:t>
            </w:r>
            <w:proofErr w:type="spellEnd"/>
          </w:p>
        </w:tc>
        <w:tc>
          <w:tcPr>
            <w:tcW w:w="1195" w:type="dxa"/>
            <w:vAlign w:val="center"/>
          </w:tcPr>
          <w:p w14:paraId="3AE56255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-2.29%</w:t>
            </w:r>
          </w:p>
        </w:tc>
        <w:tc>
          <w:tcPr>
            <w:tcW w:w="1224" w:type="dxa"/>
            <w:vAlign w:val="center"/>
          </w:tcPr>
          <w:p w14:paraId="0CFA18BF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稳定负向</w:t>
            </w:r>
            <w:proofErr w:type="spellEnd"/>
          </w:p>
        </w:tc>
        <w:tc>
          <w:tcPr>
            <w:tcW w:w="1195" w:type="dxa"/>
            <w:vAlign w:val="center"/>
          </w:tcPr>
          <w:p w14:paraId="7193FDE6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-1.51%</w:t>
            </w:r>
          </w:p>
        </w:tc>
        <w:tc>
          <w:tcPr>
            <w:tcW w:w="1224" w:type="dxa"/>
            <w:vAlign w:val="center"/>
          </w:tcPr>
          <w:p w14:paraId="55804854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稳定负向</w:t>
            </w:r>
            <w:proofErr w:type="spellEnd"/>
          </w:p>
        </w:tc>
        <w:tc>
          <w:tcPr>
            <w:tcW w:w="1195" w:type="dxa"/>
            <w:vAlign w:val="center"/>
          </w:tcPr>
          <w:p w14:paraId="3563AE62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+0.0059</w:t>
            </w:r>
          </w:p>
        </w:tc>
        <w:tc>
          <w:tcPr>
            <w:tcW w:w="1339" w:type="dxa"/>
            <w:vAlign w:val="center"/>
          </w:tcPr>
          <w:p w14:paraId="4C25C6B5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-2.01%</w:t>
            </w:r>
          </w:p>
        </w:tc>
      </w:tr>
    </w:tbl>
    <w:p w14:paraId="50CB68FD" w14:textId="77777777" w:rsidR="000C64B6" w:rsidRDefault="000C64B6"/>
    <w:p w14:paraId="2687A47A" w14:textId="77777777" w:rsidR="000C64B6" w:rsidRDefault="00C246F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C28DD4" wp14:editId="58C7B529">
            <wp:extent cx="5897880" cy="20840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ve_one_out_primary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8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ABBF" w14:textId="77777777" w:rsidR="000C64B6" w:rsidRDefault="00C246F1">
      <w:pPr>
        <w:spacing w:after="40"/>
        <w:jc w:val="center"/>
      </w:pPr>
      <w:r>
        <w:rPr>
          <w:b/>
          <w:color w:val="5A5A5A"/>
          <w:sz w:val="19"/>
        </w:rPr>
        <w:t>图</w:t>
      </w:r>
      <w:r>
        <w:rPr>
          <w:b/>
          <w:color w:val="5A5A5A"/>
          <w:sz w:val="19"/>
        </w:rPr>
        <w:t xml:space="preserve"> 3</w:t>
      </w:r>
      <w:r>
        <w:rPr>
          <w:b/>
          <w:color w:val="5A5A5A"/>
          <w:sz w:val="19"/>
        </w:rPr>
        <w:t>：</w:t>
      </w:r>
      <w:r>
        <w:rPr>
          <w:b/>
          <w:color w:val="5A5A5A"/>
          <w:sz w:val="19"/>
        </w:rPr>
        <w:t>Leave-one-out</w:t>
      </w:r>
      <w:r>
        <w:rPr>
          <w:b/>
          <w:color w:val="5A5A5A"/>
          <w:sz w:val="19"/>
        </w:rPr>
        <w:t>两个主要指标的边际贡献</w:t>
      </w:r>
    </w:p>
    <w:p w14:paraId="5372868B" w14:textId="77777777" w:rsidR="000C64B6" w:rsidRDefault="00C246F1">
      <w:pPr>
        <w:spacing w:after="80" w:line="324" w:lineRule="auto"/>
      </w:pPr>
      <w:r>
        <w:t>Revenue_Growth</w:t>
      </w:r>
      <w:r>
        <w:t>是唯一在</w:t>
      </w:r>
      <w:r>
        <w:t>Leave-one-out</w:t>
      </w:r>
      <w:r>
        <w:t>的</w:t>
      </w:r>
      <w:r>
        <w:t>D10-D1</w:t>
      </w:r>
      <w:r>
        <w:t>与</w:t>
      </w:r>
      <w:r>
        <w:t>Top20</w:t>
      </w:r>
      <w:r>
        <w:t>超额上均为稳定正向的因子，边际分别为</w:t>
      </w:r>
      <w:r>
        <w:t>+7.26</w:t>
      </w:r>
      <w:r>
        <w:t>和</w:t>
      </w:r>
      <w:r>
        <w:t>+3.52</w:t>
      </w:r>
      <w:r>
        <w:t>个百分点，</w:t>
      </w:r>
      <w:proofErr w:type="gramStart"/>
      <w:r>
        <w:t>可标记为</w:t>
      </w:r>
      <w:r>
        <w:t>“</w:t>
      </w:r>
      <w:r>
        <w:t>可能具有稳定组合价值</w:t>
      </w:r>
      <w:r>
        <w:t>”</w:t>
      </w:r>
      <w:r>
        <w:t>。</w:t>
      </w:r>
      <w:proofErr w:type="gramEnd"/>
      <w:r>
        <w:t>Momentum_60D</w:t>
      </w:r>
      <w:r>
        <w:t>、</w:t>
      </w:r>
      <w:r>
        <w:t>PE_TTM</w:t>
      </w:r>
      <w:r>
        <w:t>、</w:t>
      </w:r>
      <w:r>
        <w:t>Holder_Concen</w:t>
      </w:r>
      <w:r>
        <w:t>和</w:t>
      </w:r>
      <w:r>
        <w:t>Turnover_20D</w:t>
      </w:r>
      <w:r>
        <w:t>对</w:t>
      </w:r>
      <w:r>
        <w:t>Top20</w:t>
      </w:r>
      <w:r>
        <w:t>有稳定正向贡献，但</w:t>
      </w:r>
      <w:r>
        <w:t>D10-D1</w:t>
      </w:r>
      <w:r>
        <w:t>结论混合或相反。</w:t>
      </w:r>
    </w:p>
    <w:p w14:paraId="6BA05943" w14:textId="77777777" w:rsidR="000C64B6" w:rsidRDefault="00C246F1">
      <w:pPr>
        <w:spacing w:after="80" w:line="324" w:lineRule="auto"/>
        <w:rPr>
          <w:lang w:eastAsia="zh-CN"/>
        </w:rPr>
      </w:pPr>
      <w:r>
        <w:t>Dividend_Yield</w:t>
      </w:r>
      <w:r>
        <w:t>与</w:t>
      </w:r>
      <w:r>
        <w:t>Volatility</w:t>
      </w:r>
      <w:r>
        <w:t>在两个主要指标上均呈稳定负向局部贡献；但这不等于应立即删除。边际贡献依赖其余因子的权重和基准构成，且二者可能提供防御、回撤或风格约束价值。</w:t>
      </w:r>
      <w:r>
        <w:rPr>
          <w:lang w:eastAsia="zh-CN"/>
        </w:rPr>
        <w:t>基于本次样本外结果删除因子会构成事后选择。</w:t>
      </w:r>
    </w:p>
    <w:p w14:paraId="018D4638" w14:textId="77777777" w:rsidR="000C64B6" w:rsidRDefault="00C246F1">
      <w:pPr>
        <w:pStyle w:val="1"/>
      </w:pPr>
      <w:r>
        <w:t>6. Add-one-back</w:t>
      </w:r>
      <w:r>
        <w:t>：固定</w:t>
      </w:r>
      <w:r>
        <w:t>4</w:t>
      </w:r>
      <w:r>
        <w:t>因子失效的来源</w:t>
      </w:r>
    </w:p>
    <w:p w14:paraId="23CB94F5" w14:textId="77777777" w:rsidR="000C64B6" w:rsidRDefault="00C246F1">
      <w:pPr>
        <w:spacing w:after="80" w:line="324" w:lineRule="auto"/>
      </w:pPr>
      <w:r>
        <w:t>Add-one-back</w:t>
      </w:r>
      <w:r>
        <w:t>以固定</w:t>
      </w:r>
      <w:r>
        <w:t>4</w:t>
      </w:r>
      <w:r>
        <w:t>因子为基准，每次加入一个此前被筛除的因子。</w:t>
      </w:r>
      <w:proofErr w:type="gramStart"/>
      <w:r>
        <w:t>该实验回答</w:t>
      </w:r>
      <w:r>
        <w:t>“</w:t>
      </w:r>
      <w:proofErr w:type="gramEnd"/>
      <w:r>
        <w:t>哪些缺失成分能够修复固定</w:t>
      </w:r>
      <w:r>
        <w:t>4</w:t>
      </w:r>
      <w:proofErr w:type="gramStart"/>
      <w:r>
        <w:t>因子</w:t>
      </w:r>
      <w:r>
        <w:t>”</w:t>
      </w:r>
      <w:r>
        <w:t>的问题</w:t>
      </w:r>
      <w:proofErr w:type="gramEnd"/>
      <w:r>
        <w:t>，不用于事后构建最优</w:t>
      </w:r>
      <w:r>
        <w:t>5</w:t>
      </w:r>
      <w:r>
        <w:t>因子池。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1"/>
        <w:gridCol w:w="1195"/>
        <w:gridCol w:w="1224"/>
        <w:gridCol w:w="1195"/>
        <w:gridCol w:w="1224"/>
        <w:gridCol w:w="1195"/>
        <w:gridCol w:w="1339"/>
      </w:tblGrid>
      <w:tr w:rsidR="000C64B6" w14:paraId="4866C9D1" w14:textId="77777777">
        <w:trPr>
          <w:tblHeader/>
          <w:jc w:val="center"/>
        </w:trPr>
        <w:tc>
          <w:tcPr>
            <w:tcW w:w="1901" w:type="dxa"/>
            <w:shd w:val="clear" w:color="auto" w:fill="F2F4F7"/>
            <w:vAlign w:val="center"/>
          </w:tcPr>
          <w:p w14:paraId="541E40D6" w14:textId="77777777" w:rsidR="000C64B6" w:rsidRDefault="00C246F1">
            <w:pPr>
              <w:spacing w:after="0"/>
            </w:pPr>
            <w:proofErr w:type="spellStart"/>
            <w:r>
              <w:rPr>
                <w:b/>
                <w:sz w:val="15"/>
              </w:rPr>
              <w:t>加入因子</w:t>
            </w:r>
            <w:proofErr w:type="spellEnd"/>
          </w:p>
        </w:tc>
        <w:tc>
          <w:tcPr>
            <w:tcW w:w="1195" w:type="dxa"/>
            <w:shd w:val="clear" w:color="auto" w:fill="F2F4F7"/>
            <w:vAlign w:val="center"/>
          </w:tcPr>
          <w:p w14:paraId="27AA422D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5"/>
              </w:rPr>
              <w:t>D10-D1</w:t>
            </w:r>
            <w:r>
              <w:rPr>
                <w:b/>
                <w:sz w:val="15"/>
              </w:rPr>
              <w:t>边际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49B96DD9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5"/>
              </w:rPr>
              <w:t>D10</w:t>
            </w:r>
            <w:r>
              <w:rPr>
                <w:b/>
                <w:sz w:val="15"/>
              </w:rPr>
              <w:t>稳定性</w:t>
            </w:r>
          </w:p>
        </w:tc>
        <w:tc>
          <w:tcPr>
            <w:tcW w:w="1195" w:type="dxa"/>
            <w:shd w:val="clear" w:color="auto" w:fill="F2F4F7"/>
            <w:vAlign w:val="center"/>
          </w:tcPr>
          <w:p w14:paraId="69B7EBD5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5"/>
              </w:rPr>
              <w:t>Top20</w:t>
            </w:r>
            <w:r>
              <w:rPr>
                <w:b/>
                <w:sz w:val="15"/>
              </w:rPr>
              <w:t>边际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4FDF2797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5"/>
              </w:rPr>
              <w:t>Top20</w:t>
            </w:r>
            <w:r>
              <w:rPr>
                <w:b/>
                <w:sz w:val="15"/>
              </w:rPr>
              <w:t>稳定性</w:t>
            </w:r>
          </w:p>
        </w:tc>
        <w:tc>
          <w:tcPr>
            <w:tcW w:w="1195" w:type="dxa"/>
            <w:shd w:val="clear" w:color="auto" w:fill="F2F4F7"/>
            <w:vAlign w:val="center"/>
          </w:tcPr>
          <w:p w14:paraId="3EFEA432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5"/>
              </w:rPr>
              <w:t>RankIC</w:t>
            </w:r>
            <w:r>
              <w:rPr>
                <w:b/>
                <w:sz w:val="15"/>
              </w:rPr>
              <w:t>边际</w:t>
            </w:r>
            <w:proofErr w:type="spellEnd"/>
          </w:p>
        </w:tc>
        <w:tc>
          <w:tcPr>
            <w:tcW w:w="1339" w:type="dxa"/>
            <w:shd w:val="clear" w:color="auto" w:fill="F2F4F7"/>
            <w:vAlign w:val="center"/>
          </w:tcPr>
          <w:p w14:paraId="49EDF1EC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5"/>
              </w:rPr>
              <w:t>覆盖股票增幅</w:t>
            </w:r>
            <w:proofErr w:type="spellEnd"/>
          </w:p>
        </w:tc>
      </w:tr>
      <w:tr w:rsidR="000C64B6" w14:paraId="7A0A42B8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2A594406" w14:textId="77777777" w:rsidR="000C64B6" w:rsidRDefault="00C246F1">
            <w:pPr>
              <w:spacing w:after="0"/>
            </w:pPr>
            <w:proofErr w:type="spellStart"/>
            <w:r>
              <w:rPr>
                <w:sz w:val="14"/>
              </w:rPr>
              <w:t>Revenue_Growth</w:t>
            </w:r>
            <w:proofErr w:type="spellEnd"/>
          </w:p>
        </w:tc>
        <w:tc>
          <w:tcPr>
            <w:tcW w:w="1195" w:type="dxa"/>
            <w:vAlign w:val="center"/>
          </w:tcPr>
          <w:p w14:paraId="3D935FA4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+18.45%</w:t>
            </w:r>
          </w:p>
        </w:tc>
        <w:tc>
          <w:tcPr>
            <w:tcW w:w="1224" w:type="dxa"/>
            <w:vAlign w:val="center"/>
          </w:tcPr>
          <w:p w14:paraId="59C8D8AA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092CD38B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+6.06%</w:t>
            </w:r>
          </w:p>
        </w:tc>
        <w:tc>
          <w:tcPr>
            <w:tcW w:w="1224" w:type="dxa"/>
            <w:vAlign w:val="center"/>
          </w:tcPr>
          <w:p w14:paraId="17BC308C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299F356A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+0.0091</w:t>
            </w:r>
          </w:p>
        </w:tc>
        <w:tc>
          <w:tcPr>
            <w:tcW w:w="1339" w:type="dxa"/>
            <w:vAlign w:val="center"/>
          </w:tcPr>
          <w:p w14:paraId="5BD0F315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24.52%</w:t>
            </w:r>
          </w:p>
        </w:tc>
      </w:tr>
      <w:tr w:rsidR="000C64B6" w14:paraId="67EFB6E8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76AE81BB" w14:textId="77777777" w:rsidR="000C64B6" w:rsidRDefault="00C246F1">
            <w:pPr>
              <w:spacing w:after="0"/>
            </w:pPr>
            <w:r>
              <w:rPr>
                <w:sz w:val="14"/>
              </w:rPr>
              <w:t>Momentum_60D</w:t>
            </w:r>
          </w:p>
        </w:tc>
        <w:tc>
          <w:tcPr>
            <w:tcW w:w="1195" w:type="dxa"/>
            <w:vAlign w:val="center"/>
          </w:tcPr>
          <w:p w14:paraId="1FB3CA90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+14.63%</w:t>
            </w:r>
          </w:p>
        </w:tc>
        <w:tc>
          <w:tcPr>
            <w:tcW w:w="1224" w:type="dxa"/>
            <w:vAlign w:val="center"/>
          </w:tcPr>
          <w:p w14:paraId="4F6EB1E1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64AAEE16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+4.25%</w:t>
            </w:r>
          </w:p>
        </w:tc>
        <w:tc>
          <w:tcPr>
            <w:tcW w:w="1224" w:type="dxa"/>
            <w:vAlign w:val="center"/>
          </w:tcPr>
          <w:p w14:paraId="0C7CAAAC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25AC3272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-0.0182</w:t>
            </w:r>
          </w:p>
        </w:tc>
        <w:tc>
          <w:tcPr>
            <w:tcW w:w="1339" w:type="dxa"/>
            <w:vAlign w:val="center"/>
          </w:tcPr>
          <w:p w14:paraId="5A180E76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24.05%</w:t>
            </w:r>
          </w:p>
        </w:tc>
      </w:tr>
      <w:tr w:rsidR="000C64B6" w14:paraId="556A1453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7248CDA7" w14:textId="77777777" w:rsidR="000C64B6" w:rsidRDefault="00C246F1">
            <w:pPr>
              <w:spacing w:after="0"/>
            </w:pPr>
            <w:r>
              <w:rPr>
                <w:sz w:val="14"/>
              </w:rPr>
              <w:t>ROE</w:t>
            </w:r>
          </w:p>
        </w:tc>
        <w:tc>
          <w:tcPr>
            <w:tcW w:w="1195" w:type="dxa"/>
            <w:vAlign w:val="center"/>
          </w:tcPr>
          <w:p w14:paraId="6E0664AB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+10.22%</w:t>
            </w:r>
          </w:p>
        </w:tc>
        <w:tc>
          <w:tcPr>
            <w:tcW w:w="1224" w:type="dxa"/>
            <w:vAlign w:val="center"/>
          </w:tcPr>
          <w:p w14:paraId="0650EEA2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69DF6FBA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+1.92%</w:t>
            </w:r>
          </w:p>
        </w:tc>
        <w:tc>
          <w:tcPr>
            <w:tcW w:w="1224" w:type="dxa"/>
            <w:vAlign w:val="center"/>
          </w:tcPr>
          <w:p w14:paraId="3BCE1939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6CAA73B3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-0.0007</w:t>
            </w:r>
          </w:p>
        </w:tc>
        <w:tc>
          <w:tcPr>
            <w:tcW w:w="1339" w:type="dxa"/>
            <w:vAlign w:val="center"/>
          </w:tcPr>
          <w:p w14:paraId="62258B9E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24.52%</w:t>
            </w:r>
          </w:p>
        </w:tc>
      </w:tr>
      <w:tr w:rsidR="000C64B6" w14:paraId="07BF15FE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619A8B84" w14:textId="77777777" w:rsidR="000C64B6" w:rsidRDefault="00C246F1">
            <w:pPr>
              <w:spacing w:after="0"/>
            </w:pPr>
            <w:proofErr w:type="spellStart"/>
            <w:r>
              <w:rPr>
                <w:sz w:val="14"/>
              </w:rPr>
              <w:t>Holder_Concen</w:t>
            </w:r>
            <w:proofErr w:type="spellEnd"/>
          </w:p>
        </w:tc>
        <w:tc>
          <w:tcPr>
            <w:tcW w:w="1195" w:type="dxa"/>
            <w:vAlign w:val="center"/>
          </w:tcPr>
          <w:p w14:paraId="00E73F38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+8.37%</w:t>
            </w:r>
          </w:p>
        </w:tc>
        <w:tc>
          <w:tcPr>
            <w:tcW w:w="1224" w:type="dxa"/>
            <w:vAlign w:val="center"/>
          </w:tcPr>
          <w:p w14:paraId="4270E8E9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00A41AE0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+1.99%</w:t>
            </w:r>
          </w:p>
        </w:tc>
        <w:tc>
          <w:tcPr>
            <w:tcW w:w="1224" w:type="dxa"/>
            <w:vAlign w:val="center"/>
          </w:tcPr>
          <w:p w14:paraId="32A7B55A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66E51D74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-0.0035</w:t>
            </w:r>
          </w:p>
        </w:tc>
        <w:tc>
          <w:tcPr>
            <w:tcW w:w="1339" w:type="dxa"/>
            <w:vAlign w:val="center"/>
          </w:tcPr>
          <w:p w14:paraId="7EA7D5B9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23.67%</w:t>
            </w:r>
          </w:p>
        </w:tc>
      </w:tr>
      <w:tr w:rsidR="000C64B6" w14:paraId="539B0263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48BB6772" w14:textId="77777777" w:rsidR="000C64B6" w:rsidRDefault="00C246F1">
            <w:pPr>
              <w:spacing w:after="0"/>
            </w:pPr>
            <w:proofErr w:type="spellStart"/>
            <w:r>
              <w:rPr>
                <w:sz w:val="14"/>
              </w:rPr>
              <w:t>Debt_to_Equity</w:t>
            </w:r>
            <w:proofErr w:type="spellEnd"/>
          </w:p>
        </w:tc>
        <w:tc>
          <w:tcPr>
            <w:tcW w:w="1195" w:type="dxa"/>
            <w:vAlign w:val="center"/>
          </w:tcPr>
          <w:p w14:paraId="587C66C4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+7.74%</w:t>
            </w:r>
          </w:p>
        </w:tc>
        <w:tc>
          <w:tcPr>
            <w:tcW w:w="1224" w:type="dxa"/>
            <w:vAlign w:val="center"/>
          </w:tcPr>
          <w:p w14:paraId="377F4BB0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29877AA7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+2.26%</w:t>
            </w:r>
          </w:p>
        </w:tc>
        <w:tc>
          <w:tcPr>
            <w:tcW w:w="1224" w:type="dxa"/>
            <w:vAlign w:val="center"/>
          </w:tcPr>
          <w:p w14:paraId="4D7918BB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39B6A363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+0.0018</w:t>
            </w:r>
          </w:p>
        </w:tc>
        <w:tc>
          <w:tcPr>
            <w:tcW w:w="1339" w:type="dxa"/>
            <w:vAlign w:val="center"/>
          </w:tcPr>
          <w:p w14:paraId="2EA6E48F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24.52%</w:t>
            </w:r>
          </w:p>
        </w:tc>
      </w:tr>
      <w:tr w:rsidR="000C64B6" w14:paraId="4F0BE6D0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7CB771E5" w14:textId="77777777" w:rsidR="000C64B6" w:rsidRDefault="00C246F1">
            <w:pPr>
              <w:spacing w:after="0"/>
            </w:pPr>
            <w:proofErr w:type="spellStart"/>
            <w:r>
              <w:rPr>
                <w:sz w:val="14"/>
              </w:rPr>
              <w:t>Gross_Margin</w:t>
            </w:r>
            <w:proofErr w:type="spellEnd"/>
          </w:p>
        </w:tc>
        <w:tc>
          <w:tcPr>
            <w:tcW w:w="1195" w:type="dxa"/>
            <w:vAlign w:val="center"/>
          </w:tcPr>
          <w:p w14:paraId="2499478B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+6.36%</w:t>
            </w:r>
          </w:p>
        </w:tc>
        <w:tc>
          <w:tcPr>
            <w:tcW w:w="1224" w:type="dxa"/>
            <w:vAlign w:val="center"/>
          </w:tcPr>
          <w:p w14:paraId="275A61F6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516CD243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+2.43%</w:t>
            </w:r>
          </w:p>
        </w:tc>
        <w:tc>
          <w:tcPr>
            <w:tcW w:w="1224" w:type="dxa"/>
            <w:vAlign w:val="center"/>
          </w:tcPr>
          <w:p w14:paraId="56CB4182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4E9D0B04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+0.0007</w:t>
            </w:r>
          </w:p>
        </w:tc>
        <w:tc>
          <w:tcPr>
            <w:tcW w:w="1339" w:type="dxa"/>
            <w:vAlign w:val="center"/>
          </w:tcPr>
          <w:p w14:paraId="79BC7CC7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24.51%</w:t>
            </w:r>
          </w:p>
        </w:tc>
      </w:tr>
      <w:tr w:rsidR="000C64B6" w14:paraId="106BAF13" w14:textId="77777777">
        <w:trPr>
          <w:cantSplit/>
          <w:jc w:val="center"/>
        </w:trPr>
        <w:tc>
          <w:tcPr>
            <w:tcW w:w="1901" w:type="dxa"/>
            <w:vAlign w:val="center"/>
          </w:tcPr>
          <w:p w14:paraId="16A2919B" w14:textId="77777777" w:rsidR="000C64B6" w:rsidRDefault="00C246F1">
            <w:pPr>
              <w:spacing w:after="0"/>
            </w:pPr>
            <w:r>
              <w:rPr>
                <w:sz w:val="14"/>
              </w:rPr>
              <w:t>Turnover_20D</w:t>
            </w:r>
          </w:p>
        </w:tc>
        <w:tc>
          <w:tcPr>
            <w:tcW w:w="1195" w:type="dxa"/>
            <w:vAlign w:val="center"/>
          </w:tcPr>
          <w:p w14:paraId="75B8AB31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+2.15%</w:t>
            </w:r>
          </w:p>
        </w:tc>
        <w:tc>
          <w:tcPr>
            <w:tcW w:w="1224" w:type="dxa"/>
            <w:vAlign w:val="center"/>
          </w:tcPr>
          <w:p w14:paraId="488C665E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稳定正向</w:t>
            </w:r>
            <w:proofErr w:type="spellEnd"/>
          </w:p>
        </w:tc>
        <w:tc>
          <w:tcPr>
            <w:tcW w:w="1195" w:type="dxa"/>
            <w:vAlign w:val="center"/>
          </w:tcPr>
          <w:p w14:paraId="4D400FD2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-0.09%</w:t>
            </w:r>
          </w:p>
        </w:tc>
        <w:tc>
          <w:tcPr>
            <w:tcW w:w="1224" w:type="dxa"/>
            <w:vAlign w:val="center"/>
          </w:tcPr>
          <w:p w14:paraId="2DABC5CE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4"/>
              </w:rPr>
              <w:t>稳定负向</w:t>
            </w:r>
            <w:proofErr w:type="spellEnd"/>
          </w:p>
        </w:tc>
        <w:tc>
          <w:tcPr>
            <w:tcW w:w="1195" w:type="dxa"/>
            <w:vAlign w:val="center"/>
          </w:tcPr>
          <w:p w14:paraId="31D0337F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-0.0428</w:t>
            </w:r>
          </w:p>
        </w:tc>
        <w:tc>
          <w:tcPr>
            <w:tcW w:w="1339" w:type="dxa"/>
            <w:vAlign w:val="center"/>
          </w:tcPr>
          <w:p w14:paraId="1B5469CD" w14:textId="77777777" w:rsidR="000C64B6" w:rsidRDefault="00C246F1">
            <w:pPr>
              <w:spacing w:after="0"/>
              <w:jc w:val="center"/>
            </w:pPr>
            <w:r>
              <w:rPr>
                <w:sz w:val="14"/>
              </w:rPr>
              <w:t>24.37%</w:t>
            </w:r>
          </w:p>
        </w:tc>
      </w:tr>
    </w:tbl>
    <w:p w14:paraId="0E2817F7" w14:textId="77777777" w:rsidR="000C64B6" w:rsidRDefault="000C64B6"/>
    <w:p w14:paraId="332C0AB7" w14:textId="77777777" w:rsidR="000C64B6" w:rsidRDefault="00C246F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07DDA1D" wp14:editId="77253371">
            <wp:extent cx="5897880" cy="18957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_one_back_primary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9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D9DC" w14:textId="77777777" w:rsidR="000C64B6" w:rsidRDefault="00C246F1">
      <w:pPr>
        <w:spacing w:after="40"/>
        <w:jc w:val="center"/>
      </w:pPr>
      <w:r>
        <w:rPr>
          <w:b/>
          <w:color w:val="5A5A5A"/>
          <w:sz w:val="19"/>
        </w:rPr>
        <w:t>图</w:t>
      </w:r>
      <w:r>
        <w:rPr>
          <w:b/>
          <w:color w:val="5A5A5A"/>
          <w:sz w:val="19"/>
        </w:rPr>
        <w:t xml:space="preserve"> 4</w:t>
      </w:r>
      <w:r>
        <w:rPr>
          <w:b/>
          <w:color w:val="5A5A5A"/>
          <w:sz w:val="19"/>
        </w:rPr>
        <w:t>：</w:t>
      </w:r>
      <w:r>
        <w:rPr>
          <w:b/>
          <w:color w:val="5A5A5A"/>
          <w:sz w:val="19"/>
        </w:rPr>
        <w:t>Add-one-back</w:t>
      </w:r>
      <w:r>
        <w:rPr>
          <w:b/>
          <w:color w:val="5A5A5A"/>
          <w:sz w:val="19"/>
        </w:rPr>
        <w:t>两个主要指标的边际贡献</w:t>
      </w:r>
    </w:p>
    <w:p w14:paraId="17E99C6C" w14:textId="77777777" w:rsidR="000C64B6" w:rsidRDefault="00C246F1">
      <w:pPr>
        <w:spacing w:after="80" w:line="324" w:lineRule="auto"/>
      </w:pPr>
      <w:r>
        <w:t>七个被筛除因子加入固定</w:t>
      </w:r>
      <w:r>
        <w:t>4</w:t>
      </w:r>
      <w:r>
        <w:t>后，</w:t>
      </w:r>
      <w:r>
        <w:t>D10-D1</w:t>
      </w:r>
      <w:r>
        <w:t>均呈稳定正向；除</w:t>
      </w:r>
      <w:r>
        <w:t>Turnover_20D</w:t>
      </w:r>
      <w:r>
        <w:t>外，其余六个因子的</w:t>
      </w:r>
      <w:r>
        <w:t>Top20</w:t>
      </w:r>
      <w:r>
        <w:t>超额也稳定改善。</w:t>
      </w:r>
      <w:r>
        <w:t>Revenue_Growth</w:t>
      </w:r>
      <w:r>
        <w:t>、</w:t>
      </w:r>
      <w:r>
        <w:t>Momentum_60D</w:t>
      </w:r>
      <w:r>
        <w:t>和</w:t>
      </w:r>
      <w:r>
        <w:t>ROE</w:t>
      </w:r>
      <w:r>
        <w:t>对</w:t>
      </w:r>
      <w:r>
        <w:t>D10-D1</w:t>
      </w:r>
      <w:r>
        <w:t>的修复幅度最大，分别约为</w:t>
      </w:r>
      <w:r>
        <w:t>+18.45</w:t>
      </w:r>
      <w:r>
        <w:t>、</w:t>
      </w:r>
      <w:r>
        <w:t>+14.63</w:t>
      </w:r>
      <w:r>
        <w:t>和</w:t>
      </w:r>
      <w:r>
        <w:t>+10.22</w:t>
      </w:r>
      <w:r>
        <w:t>个百分点。</w:t>
      </w:r>
    </w:p>
    <w:p w14:paraId="7822AA5B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该结果说明固定</w:t>
      </w:r>
      <w:r>
        <w:rPr>
          <w:lang w:eastAsia="zh-CN"/>
        </w:rPr>
        <w:t>4</w:t>
      </w:r>
      <w:r>
        <w:rPr>
          <w:lang w:eastAsia="zh-CN"/>
        </w:rPr>
        <w:t>因子的失败并非由某一个遗漏因子造成，而是过度压缩了经济属性和截面覆盖。被筛除因子即使单因子</w:t>
      </w:r>
      <w:proofErr w:type="spellStart"/>
      <w:r>
        <w:rPr>
          <w:lang w:eastAsia="zh-CN"/>
        </w:rPr>
        <w:t>RankIC</w:t>
      </w:r>
      <w:proofErr w:type="spellEnd"/>
      <w:r>
        <w:rPr>
          <w:lang w:eastAsia="zh-CN"/>
        </w:rPr>
        <w:t>较弱，仍可能通过不同收益来源、风险状态或缺失结构提供组合互补性。</w:t>
      </w:r>
    </w:p>
    <w:p w14:paraId="64EE5E11" w14:textId="77777777" w:rsidR="000C64B6" w:rsidRDefault="00C246F1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经济属性分散与训练期相关性</w:t>
      </w:r>
    </w:p>
    <w:p w14:paraId="279B9981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训练期使用每月截面中性化组得分计算</w:t>
      </w:r>
      <w:r>
        <w:rPr>
          <w:lang w:eastAsia="zh-CN"/>
        </w:rPr>
        <w:t>Spearman</w:t>
      </w:r>
      <w:r>
        <w:rPr>
          <w:lang w:eastAsia="zh-CN"/>
        </w:rPr>
        <w:t>相关，再对月份取均值。八组之间的平均绝对非对角相关系数为</w:t>
      </w:r>
      <w:r>
        <w:rPr>
          <w:lang w:eastAsia="zh-CN"/>
        </w:rPr>
        <w:t>0.0901</w:t>
      </w:r>
      <w:r>
        <w:rPr>
          <w:lang w:eastAsia="zh-CN"/>
        </w:rPr>
        <w:t>，总体较低，说明分组并非仅在名称上分散。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944"/>
        <w:gridCol w:w="3816"/>
      </w:tblGrid>
      <w:tr w:rsidR="000C64B6" w14:paraId="59CE8FDE" w14:textId="77777777">
        <w:trPr>
          <w:tblHeader/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175CAFD9" w14:textId="77777777" w:rsidR="000C64B6" w:rsidRDefault="00C246F1">
            <w:pPr>
              <w:spacing w:after="0"/>
            </w:pPr>
            <w:proofErr w:type="spellStart"/>
            <w:r>
              <w:rPr>
                <w:b/>
                <w:sz w:val="17"/>
              </w:rPr>
              <w:t>组别一</w:t>
            </w:r>
            <w:proofErr w:type="spellEnd"/>
          </w:p>
        </w:tc>
        <w:tc>
          <w:tcPr>
            <w:tcW w:w="1800" w:type="dxa"/>
            <w:shd w:val="clear" w:color="auto" w:fill="F2F4F7"/>
            <w:vAlign w:val="center"/>
          </w:tcPr>
          <w:p w14:paraId="59D2E455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组别二</w:t>
            </w:r>
            <w:proofErr w:type="spellEnd"/>
          </w:p>
        </w:tc>
        <w:tc>
          <w:tcPr>
            <w:tcW w:w="1944" w:type="dxa"/>
            <w:shd w:val="clear" w:color="auto" w:fill="F2F4F7"/>
            <w:vAlign w:val="center"/>
          </w:tcPr>
          <w:p w14:paraId="0A8E7C2E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训练期相关系数</w:t>
            </w:r>
            <w:proofErr w:type="spellEnd"/>
          </w:p>
        </w:tc>
        <w:tc>
          <w:tcPr>
            <w:tcW w:w="3816" w:type="dxa"/>
            <w:shd w:val="clear" w:color="auto" w:fill="F2F4F7"/>
            <w:vAlign w:val="center"/>
          </w:tcPr>
          <w:p w14:paraId="173EA863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解释</w:t>
            </w:r>
            <w:proofErr w:type="spellEnd"/>
          </w:p>
        </w:tc>
      </w:tr>
      <w:tr w:rsidR="000C64B6" w14:paraId="4FD2199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4721070" w14:textId="77777777" w:rsidR="000C64B6" w:rsidRDefault="00C246F1">
            <w:pPr>
              <w:spacing w:after="0"/>
            </w:pPr>
            <w:proofErr w:type="spellStart"/>
            <w:r>
              <w:rPr>
                <w:sz w:val="17"/>
              </w:rPr>
              <w:t>LowVol</w:t>
            </w:r>
            <w:proofErr w:type="spellEnd"/>
          </w:p>
        </w:tc>
        <w:tc>
          <w:tcPr>
            <w:tcW w:w="1800" w:type="dxa"/>
            <w:vAlign w:val="center"/>
          </w:tcPr>
          <w:p w14:paraId="06ED7BE5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Liquidity</w:t>
            </w:r>
          </w:p>
        </w:tc>
        <w:tc>
          <w:tcPr>
            <w:tcW w:w="1944" w:type="dxa"/>
            <w:vAlign w:val="center"/>
          </w:tcPr>
          <w:p w14:paraId="5FB6C68C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-0.504</w:t>
            </w:r>
          </w:p>
        </w:tc>
        <w:tc>
          <w:tcPr>
            <w:tcW w:w="3816" w:type="dxa"/>
            <w:vAlign w:val="center"/>
          </w:tcPr>
          <w:p w14:paraId="01EBD835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存在较强互补</w:t>
            </w:r>
            <w:proofErr w:type="spellEnd"/>
          </w:p>
        </w:tc>
      </w:tr>
      <w:tr w:rsidR="000C64B6" w14:paraId="25D1164E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A2C490A" w14:textId="77777777" w:rsidR="000C64B6" w:rsidRDefault="00C246F1">
            <w:pPr>
              <w:spacing w:after="0"/>
            </w:pPr>
            <w:r>
              <w:rPr>
                <w:sz w:val="17"/>
              </w:rPr>
              <w:t>Momentum</w:t>
            </w:r>
          </w:p>
        </w:tc>
        <w:tc>
          <w:tcPr>
            <w:tcW w:w="1800" w:type="dxa"/>
            <w:vAlign w:val="center"/>
          </w:tcPr>
          <w:p w14:paraId="1FFAE24C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Liquidity</w:t>
            </w:r>
          </w:p>
        </w:tc>
        <w:tc>
          <w:tcPr>
            <w:tcW w:w="1944" w:type="dxa"/>
            <w:vAlign w:val="center"/>
          </w:tcPr>
          <w:p w14:paraId="76C83308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+0.281</w:t>
            </w:r>
          </w:p>
        </w:tc>
        <w:tc>
          <w:tcPr>
            <w:tcW w:w="3816" w:type="dxa"/>
            <w:vAlign w:val="center"/>
          </w:tcPr>
          <w:p w14:paraId="795AA74C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存在一定同向暴露</w:t>
            </w:r>
            <w:proofErr w:type="spellEnd"/>
          </w:p>
        </w:tc>
      </w:tr>
      <w:tr w:rsidR="000C64B6" w14:paraId="16BA659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1518660" w14:textId="77777777" w:rsidR="000C64B6" w:rsidRDefault="00C246F1">
            <w:pPr>
              <w:spacing w:after="0"/>
            </w:pPr>
            <w:r>
              <w:rPr>
                <w:sz w:val="17"/>
              </w:rPr>
              <w:t>Value</w:t>
            </w:r>
          </w:p>
        </w:tc>
        <w:tc>
          <w:tcPr>
            <w:tcW w:w="1800" w:type="dxa"/>
            <w:vAlign w:val="center"/>
          </w:tcPr>
          <w:p w14:paraId="0F9CFB20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LowVol</w:t>
            </w:r>
            <w:proofErr w:type="spellEnd"/>
          </w:p>
        </w:tc>
        <w:tc>
          <w:tcPr>
            <w:tcW w:w="1944" w:type="dxa"/>
            <w:vAlign w:val="center"/>
          </w:tcPr>
          <w:p w14:paraId="145AC3D5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+0.269</w:t>
            </w:r>
          </w:p>
        </w:tc>
        <w:tc>
          <w:tcPr>
            <w:tcW w:w="3816" w:type="dxa"/>
            <w:vAlign w:val="center"/>
          </w:tcPr>
          <w:p w14:paraId="7917879C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存在一定同向暴露</w:t>
            </w:r>
            <w:proofErr w:type="spellEnd"/>
          </w:p>
        </w:tc>
      </w:tr>
      <w:tr w:rsidR="000C64B6" w14:paraId="4680167A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7D7CCFD" w14:textId="77777777" w:rsidR="000C64B6" w:rsidRDefault="00C246F1">
            <w:pPr>
              <w:spacing w:after="0"/>
            </w:pPr>
            <w:r>
              <w:rPr>
                <w:sz w:val="17"/>
              </w:rPr>
              <w:t>Value</w:t>
            </w:r>
          </w:p>
        </w:tc>
        <w:tc>
          <w:tcPr>
            <w:tcW w:w="1800" w:type="dxa"/>
            <w:vAlign w:val="center"/>
          </w:tcPr>
          <w:p w14:paraId="7CDFC0CD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Quality</w:t>
            </w:r>
          </w:p>
        </w:tc>
        <w:tc>
          <w:tcPr>
            <w:tcW w:w="1944" w:type="dxa"/>
            <w:vAlign w:val="center"/>
          </w:tcPr>
          <w:p w14:paraId="2EF46FD6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+0.203</w:t>
            </w:r>
          </w:p>
        </w:tc>
        <w:tc>
          <w:tcPr>
            <w:tcW w:w="3816" w:type="dxa"/>
            <w:vAlign w:val="center"/>
          </w:tcPr>
          <w:p w14:paraId="727325DA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存在一定同向暴露</w:t>
            </w:r>
            <w:proofErr w:type="spellEnd"/>
          </w:p>
        </w:tc>
      </w:tr>
      <w:tr w:rsidR="000C64B6" w14:paraId="129961C6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AEB30F2" w14:textId="77777777" w:rsidR="000C64B6" w:rsidRDefault="00C246F1">
            <w:pPr>
              <w:spacing w:after="0"/>
            </w:pPr>
            <w:r>
              <w:rPr>
                <w:sz w:val="17"/>
              </w:rPr>
              <w:t>Quality</w:t>
            </w:r>
          </w:p>
        </w:tc>
        <w:tc>
          <w:tcPr>
            <w:tcW w:w="1800" w:type="dxa"/>
            <w:vAlign w:val="center"/>
          </w:tcPr>
          <w:p w14:paraId="6BC17998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Growth</w:t>
            </w:r>
          </w:p>
        </w:tc>
        <w:tc>
          <w:tcPr>
            <w:tcW w:w="1944" w:type="dxa"/>
            <w:vAlign w:val="center"/>
          </w:tcPr>
          <w:p w14:paraId="7862B992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+0.170</w:t>
            </w:r>
          </w:p>
        </w:tc>
        <w:tc>
          <w:tcPr>
            <w:tcW w:w="3816" w:type="dxa"/>
            <w:vAlign w:val="center"/>
          </w:tcPr>
          <w:p w14:paraId="7E7611E4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存在一定同向暴露</w:t>
            </w:r>
            <w:proofErr w:type="spellEnd"/>
          </w:p>
        </w:tc>
      </w:tr>
    </w:tbl>
    <w:p w14:paraId="2148ABD8" w14:textId="77777777" w:rsidR="000C64B6" w:rsidRDefault="000C64B6"/>
    <w:p w14:paraId="7BF538CF" w14:textId="77777777" w:rsidR="000C64B6" w:rsidRDefault="00C246F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337CFF" wp14:editId="774F2D42">
            <wp:extent cx="5394960" cy="4720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5803" w14:textId="77777777" w:rsidR="000C64B6" w:rsidRDefault="00C246F1">
      <w:pPr>
        <w:spacing w:after="40"/>
        <w:jc w:val="center"/>
        <w:rPr>
          <w:lang w:eastAsia="zh-CN"/>
        </w:rPr>
      </w:pPr>
      <w:r>
        <w:rPr>
          <w:b/>
          <w:color w:val="5A5A5A"/>
          <w:sz w:val="19"/>
          <w:lang w:eastAsia="zh-CN"/>
        </w:rPr>
        <w:t>图</w:t>
      </w:r>
      <w:r>
        <w:rPr>
          <w:b/>
          <w:color w:val="5A5A5A"/>
          <w:sz w:val="19"/>
          <w:lang w:eastAsia="zh-CN"/>
        </w:rPr>
        <w:t xml:space="preserve"> 5</w:t>
      </w:r>
      <w:r>
        <w:rPr>
          <w:b/>
          <w:color w:val="5A5A5A"/>
          <w:sz w:val="19"/>
          <w:lang w:eastAsia="zh-CN"/>
        </w:rPr>
        <w:t>：训练期经济属性组间月均截面</w:t>
      </w:r>
      <w:r>
        <w:rPr>
          <w:b/>
          <w:color w:val="5A5A5A"/>
          <w:sz w:val="19"/>
          <w:lang w:eastAsia="zh-CN"/>
        </w:rPr>
        <w:t>Spearman</w:t>
      </w:r>
      <w:r>
        <w:rPr>
          <w:b/>
          <w:color w:val="5A5A5A"/>
          <w:sz w:val="19"/>
          <w:lang w:eastAsia="zh-CN"/>
        </w:rPr>
        <w:t>相关性</w:t>
      </w:r>
    </w:p>
    <w:p w14:paraId="27EA137A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绝对值最大的关系是低波与流动性约</w:t>
      </w:r>
      <w:r>
        <w:rPr>
          <w:lang w:eastAsia="zh-CN"/>
        </w:rPr>
        <w:t>-0.50</w:t>
      </w:r>
      <w:r>
        <w:rPr>
          <w:lang w:eastAsia="zh-CN"/>
        </w:rPr>
        <w:t>，其次是动量与流动性约</w:t>
      </w:r>
      <w:r>
        <w:rPr>
          <w:lang w:eastAsia="zh-CN"/>
        </w:rPr>
        <w:t>+0.28</w:t>
      </w:r>
      <w:r>
        <w:rPr>
          <w:lang w:eastAsia="zh-CN"/>
        </w:rPr>
        <w:t>、价值与低波约</w:t>
      </w:r>
      <w:r>
        <w:rPr>
          <w:lang w:eastAsia="zh-CN"/>
        </w:rPr>
        <w:t>+0.27</w:t>
      </w:r>
      <w:r>
        <w:rPr>
          <w:lang w:eastAsia="zh-CN"/>
        </w:rPr>
        <w:t>。分组等权降低了价值组和质量组内部多因子对总组合的机械权重，同时提升成长、动量、资金流、流动性和股东结构等单因子组的风格预算。</w:t>
      </w:r>
    </w:p>
    <w:p w14:paraId="59FA057D" w14:textId="77777777" w:rsidR="000C64B6" w:rsidRDefault="00C246F1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子区间稳定性与逐月证据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456"/>
        <w:gridCol w:w="3456"/>
      </w:tblGrid>
      <w:tr w:rsidR="000C64B6" w14:paraId="7BFC0F16" w14:textId="77777777">
        <w:trPr>
          <w:tblHeader/>
          <w:jc w:val="center"/>
        </w:trPr>
        <w:tc>
          <w:tcPr>
            <w:tcW w:w="2448" w:type="dxa"/>
            <w:shd w:val="clear" w:color="auto" w:fill="F2F4F7"/>
            <w:vAlign w:val="center"/>
          </w:tcPr>
          <w:p w14:paraId="67B161E7" w14:textId="77777777" w:rsidR="000C64B6" w:rsidRDefault="00C246F1">
            <w:pPr>
              <w:spacing w:after="0"/>
            </w:pPr>
            <w:proofErr w:type="spellStart"/>
            <w:r>
              <w:rPr>
                <w:b/>
                <w:sz w:val="18"/>
              </w:rPr>
              <w:t>样本外子区间</w:t>
            </w:r>
            <w:proofErr w:type="spellEnd"/>
          </w:p>
        </w:tc>
        <w:tc>
          <w:tcPr>
            <w:tcW w:w="3456" w:type="dxa"/>
            <w:shd w:val="clear" w:color="auto" w:fill="F2F4F7"/>
            <w:vAlign w:val="center"/>
          </w:tcPr>
          <w:p w14:paraId="1B05BE6D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8"/>
              </w:rPr>
              <w:t>分组－</w:t>
            </w:r>
            <w:r>
              <w:rPr>
                <w:b/>
                <w:sz w:val="18"/>
              </w:rPr>
              <w:t>11</w:t>
            </w:r>
            <w:r>
              <w:rPr>
                <w:b/>
                <w:sz w:val="18"/>
              </w:rPr>
              <w:t>因子</w:t>
            </w:r>
            <w:r>
              <w:rPr>
                <w:b/>
                <w:sz w:val="18"/>
              </w:rPr>
              <w:t xml:space="preserve"> D10-D1</w:t>
            </w:r>
          </w:p>
        </w:tc>
        <w:tc>
          <w:tcPr>
            <w:tcW w:w="3456" w:type="dxa"/>
            <w:shd w:val="clear" w:color="auto" w:fill="F2F4F7"/>
            <w:vAlign w:val="center"/>
          </w:tcPr>
          <w:p w14:paraId="46671777" w14:textId="77777777" w:rsidR="000C64B6" w:rsidRDefault="00C246F1">
            <w:pPr>
              <w:spacing w:after="0"/>
              <w:jc w:val="center"/>
            </w:pPr>
            <w:r>
              <w:rPr>
                <w:b/>
                <w:sz w:val="18"/>
              </w:rPr>
              <w:t>分组－</w:t>
            </w:r>
            <w:r>
              <w:rPr>
                <w:b/>
                <w:sz w:val="18"/>
              </w:rPr>
              <w:t>11</w:t>
            </w:r>
            <w:r>
              <w:rPr>
                <w:b/>
                <w:sz w:val="18"/>
              </w:rPr>
              <w:t>因子</w:t>
            </w:r>
            <w:r>
              <w:rPr>
                <w:b/>
                <w:sz w:val="18"/>
              </w:rPr>
              <w:t xml:space="preserve"> Top20</w:t>
            </w:r>
            <w:r>
              <w:rPr>
                <w:b/>
                <w:sz w:val="18"/>
              </w:rPr>
              <w:t>超额</w:t>
            </w:r>
          </w:p>
        </w:tc>
      </w:tr>
      <w:tr w:rsidR="000C64B6" w14:paraId="66C48D01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FDBBD8D" w14:textId="77777777" w:rsidR="000C64B6" w:rsidRDefault="00C246F1">
            <w:pPr>
              <w:spacing w:after="0"/>
            </w:pPr>
            <w:r>
              <w:rPr>
                <w:sz w:val="17"/>
              </w:rPr>
              <w:t>2025H1</w:t>
            </w:r>
          </w:p>
        </w:tc>
        <w:tc>
          <w:tcPr>
            <w:tcW w:w="3456" w:type="dxa"/>
            <w:vAlign w:val="center"/>
          </w:tcPr>
          <w:p w14:paraId="7C0375C1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+4.44%</w:t>
            </w:r>
          </w:p>
        </w:tc>
        <w:tc>
          <w:tcPr>
            <w:tcW w:w="3456" w:type="dxa"/>
            <w:vAlign w:val="center"/>
          </w:tcPr>
          <w:p w14:paraId="2BC95B69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-4.24%</w:t>
            </w:r>
          </w:p>
        </w:tc>
      </w:tr>
      <w:tr w:rsidR="000C64B6" w14:paraId="19B32E5B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1D62529B" w14:textId="77777777" w:rsidR="000C64B6" w:rsidRDefault="00C246F1">
            <w:pPr>
              <w:spacing w:after="0"/>
            </w:pPr>
            <w:r>
              <w:rPr>
                <w:sz w:val="17"/>
              </w:rPr>
              <w:t>2025H2</w:t>
            </w:r>
          </w:p>
        </w:tc>
        <w:tc>
          <w:tcPr>
            <w:tcW w:w="3456" w:type="dxa"/>
            <w:vAlign w:val="center"/>
          </w:tcPr>
          <w:p w14:paraId="6007C5B8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+1.22%</w:t>
            </w:r>
          </w:p>
        </w:tc>
        <w:tc>
          <w:tcPr>
            <w:tcW w:w="3456" w:type="dxa"/>
            <w:vAlign w:val="center"/>
          </w:tcPr>
          <w:p w14:paraId="253913A4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+2.50%</w:t>
            </w:r>
          </w:p>
        </w:tc>
      </w:tr>
      <w:tr w:rsidR="000C64B6" w14:paraId="6667E79A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A06203E" w14:textId="77777777" w:rsidR="000C64B6" w:rsidRDefault="00C246F1">
            <w:pPr>
              <w:spacing w:after="0"/>
            </w:pPr>
            <w:r>
              <w:rPr>
                <w:sz w:val="17"/>
              </w:rPr>
              <w:t>2026YTD</w:t>
            </w:r>
          </w:p>
        </w:tc>
        <w:tc>
          <w:tcPr>
            <w:tcW w:w="3456" w:type="dxa"/>
            <w:vAlign w:val="center"/>
          </w:tcPr>
          <w:p w14:paraId="280FB36E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+2.67%</w:t>
            </w:r>
          </w:p>
        </w:tc>
        <w:tc>
          <w:tcPr>
            <w:tcW w:w="3456" w:type="dxa"/>
            <w:vAlign w:val="center"/>
          </w:tcPr>
          <w:p w14:paraId="7D6352AE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+4.62%</w:t>
            </w:r>
          </w:p>
        </w:tc>
      </w:tr>
    </w:tbl>
    <w:p w14:paraId="3B2CEBAB" w14:textId="77777777" w:rsidR="000C64B6" w:rsidRDefault="000C64B6"/>
    <w:p w14:paraId="4559C81A" w14:textId="77777777" w:rsidR="000C64B6" w:rsidRDefault="00C246F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3882906" wp14:editId="099AA253">
            <wp:extent cx="5806440" cy="36580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period_st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5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6424" w14:textId="77777777" w:rsidR="000C64B6" w:rsidRDefault="00C246F1">
      <w:pPr>
        <w:spacing w:after="40"/>
        <w:jc w:val="center"/>
        <w:rPr>
          <w:lang w:eastAsia="zh-CN"/>
        </w:rPr>
      </w:pPr>
      <w:r>
        <w:rPr>
          <w:b/>
          <w:color w:val="5A5A5A"/>
          <w:sz w:val="19"/>
          <w:lang w:eastAsia="zh-CN"/>
        </w:rPr>
        <w:t>图</w:t>
      </w:r>
      <w:r>
        <w:rPr>
          <w:b/>
          <w:color w:val="5A5A5A"/>
          <w:sz w:val="19"/>
          <w:lang w:eastAsia="zh-CN"/>
        </w:rPr>
        <w:t xml:space="preserve"> 6</w:t>
      </w:r>
      <w:r>
        <w:rPr>
          <w:b/>
          <w:color w:val="5A5A5A"/>
          <w:sz w:val="19"/>
          <w:lang w:eastAsia="zh-CN"/>
        </w:rPr>
        <w:t>：主要方案在预定义样本外子区间的表现</w:t>
      </w:r>
    </w:p>
    <w:p w14:paraId="6034729F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分组组合相对原始</w:t>
      </w:r>
      <w:r>
        <w:rPr>
          <w:lang w:eastAsia="zh-CN"/>
        </w:rPr>
        <w:t>11</w:t>
      </w:r>
      <w:r>
        <w:rPr>
          <w:lang w:eastAsia="zh-CN"/>
        </w:rPr>
        <w:t>因子的</w:t>
      </w:r>
      <w:r>
        <w:rPr>
          <w:lang w:eastAsia="zh-CN"/>
        </w:rPr>
        <w:t>D10-D1</w:t>
      </w:r>
      <w:r>
        <w:rPr>
          <w:lang w:eastAsia="zh-CN"/>
        </w:rPr>
        <w:t>在三个子区间均为正；</w:t>
      </w:r>
      <w:r>
        <w:rPr>
          <w:lang w:eastAsia="zh-CN"/>
        </w:rPr>
        <w:t>Top20</w:t>
      </w:r>
      <w:r>
        <w:rPr>
          <w:lang w:eastAsia="zh-CN"/>
        </w:rPr>
        <w:t>超额在</w:t>
      </w:r>
      <w:r>
        <w:rPr>
          <w:lang w:eastAsia="zh-CN"/>
        </w:rPr>
        <w:t>2025H2</w:t>
      </w:r>
      <w:r>
        <w:rPr>
          <w:lang w:eastAsia="zh-CN"/>
        </w:rPr>
        <w:t>与</w:t>
      </w:r>
      <w:r>
        <w:rPr>
          <w:lang w:eastAsia="zh-CN"/>
        </w:rPr>
        <w:t>2026YTD</w:t>
      </w:r>
      <w:r>
        <w:rPr>
          <w:lang w:eastAsia="zh-CN"/>
        </w:rPr>
        <w:t>为正，在</w:t>
      </w:r>
      <w:r>
        <w:rPr>
          <w:lang w:eastAsia="zh-CN"/>
        </w:rPr>
        <w:t>2025H1</w:t>
      </w:r>
      <w:r>
        <w:rPr>
          <w:lang w:eastAsia="zh-CN"/>
        </w:rPr>
        <w:t>为负。因此，按预设稳定标签，</w:t>
      </w:r>
      <w:r>
        <w:rPr>
          <w:lang w:eastAsia="zh-CN"/>
        </w:rPr>
        <w:t>D10-D1</w:t>
      </w:r>
      <w:r>
        <w:rPr>
          <w:lang w:eastAsia="zh-CN"/>
        </w:rPr>
        <w:t>属于稳定改善，</w:t>
      </w:r>
      <w:r>
        <w:rPr>
          <w:lang w:eastAsia="zh-CN"/>
        </w:rPr>
        <w:t>Top20</w:t>
      </w:r>
      <w:r>
        <w:rPr>
          <w:lang w:eastAsia="zh-CN"/>
        </w:rPr>
        <w:t>属于</w:t>
      </w:r>
      <w:r>
        <w:rPr>
          <w:lang w:eastAsia="zh-CN"/>
        </w:rPr>
        <w:t>“</w:t>
      </w:r>
      <w:r>
        <w:rPr>
          <w:lang w:eastAsia="zh-CN"/>
        </w:rPr>
        <w:t>全样本外改善且</w:t>
      </w:r>
      <w:r>
        <w:rPr>
          <w:lang w:eastAsia="zh-CN"/>
        </w:rPr>
        <w:t>2/3</w:t>
      </w:r>
      <w:r>
        <w:rPr>
          <w:lang w:eastAsia="zh-CN"/>
        </w:rPr>
        <w:t>子区间同向</w:t>
      </w:r>
      <w:r>
        <w:rPr>
          <w:lang w:eastAsia="zh-CN"/>
        </w:rPr>
        <w:t>”</w:t>
      </w:r>
      <w:r>
        <w:rPr>
          <w:lang w:eastAsia="zh-CN"/>
        </w:rPr>
        <w:t>，也满足方向稳定规则，但并非每一段都占优。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936"/>
        <w:gridCol w:w="1296"/>
        <w:gridCol w:w="1296"/>
        <w:gridCol w:w="1080"/>
        <w:gridCol w:w="1368"/>
        <w:gridCol w:w="1152"/>
      </w:tblGrid>
      <w:tr w:rsidR="000C64B6" w14:paraId="4F5D8F5A" w14:textId="77777777">
        <w:trPr>
          <w:tblHeader/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571E2AC8" w14:textId="77777777" w:rsidR="000C64B6" w:rsidRDefault="00C246F1">
            <w:pPr>
              <w:spacing w:after="0"/>
            </w:pPr>
            <w:proofErr w:type="spellStart"/>
            <w:r>
              <w:rPr>
                <w:b/>
                <w:sz w:val="17"/>
              </w:rPr>
              <w:t>月度配对指标</w:t>
            </w:r>
            <w:proofErr w:type="spellEnd"/>
          </w:p>
        </w:tc>
        <w:tc>
          <w:tcPr>
            <w:tcW w:w="936" w:type="dxa"/>
            <w:shd w:val="clear" w:color="auto" w:fill="F2F4F7"/>
            <w:vAlign w:val="center"/>
          </w:tcPr>
          <w:p w14:paraId="3B5C1F83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月份数</w:t>
            </w:r>
            <w:proofErr w:type="spellEnd"/>
          </w:p>
        </w:tc>
        <w:tc>
          <w:tcPr>
            <w:tcW w:w="1296" w:type="dxa"/>
            <w:shd w:val="clear" w:color="auto" w:fill="F2F4F7"/>
            <w:vAlign w:val="center"/>
          </w:tcPr>
          <w:p w14:paraId="5831AACC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均值差</w:t>
            </w:r>
            <w:proofErr w:type="spellEnd"/>
          </w:p>
        </w:tc>
        <w:tc>
          <w:tcPr>
            <w:tcW w:w="1296" w:type="dxa"/>
            <w:shd w:val="clear" w:color="auto" w:fill="F2F4F7"/>
            <w:vAlign w:val="center"/>
          </w:tcPr>
          <w:p w14:paraId="04723585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中位数差</w:t>
            </w:r>
            <w:proofErr w:type="spellEnd"/>
          </w:p>
        </w:tc>
        <w:tc>
          <w:tcPr>
            <w:tcW w:w="1080" w:type="dxa"/>
            <w:shd w:val="clear" w:color="auto" w:fill="F2F4F7"/>
            <w:vAlign w:val="center"/>
          </w:tcPr>
          <w:p w14:paraId="2C7BE7E4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胜率</w:t>
            </w:r>
            <w:proofErr w:type="spellEnd"/>
          </w:p>
        </w:tc>
        <w:tc>
          <w:tcPr>
            <w:tcW w:w="1368" w:type="dxa"/>
            <w:shd w:val="clear" w:color="auto" w:fill="F2F4F7"/>
            <w:vAlign w:val="center"/>
          </w:tcPr>
          <w:p w14:paraId="287BCEA0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月度标准差</w:t>
            </w:r>
            <w:proofErr w:type="spellEnd"/>
          </w:p>
        </w:tc>
        <w:tc>
          <w:tcPr>
            <w:tcW w:w="1152" w:type="dxa"/>
            <w:shd w:val="clear" w:color="auto" w:fill="F2F4F7"/>
            <w:vAlign w:val="center"/>
          </w:tcPr>
          <w:p w14:paraId="30B29DD4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简单</w:t>
            </w:r>
            <w:r>
              <w:rPr>
                <w:b/>
                <w:sz w:val="17"/>
              </w:rPr>
              <w:t>t</w:t>
            </w:r>
            <w:r>
              <w:rPr>
                <w:b/>
                <w:sz w:val="17"/>
              </w:rPr>
              <w:t>值</w:t>
            </w:r>
            <w:proofErr w:type="spellEnd"/>
          </w:p>
        </w:tc>
      </w:tr>
      <w:tr w:rsidR="000C64B6" w14:paraId="28F8BCEA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3515885" w14:textId="77777777" w:rsidR="000C64B6" w:rsidRDefault="00C246F1">
            <w:pPr>
              <w:spacing w:after="0"/>
            </w:pPr>
            <w:r>
              <w:rPr>
                <w:sz w:val="16"/>
              </w:rPr>
              <w:t>D10-D1</w:t>
            </w:r>
          </w:p>
        </w:tc>
        <w:tc>
          <w:tcPr>
            <w:tcW w:w="936" w:type="dxa"/>
            <w:vAlign w:val="center"/>
          </w:tcPr>
          <w:p w14:paraId="72BDC493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1296" w:type="dxa"/>
            <w:vAlign w:val="center"/>
          </w:tcPr>
          <w:p w14:paraId="752B2892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+0.20%</w:t>
            </w:r>
          </w:p>
        </w:tc>
        <w:tc>
          <w:tcPr>
            <w:tcW w:w="1296" w:type="dxa"/>
            <w:vAlign w:val="center"/>
          </w:tcPr>
          <w:p w14:paraId="13C05BE8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+0.08%</w:t>
            </w:r>
          </w:p>
        </w:tc>
        <w:tc>
          <w:tcPr>
            <w:tcW w:w="1080" w:type="dxa"/>
            <w:vAlign w:val="center"/>
          </w:tcPr>
          <w:p w14:paraId="5592984A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52.63%</w:t>
            </w:r>
          </w:p>
        </w:tc>
        <w:tc>
          <w:tcPr>
            <w:tcW w:w="1368" w:type="dxa"/>
            <w:vAlign w:val="center"/>
          </w:tcPr>
          <w:p w14:paraId="73E933E2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0.94%</w:t>
            </w:r>
          </w:p>
        </w:tc>
        <w:tc>
          <w:tcPr>
            <w:tcW w:w="1152" w:type="dxa"/>
            <w:vAlign w:val="center"/>
          </w:tcPr>
          <w:p w14:paraId="54785F9C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0.94</w:t>
            </w:r>
          </w:p>
        </w:tc>
      </w:tr>
      <w:tr w:rsidR="000C64B6" w14:paraId="0F044D6F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9741D4B" w14:textId="77777777" w:rsidR="000C64B6" w:rsidRDefault="00C246F1">
            <w:pPr>
              <w:spacing w:after="0"/>
            </w:pPr>
            <w:r>
              <w:rPr>
                <w:sz w:val="16"/>
              </w:rPr>
              <w:t>Top20</w:t>
            </w:r>
            <w:r>
              <w:rPr>
                <w:sz w:val="16"/>
              </w:rPr>
              <w:t>净收益</w:t>
            </w:r>
          </w:p>
        </w:tc>
        <w:tc>
          <w:tcPr>
            <w:tcW w:w="936" w:type="dxa"/>
            <w:vAlign w:val="center"/>
          </w:tcPr>
          <w:p w14:paraId="2694C09B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1296" w:type="dxa"/>
            <w:vAlign w:val="center"/>
          </w:tcPr>
          <w:p w14:paraId="33ADC58A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+0.09%</w:t>
            </w:r>
          </w:p>
        </w:tc>
        <w:tc>
          <w:tcPr>
            <w:tcW w:w="1296" w:type="dxa"/>
            <w:vAlign w:val="center"/>
          </w:tcPr>
          <w:p w14:paraId="2C8000B2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+0.06%</w:t>
            </w:r>
          </w:p>
        </w:tc>
        <w:tc>
          <w:tcPr>
            <w:tcW w:w="1080" w:type="dxa"/>
            <w:vAlign w:val="center"/>
          </w:tcPr>
          <w:p w14:paraId="45A78408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63.16%</w:t>
            </w:r>
          </w:p>
        </w:tc>
        <w:tc>
          <w:tcPr>
            <w:tcW w:w="1368" w:type="dxa"/>
            <w:vAlign w:val="center"/>
          </w:tcPr>
          <w:p w14:paraId="4680F8CE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0.58%</w:t>
            </w:r>
          </w:p>
        </w:tc>
        <w:tc>
          <w:tcPr>
            <w:tcW w:w="1152" w:type="dxa"/>
            <w:vAlign w:val="center"/>
          </w:tcPr>
          <w:p w14:paraId="5CD5BEC4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0.69</w:t>
            </w:r>
          </w:p>
        </w:tc>
      </w:tr>
    </w:tbl>
    <w:p w14:paraId="331B41D7" w14:textId="77777777" w:rsidR="000C64B6" w:rsidRDefault="000C64B6"/>
    <w:p w14:paraId="37B99685" w14:textId="77777777" w:rsidR="000C64B6" w:rsidRDefault="00C246F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520726" wp14:editId="41E8EABC">
            <wp:extent cx="5806440" cy="37759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monthly_grouped_advant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35BF" w14:textId="77777777" w:rsidR="000C64B6" w:rsidRDefault="00C246F1">
      <w:pPr>
        <w:spacing w:after="40"/>
        <w:jc w:val="center"/>
        <w:rPr>
          <w:lang w:eastAsia="zh-CN"/>
        </w:rPr>
      </w:pPr>
      <w:r>
        <w:rPr>
          <w:b/>
          <w:color w:val="5A5A5A"/>
          <w:sz w:val="19"/>
          <w:lang w:eastAsia="zh-CN"/>
        </w:rPr>
        <w:t>图</w:t>
      </w:r>
      <w:r>
        <w:rPr>
          <w:b/>
          <w:color w:val="5A5A5A"/>
          <w:sz w:val="19"/>
          <w:lang w:eastAsia="zh-CN"/>
        </w:rPr>
        <w:t xml:space="preserve"> 7</w:t>
      </w:r>
      <w:r>
        <w:rPr>
          <w:b/>
          <w:color w:val="5A5A5A"/>
          <w:sz w:val="19"/>
          <w:lang w:eastAsia="zh-CN"/>
        </w:rPr>
        <w:t>：经济属性分组相对原始</w:t>
      </w:r>
      <w:r>
        <w:rPr>
          <w:b/>
          <w:color w:val="5A5A5A"/>
          <w:sz w:val="19"/>
          <w:lang w:eastAsia="zh-CN"/>
        </w:rPr>
        <w:t>11</w:t>
      </w:r>
      <w:r>
        <w:rPr>
          <w:b/>
          <w:color w:val="5A5A5A"/>
          <w:sz w:val="19"/>
          <w:lang w:eastAsia="zh-CN"/>
        </w:rPr>
        <w:t>因子的逐月收益差（绿色为占优）</w:t>
      </w:r>
    </w:p>
    <w:p w14:paraId="7FAABA86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19</w:t>
      </w:r>
      <w:r>
        <w:rPr>
          <w:lang w:eastAsia="zh-CN"/>
        </w:rPr>
        <w:t>个月配对结果中，分组方案的</w:t>
      </w:r>
      <w:r>
        <w:rPr>
          <w:lang w:eastAsia="zh-CN"/>
        </w:rPr>
        <w:t>D10-D1</w:t>
      </w:r>
      <w:r>
        <w:rPr>
          <w:lang w:eastAsia="zh-CN"/>
        </w:rPr>
        <w:t>月均优势约为</w:t>
      </w:r>
      <w:r>
        <w:rPr>
          <w:lang w:eastAsia="zh-CN"/>
        </w:rPr>
        <w:t>+0.20</w:t>
      </w:r>
      <w:r>
        <w:rPr>
          <w:lang w:eastAsia="zh-CN"/>
        </w:rPr>
        <w:t>个百分点，月度胜率</w:t>
      </w:r>
      <w:r>
        <w:rPr>
          <w:lang w:eastAsia="zh-CN"/>
        </w:rPr>
        <w:t>52.63%</w:t>
      </w:r>
      <w:r>
        <w:rPr>
          <w:lang w:eastAsia="zh-CN"/>
        </w:rPr>
        <w:t>，简单</w:t>
      </w:r>
      <w:r>
        <w:rPr>
          <w:lang w:eastAsia="zh-CN"/>
        </w:rPr>
        <w:t>t</w:t>
      </w:r>
      <w:r>
        <w:rPr>
          <w:lang w:eastAsia="zh-CN"/>
        </w:rPr>
        <w:t>值约</w:t>
      </w:r>
      <w:r>
        <w:rPr>
          <w:lang w:eastAsia="zh-CN"/>
        </w:rPr>
        <w:t>0.94</w:t>
      </w:r>
      <w:r>
        <w:rPr>
          <w:lang w:eastAsia="zh-CN"/>
        </w:rPr>
        <w:t>；</w:t>
      </w:r>
      <w:r>
        <w:rPr>
          <w:lang w:eastAsia="zh-CN"/>
        </w:rPr>
        <w:t>Top20</w:t>
      </w:r>
      <w:r>
        <w:rPr>
          <w:lang w:eastAsia="zh-CN"/>
        </w:rPr>
        <w:t>净收益月均优势约</w:t>
      </w:r>
      <w:r>
        <w:rPr>
          <w:lang w:eastAsia="zh-CN"/>
        </w:rPr>
        <w:t>+0.09</w:t>
      </w:r>
      <w:r>
        <w:rPr>
          <w:lang w:eastAsia="zh-CN"/>
        </w:rPr>
        <w:t>个百分点，胜率</w:t>
      </w:r>
      <w:r>
        <w:rPr>
          <w:lang w:eastAsia="zh-CN"/>
        </w:rPr>
        <w:t>63.16%</w:t>
      </w:r>
      <w:r>
        <w:rPr>
          <w:lang w:eastAsia="zh-CN"/>
        </w:rPr>
        <w:t>，简单</w:t>
      </w:r>
      <w:r>
        <w:rPr>
          <w:lang w:eastAsia="zh-CN"/>
        </w:rPr>
        <w:t>t</w:t>
      </w:r>
      <w:r>
        <w:rPr>
          <w:lang w:eastAsia="zh-CN"/>
        </w:rPr>
        <w:t>值约</w:t>
      </w:r>
      <w:r>
        <w:rPr>
          <w:lang w:eastAsia="zh-CN"/>
        </w:rPr>
        <w:t>0.69</w:t>
      </w:r>
      <w:r>
        <w:rPr>
          <w:lang w:eastAsia="zh-CN"/>
        </w:rPr>
        <w:t>。该统计量未进行</w:t>
      </w:r>
      <w:r>
        <w:rPr>
          <w:lang w:eastAsia="zh-CN"/>
        </w:rPr>
        <w:t>HAC</w:t>
      </w:r>
      <w:r>
        <w:rPr>
          <w:lang w:eastAsia="zh-CN"/>
        </w:rPr>
        <w:t>调整，且样本较短，不能据此声称收益差具有传统统计显著性。</w:t>
      </w:r>
    </w:p>
    <w:p w14:paraId="53C29439" w14:textId="77777777" w:rsidR="000C64B6" w:rsidRDefault="00C246F1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金融逻辑、实施成本与风险提示</w:t>
      </w:r>
    </w:p>
    <w:p w14:paraId="6ABD3E20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结果整体符合多因子投资的金融逻辑，主要体现在以下方面：</w:t>
      </w:r>
    </w:p>
    <w:p w14:paraId="79052F48" w14:textId="77777777" w:rsidR="000C64B6" w:rsidRDefault="00C246F1">
      <w:pPr>
        <w:spacing w:after="50" w:line="300" w:lineRule="auto"/>
        <w:ind w:left="259" w:hanging="259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风格分散而非单因子冠军复制。原始</w:t>
      </w:r>
      <w:r>
        <w:rPr>
          <w:lang w:eastAsia="zh-CN"/>
        </w:rPr>
        <w:t>11</w:t>
      </w:r>
      <w:r>
        <w:rPr>
          <w:lang w:eastAsia="zh-CN"/>
        </w:rPr>
        <w:t>因子覆盖价值、质量、成长、低波、动量、资金行为、流动性和股东结构，固定</w:t>
      </w:r>
      <w:r>
        <w:rPr>
          <w:lang w:eastAsia="zh-CN"/>
        </w:rPr>
        <w:t>4</w:t>
      </w:r>
      <w:r>
        <w:rPr>
          <w:lang w:eastAsia="zh-CN"/>
        </w:rPr>
        <w:t>因子则集中在价值、红利、低波与资金流。</w:t>
      </w:r>
    </w:p>
    <w:p w14:paraId="56F3DF4E" w14:textId="77777777" w:rsidR="000C64B6" w:rsidRDefault="00C246F1">
      <w:pPr>
        <w:spacing w:after="50" w:line="300" w:lineRule="auto"/>
        <w:ind w:left="259" w:hanging="259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弱</w:t>
      </w:r>
      <w:r>
        <w:rPr>
          <w:lang w:eastAsia="zh-CN"/>
        </w:rPr>
        <w:t>RankIC</w:t>
      </w:r>
      <w:r>
        <w:rPr>
          <w:lang w:eastAsia="zh-CN"/>
        </w:rPr>
        <w:t>不等于零组合价值。因子可以通过覆盖不同股票、缓冲特定市场状态或改善尾部月份，对组合产生互补贡献。</w:t>
      </w:r>
    </w:p>
    <w:p w14:paraId="64CAA0CE" w14:textId="77777777" w:rsidR="000C64B6" w:rsidRDefault="00C246F1">
      <w:pPr>
        <w:spacing w:after="50" w:line="300" w:lineRule="auto"/>
        <w:ind w:left="259" w:hanging="259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高平均</w:t>
      </w:r>
      <w:r>
        <w:rPr>
          <w:lang w:eastAsia="zh-CN"/>
        </w:rPr>
        <w:t>RankIC</w:t>
      </w:r>
      <w:r>
        <w:rPr>
          <w:lang w:eastAsia="zh-CN"/>
        </w:rPr>
        <w:t>与负组合收益可以并存。固定</w:t>
      </w:r>
      <w:r>
        <w:rPr>
          <w:lang w:eastAsia="zh-CN"/>
        </w:rPr>
        <w:t>4</w:t>
      </w:r>
      <w:r>
        <w:rPr>
          <w:lang w:eastAsia="zh-CN"/>
        </w:rPr>
        <w:t>因子的</w:t>
      </w:r>
      <w:r>
        <w:rPr>
          <w:lang w:eastAsia="zh-CN"/>
        </w:rPr>
        <w:t>RankIC</w:t>
      </w:r>
      <w:r>
        <w:rPr>
          <w:lang w:eastAsia="zh-CN"/>
        </w:rPr>
        <w:t>波动更大，收益分层呈反向，且较低覆盖率改变了可交易横截面。</w:t>
      </w:r>
    </w:p>
    <w:p w14:paraId="4C87E723" w14:textId="77777777" w:rsidR="000C64B6" w:rsidRDefault="00C246F1">
      <w:pPr>
        <w:spacing w:after="50" w:line="300" w:lineRule="auto"/>
        <w:ind w:left="259" w:hanging="259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lang w:eastAsia="zh-CN"/>
        </w:rPr>
        <w:t>防御性与收益性存在权衡。固定</w:t>
      </w:r>
      <w:r>
        <w:rPr>
          <w:lang w:eastAsia="zh-CN"/>
        </w:rPr>
        <w:t>4</w:t>
      </w:r>
      <w:r>
        <w:rPr>
          <w:lang w:eastAsia="zh-CN"/>
        </w:rPr>
        <w:t>因子的</w:t>
      </w:r>
      <w:r>
        <w:rPr>
          <w:lang w:eastAsia="zh-CN"/>
        </w:rPr>
        <w:t>Top20</w:t>
      </w:r>
      <w:r>
        <w:rPr>
          <w:lang w:eastAsia="zh-CN"/>
        </w:rPr>
        <w:t>最大回撤更小；分组组合虽然提高收益，却使</w:t>
      </w:r>
      <w:r>
        <w:rPr>
          <w:lang w:eastAsia="zh-CN"/>
        </w:rPr>
        <w:t>D10</w:t>
      </w:r>
      <w:r>
        <w:rPr>
          <w:lang w:eastAsia="zh-CN"/>
        </w:rPr>
        <w:t>双腿换手和</w:t>
      </w:r>
      <w:r>
        <w:rPr>
          <w:lang w:eastAsia="zh-CN"/>
        </w:rPr>
        <w:t>Top20</w:t>
      </w:r>
      <w:r>
        <w:rPr>
          <w:lang w:eastAsia="zh-CN"/>
        </w:rPr>
        <w:t>月均换手分别约提高</w:t>
      </w:r>
      <w:r>
        <w:rPr>
          <w:lang w:eastAsia="zh-CN"/>
        </w:rPr>
        <w:t>27%</w:t>
      </w:r>
      <w:r>
        <w:rPr>
          <w:lang w:eastAsia="zh-CN"/>
        </w:rPr>
        <w:t>和</w:t>
      </w:r>
      <w:r>
        <w:rPr>
          <w:lang w:eastAsia="zh-CN"/>
        </w:rPr>
        <w:t>24%</w:t>
      </w:r>
      <w:r>
        <w:rPr>
          <w:lang w:eastAsia="zh-CN"/>
        </w:rPr>
        <w:t>，</w:t>
      </w:r>
      <w:r>
        <w:rPr>
          <w:lang w:eastAsia="zh-CN"/>
        </w:rPr>
        <w:t>Top20</w:t>
      </w:r>
      <w:r>
        <w:rPr>
          <w:lang w:eastAsia="zh-CN"/>
        </w:rPr>
        <w:t>最大回撤也略深。</w:t>
      </w:r>
    </w:p>
    <w:p w14:paraId="14BAFD90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经济属性分组的改善并不证明</w:t>
      </w:r>
      <w:r>
        <w:rPr>
          <w:lang w:eastAsia="zh-CN"/>
        </w:rPr>
        <w:t>“</w:t>
      </w:r>
      <w:r>
        <w:rPr>
          <w:lang w:eastAsia="zh-CN"/>
        </w:rPr>
        <w:t>八组权重</w:t>
      </w:r>
      <w:r>
        <w:rPr>
          <w:lang w:eastAsia="zh-CN"/>
        </w:rPr>
        <w:t>”</w:t>
      </w:r>
      <w:r>
        <w:rPr>
          <w:lang w:eastAsia="zh-CN"/>
        </w:rPr>
        <w:t>是结构性最优。它只证明，在本次预先冻结的规则和当前样本外窗口中，减少组内重复计票、提高独立经济属性预算具有合理效果。任何进一步删因子、调组权重或选择表现最佳子区间，都会重新引入样本外数据挖掘。</w:t>
      </w:r>
    </w:p>
    <w:p w14:paraId="649E3A9A" w14:textId="77777777" w:rsidR="000C64B6" w:rsidRDefault="00C246F1">
      <w:pPr>
        <w:pStyle w:val="1"/>
      </w:pPr>
      <w:r>
        <w:t xml:space="preserve">10. </w:t>
      </w:r>
      <w:proofErr w:type="spellStart"/>
      <w:r>
        <w:t>结论与组合决策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6408"/>
      </w:tblGrid>
      <w:tr w:rsidR="000C64B6" w14:paraId="41ED0A1C" w14:textId="77777777">
        <w:trPr>
          <w:tblHeader/>
          <w:jc w:val="center"/>
        </w:trPr>
        <w:tc>
          <w:tcPr>
            <w:tcW w:w="2952" w:type="dxa"/>
            <w:shd w:val="clear" w:color="auto" w:fill="F2F4F7"/>
            <w:vAlign w:val="center"/>
          </w:tcPr>
          <w:p w14:paraId="253B161D" w14:textId="77777777" w:rsidR="000C64B6" w:rsidRDefault="00C246F1">
            <w:pPr>
              <w:spacing w:after="0"/>
            </w:pPr>
            <w:proofErr w:type="spellStart"/>
            <w:r>
              <w:rPr>
                <w:b/>
                <w:sz w:val="18"/>
              </w:rPr>
              <w:t>决策问题</w:t>
            </w:r>
            <w:proofErr w:type="spellEnd"/>
          </w:p>
        </w:tc>
        <w:tc>
          <w:tcPr>
            <w:tcW w:w="6408" w:type="dxa"/>
            <w:shd w:val="clear" w:color="auto" w:fill="F2F4F7"/>
            <w:vAlign w:val="center"/>
          </w:tcPr>
          <w:p w14:paraId="66CC2D26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结论</w:t>
            </w:r>
            <w:proofErr w:type="spellEnd"/>
          </w:p>
        </w:tc>
      </w:tr>
      <w:tr w:rsidR="000C64B6" w14:paraId="537A4035" w14:textId="77777777">
        <w:trPr>
          <w:cantSplit/>
          <w:jc w:val="center"/>
        </w:trPr>
        <w:tc>
          <w:tcPr>
            <w:tcW w:w="2952" w:type="dxa"/>
            <w:vAlign w:val="center"/>
          </w:tcPr>
          <w:p w14:paraId="3DA99EF3" w14:textId="77777777" w:rsidR="000C64B6" w:rsidRDefault="00C246F1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1. </w:t>
            </w:r>
            <w:r>
              <w:rPr>
                <w:sz w:val="17"/>
                <w:lang w:eastAsia="zh-CN"/>
              </w:rPr>
              <w:t>哪些因子具有正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负边际贡献</w:t>
            </w:r>
          </w:p>
        </w:tc>
        <w:tc>
          <w:tcPr>
            <w:tcW w:w="6408" w:type="dxa"/>
            <w:vAlign w:val="center"/>
          </w:tcPr>
          <w:p w14:paraId="2F43B4C2" w14:textId="77777777" w:rsidR="000C64B6" w:rsidRDefault="00C246F1">
            <w:pPr>
              <w:spacing w:after="0"/>
              <w:jc w:val="center"/>
            </w:pPr>
            <w:r>
              <w:rPr>
                <w:sz w:val="17"/>
              </w:rPr>
              <w:t>Revenue_Growth</w:t>
            </w:r>
            <w:r>
              <w:rPr>
                <w:sz w:val="17"/>
              </w:rPr>
              <w:t>在</w:t>
            </w:r>
            <w:r>
              <w:rPr>
                <w:sz w:val="17"/>
              </w:rPr>
              <w:t>LOO</w:t>
            </w:r>
            <w:r>
              <w:rPr>
                <w:sz w:val="17"/>
              </w:rPr>
              <w:t>两个主要指标均稳定正向；其余因子多表现为指标依赖或基准依赖。</w:t>
            </w:r>
            <w:r>
              <w:rPr>
                <w:sz w:val="17"/>
              </w:rPr>
              <w:t>Dividend_Yield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>Volatility</w:t>
            </w:r>
            <w:r>
              <w:rPr>
                <w:sz w:val="17"/>
              </w:rPr>
              <w:t>在</w:t>
            </w:r>
            <w:r>
              <w:rPr>
                <w:sz w:val="17"/>
              </w:rPr>
              <w:t>LOO</w:t>
            </w:r>
            <w:r>
              <w:rPr>
                <w:sz w:val="17"/>
              </w:rPr>
              <w:t>两个主要指标均稳定负向，但不足以据此事后删除。</w:t>
            </w:r>
          </w:p>
        </w:tc>
      </w:tr>
      <w:tr w:rsidR="000C64B6" w14:paraId="3FFBB996" w14:textId="77777777">
        <w:trPr>
          <w:cantSplit/>
          <w:jc w:val="center"/>
        </w:trPr>
        <w:tc>
          <w:tcPr>
            <w:tcW w:w="2952" w:type="dxa"/>
            <w:vAlign w:val="center"/>
          </w:tcPr>
          <w:p w14:paraId="13FE00E8" w14:textId="77777777" w:rsidR="000C64B6" w:rsidRDefault="00C246F1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2. </w:t>
            </w:r>
            <w:r>
              <w:rPr>
                <w:sz w:val="17"/>
                <w:lang w:eastAsia="zh-CN"/>
              </w:rPr>
              <w:t>原始</w:t>
            </w:r>
            <w:r>
              <w:rPr>
                <w:sz w:val="17"/>
                <w:lang w:eastAsia="zh-CN"/>
              </w:rPr>
              <w:t>11</w:t>
            </w:r>
            <w:r>
              <w:rPr>
                <w:sz w:val="17"/>
                <w:lang w:eastAsia="zh-CN"/>
              </w:rPr>
              <w:t>因子为何优于固定</w:t>
            </w:r>
            <w:r>
              <w:rPr>
                <w:sz w:val="17"/>
                <w:lang w:eastAsia="zh-CN"/>
              </w:rPr>
              <w:t>4</w:t>
            </w:r>
            <w:r>
              <w:rPr>
                <w:sz w:val="17"/>
                <w:lang w:eastAsia="zh-CN"/>
              </w:rPr>
              <w:t>因子</w:t>
            </w:r>
          </w:p>
        </w:tc>
        <w:tc>
          <w:tcPr>
            <w:tcW w:w="6408" w:type="dxa"/>
            <w:vAlign w:val="center"/>
          </w:tcPr>
          <w:p w14:paraId="12757AFB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被筛除因子提供互补排序、风格分散与更高覆盖率；固定</w:t>
            </w:r>
            <w:r>
              <w:rPr>
                <w:sz w:val="17"/>
                <w:lang w:eastAsia="zh-CN"/>
              </w:rPr>
              <w:t>4</w:t>
            </w:r>
            <w:r>
              <w:rPr>
                <w:sz w:val="17"/>
                <w:lang w:eastAsia="zh-CN"/>
              </w:rPr>
              <w:t>因子过度集中，</w:t>
            </w:r>
            <w:proofErr w:type="spellStart"/>
            <w:r>
              <w:rPr>
                <w:sz w:val="17"/>
                <w:lang w:eastAsia="zh-CN"/>
              </w:rPr>
              <w:t>RankIC</w:t>
            </w:r>
            <w:proofErr w:type="spellEnd"/>
            <w:r>
              <w:rPr>
                <w:sz w:val="17"/>
                <w:lang w:eastAsia="zh-CN"/>
              </w:rPr>
              <w:t>虽高但分层、尾部月份和组合收益较弱。</w:t>
            </w:r>
          </w:p>
        </w:tc>
      </w:tr>
      <w:tr w:rsidR="000C64B6" w14:paraId="1BAE4EF3" w14:textId="77777777">
        <w:trPr>
          <w:cantSplit/>
          <w:jc w:val="center"/>
        </w:trPr>
        <w:tc>
          <w:tcPr>
            <w:tcW w:w="2952" w:type="dxa"/>
            <w:vAlign w:val="center"/>
          </w:tcPr>
          <w:p w14:paraId="370B977E" w14:textId="77777777" w:rsidR="000C64B6" w:rsidRDefault="00C246F1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3. </w:t>
            </w:r>
            <w:r>
              <w:rPr>
                <w:sz w:val="17"/>
                <w:lang w:eastAsia="zh-CN"/>
              </w:rPr>
              <w:t>分组是否同时改善主要指标</w:t>
            </w:r>
          </w:p>
        </w:tc>
        <w:tc>
          <w:tcPr>
            <w:tcW w:w="6408" w:type="dxa"/>
            <w:vAlign w:val="center"/>
          </w:tcPr>
          <w:p w14:paraId="52BF9B1B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是。全样本外</w:t>
            </w:r>
            <w:r>
              <w:rPr>
                <w:sz w:val="17"/>
                <w:lang w:eastAsia="zh-CN"/>
              </w:rPr>
              <w:t>D10-D1</w:t>
            </w:r>
            <w:r>
              <w:rPr>
                <w:sz w:val="17"/>
                <w:lang w:eastAsia="zh-CN"/>
              </w:rPr>
              <w:t>提高</w:t>
            </w:r>
            <w:r>
              <w:rPr>
                <w:sz w:val="17"/>
                <w:lang w:eastAsia="zh-CN"/>
              </w:rPr>
              <w:t>+2.76%</w:t>
            </w:r>
            <w:r>
              <w:rPr>
                <w:sz w:val="17"/>
                <w:lang w:eastAsia="zh-CN"/>
              </w:rPr>
              <w:t>，</w:t>
            </w:r>
            <w:r>
              <w:rPr>
                <w:sz w:val="17"/>
                <w:lang w:eastAsia="zh-CN"/>
              </w:rPr>
              <w:t>Top20</w:t>
            </w:r>
            <w:r>
              <w:rPr>
                <w:sz w:val="17"/>
                <w:lang w:eastAsia="zh-CN"/>
              </w:rPr>
              <w:t>年化超额提高</w:t>
            </w:r>
            <w:r>
              <w:rPr>
                <w:sz w:val="17"/>
                <w:lang w:eastAsia="zh-CN"/>
              </w:rPr>
              <w:t>+1.46%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0C64B6" w14:paraId="2C29EA04" w14:textId="77777777">
        <w:trPr>
          <w:cantSplit/>
          <w:jc w:val="center"/>
        </w:trPr>
        <w:tc>
          <w:tcPr>
            <w:tcW w:w="2952" w:type="dxa"/>
            <w:vAlign w:val="center"/>
          </w:tcPr>
          <w:p w14:paraId="09178896" w14:textId="77777777" w:rsidR="000C64B6" w:rsidRDefault="00C246F1">
            <w:pPr>
              <w:spacing w:after="0"/>
            </w:pPr>
            <w:r>
              <w:rPr>
                <w:sz w:val="17"/>
              </w:rPr>
              <w:t xml:space="preserve">4. </w:t>
            </w:r>
            <w:proofErr w:type="spellStart"/>
            <w:r>
              <w:rPr>
                <w:sz w:val="17"/>
              </w:rPr>
              <w:t>是否跨子区间稳定</w:t>
            </w:r>
            <w:proofErr w:type="spellEnd"/>
          </w:p>
        </w:tc>
        <w:tc>
          <w:tcPr>
            <w:tcW w:w="6408" w:type="dxa"/>
            <w:vAlign w:val="center"/>
          </w:tcPr>
          <w:p w14:paraId="66DFA0D5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D10-D1</w:t>
            </w:r>
            <w:r>
              <w:rPr>
                <w:sz w:val="17"/>
                <w:lang w:eastAsia="zh-CN"/>
              </w:rPr>
              <w:t>在三个子区间均改善；</w:t>
            </w:r>
            <w:r>
              <w:rPr>
                <w:sz w:val="17"/>
                <w:lang w:eastAsia="zh-CN"/>
              </w:rPr>
              <w:t>Top20</w:t>
            </w:r>
            <w:r>
              <w:rPr>
                <w:sz w:val="17"/>
                <w:lang w:eastAsia="zh-CN"/>
              </w:rPr>
              <w:t>在两个子区间改善、</w:t>
            </w:r>
            <w:r>
              <w:rPr>
                <w:sz w:val="17"/>
                <w:lang w:eastAsia="zh-CN"/>
              </w:rPr>
              <w:t>2025H1</w:t>
            </w:r>
            <w:r>
              <w:rPr>
                <w:sz w:val="17"/>
                <w:lang w:eastAsia="zh-CN"/>
              </w:rPr>
              <w:t>落后。按预设</w:t>
            </w:r>
            <w:r>
              <w:rPr>
                <w:sz w:val="17"/>
                <w:lang w:eastAsia="zh-CN"/>
              </w:rPr>
              <w:t>2/3</w:t>
            </w:r>
            <w:r>
              <w:rPr>
                <w:sz w:val="17"/>
                <w:lang w:eastAsia="zh-CN"/>
              </w:rPr>
              <w:t>规则稳定，但非全区间一致。</w:t>
            </w:r>
          </w:p>
        </w:tc>
      </w:tr>
      <w:tr w:rsidR="000C64B6" w14:paraId="4E4E82AC" w14:textId="77777777">
        <w:trPr>
          <w:cantSplit/>
          <w:jc w:val="center"/>
        </w:trPr>
        <w:tc>
          <w:tcPr>
            <w:tcW w:w="2952" w:type="dxa"/>
            <w:shd w:val="clear" w:color="auto" w:fill="FCE4D6"/>
            <w:vAlign w:val="center"/>
          </w:tcPr>
          <w:p w14:paraId="5F035EBD" w14:textId="77777777" w:rsidR="000C64B6" w:rsidRDefault="00C246F1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5. </w:t>
            </w:r>
            <w:r>
              <w:rPr>
                <w:sz w:val="17"/>
                <w:lang w:eastAsia="zh-CN"/>
              </w:rPr>
              <w:t>是否有充分证据替换</w:t>
            </w:r>
            <w:r>
              <w:rPr>
                <w:sz w:val="17"/>
                <w:lang w:eastAsia="zh-CN"/>
              </w:rPr>
              <w:t>11</w:t>
            </w:r>
            <w:r>
              <w:rPr>
                <w:sz w:val="17"/>
                <w:lang w:eastAsia="zh-CN"/>
              </w:rPr>
              <w:t>因子</w:t>
            </w:r>
          </w:p>
        </w:tc>
        <w:tc>
          <w:tcPr>
            <w:tcW w:w="6408" w:type="dxa"/>
            <w:shd w:val="clear" w:color="auto" w:fill="FCE4D6"/>
            <w:vAlign w:val="center"/>
          </w:tcPr>
          <w:p w14:paraId="1F5656D9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尚无。方向规则支持分组方案成为挑战者，但</w:t>
            </w:r>
            <w:r>
              <w:rPr>
                <w:sz w:val="17"/>
                <w:lang w:eastAsia="zh-CN"/>
              </w:rPr>
              <w:t>19</w:t>
            </w:r>
            <w:r>
              <w:rPr>
                <w:sz w:val="17"/>
                <w:lang w:eastAsia="zh-CN"/>
              </w:rPr>
              <w:t>个月样本、低配对</w:t>
            </w:r>
            <w:r>
              <w:rPr>
                <w:sz w:val="17"/>
                <w:lang w:eastAsia="zh-CN"/>
              </w:rPr>
              <w:t>t</w:t>
            </w:r>
            <w:r>
              <w:rPr>
                <w:sz w:val="17"/>
                <w:lang w:eastAsia="zh-CN"/>
              </w:rPr>
              <w:t>值、更高换手和略差</w:t>
            </w:r>
            <w:r>
              <w:rPr>
                <w:sz w:val="17"/>
                <w:lang w:eastAsia="zh-CN"/>
              </w:rPr>
              <w:t>Top20</w:t>
            </w:r>
            <w:r>
              <w:rPr>
                <w:sz w:val="17"/>
                <w:lang w:eastAsia="zh-CN"/>
              </w:rPr>
              <w:t>回撤不足以支持生产替换。</w:t>
            </w:r>
          </w:p>
        </w:tc>
      </w:tr>
    </w:tbl>
    <w:p w14:paraId="34F7D109" w14:textId="77777777" w:rsidR="000C64B6" w:rsidRDefault="000C64B6">
      <w:pPr>
        <w:rPr>
          <w:lang w:eastAsia="zh-CN"/>
        </w:rPr>
      </w:pPr>
    </w:p>
    <w:p w14:paraId="221B03DD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建议将原始</w:t>
      </w:r>
      <w:r>
        <w:rPr>
          <w:lang w:eastAsia="zh-CN"/>
        </w:rPr>
        <w:t>11</w:t>
      </w:r>
      <w:r>
        <w:rPr>
          <w:lang w:eastAsia="zh-CN"/>
        </w:rPr>
        <w:t>因子等权继续作为生产</w:t>
      </w:r>
      <w:r>
        <w:rPr>
          <w:lang w:eastAsia="zh-CN"/>
        </w:rPr>
        <w:t>/</w:t>
      </w:r>
      <w:r>
        <w:rPr>
          <w:lang w:eastAsia="zh-CN"/>
        </w:rPr>
        <w:t>研究基准，将本次预冻结分组方案命名并冻结为</w:t>
      </w:r>
      <w:r>
        <w:rPr>
          <w:lang w:eastAsia="zh-CN"/>
        </w:rPr>
        <w:t xml:space="preserve"> GroupBalanced11_v1</w:t>
      </w:r>
      <w:r>
        <w:rPr>
          <w:lang w:eastAsia="zh-CN"/>
        </w:rPr>
        <w:t>，保持全部</w:t>
      </w:r>
      <w:r>
        <w:rPr>
          <w:lang w:eastAsia="zh-CN"/>
        </w:rPr>
        <w:t>11</w:t>
      </w:r>
      <w:r>
        <w:rPr>
          <w:lang w:eastAsia="zh-CN"/>
        </w:rPr>
        <w:t>因子、组内等权和组间等权，不再依据当前样本外结果调整。后续只做前瞻验证，至少积累新的完整市场阶段，再依据预先写定的收益、回撤、换手和显著性门槛决定是否替换。</w:t>
      </w:r>
    </w:p>
    <w:p w14:paraId="016FF49B" w14:textId="77777777" w:rsidR="000C64B6" w:rsidRDefault="00C246F1">
      <w:pPr>
        <w:spacing w:after="80" w:line="324" w:lineRule="auto"/>
        <w:rPr>
          <w:lang w:eastAsia="zh-CN"/>
        </w:rPr>
      </w:pPr>
      <w:r>
        <w:rPr>
          <w:lang w:eastAsia="zh-CN"/>
        </w:rPr>
        <w:t>当前最稳健的结论不是</w:t>
      </w:r>
      <w:r>
        <w:rPr>
          <w:lang w:eastAsia="zh-CN"/>
        </w:rPr>
        <w:t>“</w:t>
      </w:r>
      <w:r>
        <w:rPr>
          <w:lang w:eastAsia="zh-CN"/>
        </w:rPr>
        <w:t>已经找到必然更强的组合</w:t>
      </w:r>
      <w:r>
        <w:rPr>
          <w:lang w:eastAsia="zh-CN"/>
        </w:rPr>
        <w:t>”</w:t>
      </w:r>
      <w:r>
        <w:rPr>
          <w:lang w:eastAsia="zh-CN"/>
        </w:rPr>
        <w:t>，而是</w:t>
      </w:r>
      <w:r>
        <w:rPr>
          <w:lang w:eastAsia="zh-CN"/>
        </w:rPr>
        <w:t>“</w:t>
      </w:r>
      <w:r>
        <w:rPr>
          <w:lang w:eastAsia="zh-CN"/>
        </w:rPr>
        <w:t>找到一个金融逻辑清晰、两个主要指标均占优、但尚需更长样本确认的候选组合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F077E14" w14:textId="77777777" w:rsidR="000C64B6" w:rsidRDefault="00C246F1">
      <w:pPr>
        <w:pStyle w:val="1"/>
        <w:rPr>
          <w:lang w:eastAsia="zh-CN"/>
        </w:rPr>
      </w:pPr>
      <w:r>
        <w:rPr>
          <w:lang w:eastAsia="zh-CN"/>
        </w:rPr>
        <w:t>附录：可复核产物与审计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0C64B6" w14:paraId="2E34836A" w14:textId="77777777">
        <w:trPr>
          <w:tblHeader/>
          <w:jc w:val="center"/>
        </w:trPr>
        <w:tc>
          <w:tcPr>
            <w:tcW w:w="3096" w:type="dxa"/>
            <w:shd w:val="clear" w:color="auto" w:fill="F2F4F7"/>
            <w:vAlign w:val="center"/>
          </w:tcPr>
          <w:p w14:paraId="1D7C9FB5" w14:textId="77777777" w:rsidR="000C64B6" w:rsidRDefault="00C246F1">
            <w:pPr>
              <w:spacing w:after="0"/>
            </w:pPr>
            <w:proofErr w:type="spellStart"/>
            <w:r>
              <w:rPr>
                <w:b/>
                <w:sz w:val="17"/>
              </w:rPr>
              <w:t>产物</w:t>
            </w:r>
            <w:proofErr w:type="spellEnd"/>
          </w:p>
        </w:tc>
        <w:tc>
          <w:tcPr>
            <w:tcW w:w="6264" w:type="dxa"/>
            <w:shd w:val="clear" w:color="auto" w:fill="F2F4F7"/>
            <w:vAlign w:val="center"/>
          </w:tcPr>
          <w:p w14:paraId="5107AAE9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用途</w:t>
            </w:r>
            <w:proofErr w:type="spellEnd"/>
          </w:p>
        </w:tc>
      </w:tr>
      <w:tr w:rsidR="000C64B6" w14:paraId="673FE3B5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2FA23A06" w14:textId="77777777" w:rsidR="000C64B6" w:rsidRDefault="00C246F1">
            <w:pPr>
              <w:spacing w:after="0"/>
            </w:pPr>
            <w:r>
              <w:rPr>
                <w:sz w:val="16"/>
              </w:rPr>
              <w:t>leave_one_out_summary.csv</w:t>
            </w:r>
          </w:p>
        </w:tc>
        <w:tc>
          <w:tcPr>
            <w:tcW w:w="6264" w:type="dxa"/>
            <w:vAlign w:val="center"/>
          </w:tcPr>
          <w:p w14:paraId="7D98BAB6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11</w:t>
            </w:r>
            <w:r>
              <w:rPr>
                <w:sz w:val="16"/>
                <w:lang w:eastAsia="zh-CN"/>
              </w:rPr>
              <w:t>个因子相对原始组合的全样本外边际贡献</w:t>
            </w:r>
          </w:p>
        </w:tc>
      </w:tr>
      <w:tr w:rsidR="000C64B6" w14:paraId="42988DEA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190F7FE2" w14:textId="77777777" w:rsidR="000C64B6" w:rsidRDefault="00C246F1">
            <w:pPr>
              <w:spacing w:after="0"/>
            </w:pPr>
            <w:r>
              <w:rPr>
                <w:sz w:val="16"/>
              </w:rPr>
              <w:t>add_one_back_summary.csv</w:t>
            </w:r>
          </w:p>
        </w:tc>
        <w:tc>
          <w:tcPr>
            <w:tcW w:w="6264" w:type="dxa"/>
            <w:vAlign w:val="center"/>
          </w:tcPr>
          <w:p w14:paraId="02A9AE83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个被筛除因子相对固定</w:t>
            </w: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因子的修复贡献</w:t>
            </w:r>
          </w:p>
        </w:tc>
      </w:tr>
      <w:tr w:rsidR="000C64B6" w14:paraId="3B969B16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718917EF" w14:textId="77777777" w:rsidR="000C64B6" w:rsidRDefault="00C246F1">
            <w:pPr>
              <w:spacing w:after="0"/>
            </w:pPr>
            <w:r>
              <w:rPr>
                <w:sz w:val="16"/>
              </w:rPr>
              <w:t>monthly_marginal_contribution.csv</w:t>
            </w:r>
          </w:p>
        </w:tc>
        <w:tc>
          <w:tcPr>
            <w:tcW w:w="6264" w:type="dxa"/>
            <w:vAlign w:val="center"/>
          </w:tcPr>
          <w:p w14:paraId="33681912" w14:textId="77777777" w:rsidR="000C64B6" w:rsidRDefault="00C246F1">
            <w:pPr>
              <w:spacing w:after="0"/>
              <w:jc w:val="center"/>
            </w:pPr>
            <w:proofErr w:type="spellStart"/>
            <w:r>
              <w:rPr>
                <w:sz w:val="16"/>
              </w:rPr>
              <w:t>逐月边际贡献明细</w:t>
            </w:r>
            <w:proofErr w:type="spellEnd"/>
          </w:p>
        </w:tc>
      </w:tr>
      <w:tr w:rsidR="000C64B6" w14:paraId="281AD977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1BC862C7" w14:textId="77777777" w:rsidR="000C64B6" w:rsidRDefault="00C246F1">
            <w:pPr>
              <w:spacing w:after="0"/>
            </w:pPr>
            <w:r>
              <w:rPr>
                <w:sz w:val="16"/>
              </w:rPr>
              <w:t>period_marginal_contribution.csv</w:t>
            </w:r>
          </w:p>
        </w:tc>
        <w:tc>
          <w:tcPr>
            <w:tcW w:w="6264" w:type="dxa"/>
            <w:vAlign w:val="center"/>
          </w:tcPr>
          <w:p w14:paraId="71822037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2025H1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2025H2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2026YTD</w:t>
            </w:r>
            <w:r>
              <w:rPr>
                <w:sz w:val="16"/>
              </w:rPr>
              <w:t>分期结果</w:t>
            </w:r>
          </w:p>
        </w:tc>
      </w:tr>
      <w:tr w:rsidR="000C64B6" w14:paraId="213D8DBF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29156AE5" w14:textId="77777777" w:rsidR="000C64B6" w:rsidRDefault="00C246F1">
            <w:pPr>
              <w:spacing w:after="0"/>
            </w:pPr>
            <w:r>
              <w:rPr>
                <w:sz w:val="16"/>
              </w:rPr>
              <w:lastRenderedPageBreak/>
              <w:t>factor_group_definition.csv</w:t>
            </w:r>
          </w:p>
        </w:tc>
        <w:tc>
          <w:tcPr>
            <w:tcW w:w="6264" w:type="dxa"/>
            <w:vAlign w:val="center"/>
          </w:tcPr>
          <w:p w14:paraId="35B2A3AA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预冻结经济属性分组与有效权重</w:t>
            </w:r>
          </w:p>
        </w:tc>
      </w:tr>
      <w:tr w:rsidR="000C64B6" w14:paraId="0348A11C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51739BD2" w14:textId="77777777" w:rsidR="000C64B6" w:rsidRDefault="00C246F1">
            <w:pPr>
              <w:spacing w:after="0"/>
            </w:pPr>
            <w:r>
              <w:rPr>
                <w:sz w:val="16"/>
              </w:rPr>
              <w:t>group_correlation_matrix.csv</w:t>
            </w:r>
          </w:p>
        </w:tc>
        <w:tc>
          <w:tcPr>
            <w:tcW w:w="6264" w:type="dxa"/>
            <w:vAlign w:val="center"/>
          </w:tcPr>
          <w:p w14:paraId="5B2DB369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训练期组间月均截面相关性</w:t>
            </w:r>
          </w:p>
        </w:tc>
      </w:tr>
      <w:tr w:rsidR="000C64B6" w14:paraId="0A567EAE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14595A1C" w14:textId="77777777" w:rsidR="000C64B6" w:rsidRDefault="00C246F1">
            <w:pPr>
              <w:spacing w:after="0"/>
            </w:pPr>
            <w:r>
              <w:rPr>
                <w:sz w:val="16"/>
              </w:rPr>
              <w:t>grouped_composite_metrics.csv</w:t>
            </w:r>
          </w:p>
        </w:tc>
        <w:tc>
          <w:tcPr>
            <w:tcW w:w="6264" w:type="dxa"/>
            <w:vAlign w:val="center"/>
          </w:tcPr>
          <w:p w14:paraId="42E29AB9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三个核心组合的全期和分期指标</w:t>
            </w:r>
          </w:p>
        </w:tc>
      </w:tr>
      <w:tr w:rsidR="000C64B6" w14:paraId="425C9399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33469A06" w14:textId="77777777" w:rsidR="000C64B6" w:rsidRDefault="00C246F1">
            <w:pPr>
              <w:spacing w:after="0"/>
            </w:pPr>
            <w:r>
              <w:rPr>
                <w:sz w:val="16"/>
              </w:rPr>
              <w:t>grouped_layer_returns.csv</w:t>
            </w:r>
          </w:p>
        </w:tc>
        <w:tc>
          <w:tcPr>
            <w:tcW w:w="6264" w:type="dxa"/>
            <w:vAlign w:val="center"/>
          </w:tcPr>
          <w:p w14:paraId="368FB697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十分组持有期收益明细</w:t>
            </w:r>
          </w:p>
        </w:tc>
      </w:tr>
      <w:tr w:rsidR="000C64B6" w14:paraId="4BB7F95D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74973F21" w14:textId="77777777" w:rsidR="000C64B6" w:rsidRDefault="00C246F1">
            <w:pPr>
              <w:spacing w:after="0"/>
            </w:pPr>
            <w:r>
              <w:rPr>
                <w:sz w:val="16"/>
              </w:rPr>
              <w:t>grouped_top20_returns.csv</w:t>
            </w:r>
          </w:p>
        </w:tc>
        <w:tc>
          <w:tcPr>
            <w:tcW w:w="6264" w:type="dxa"/>
            <w:vAlign w:val="center"/>
          </w:tcPr>
          <w:p w14:paraId="695DBA10" w14:textId="77777777" w:rsidR="000C64B6" w:rsidRDefault="00C246F1">
            <w:pPr>
              <w:spacing w:after="0"/>
              <w:jc w:val="center"/>
            </w:pPr>
            <w:r>
              <w:rPr>
                <w:sz w:val="16"/>
              </w:rPr>
              <w:t>Top20</w:t>
            </w:r>
            <w:r>
              <w:rPr>
                <w:sz w:val="16"/>
              </w:rPr>
              <w:t>日频净收益与基准收益</w:t>
            </w:r>
          </w:p>
        </w:tc>
      </w:tr>
      <w:tr w:rsidR="000C64B6" w14:paraId="6131D767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6BE640CB" w14:textId="77777777" w:rsidR="000C64B6" w:rsidRDefault="00C246F1">
            <w:pPr>
              <w:spacing w:after="0"/>
            </w:pPr>
            <w:r>
              <w:rPr>
                <w:sz w:val="16"/>
              </w:rPr>
              <w:t>protected_file_audit.csv</w:t>
            </w:r>
          </w:p>
        </w:tc>
        <w:tc>
          <w:tcPr>
            <w:tcW w:w="6264" w:type="dxa"/>
            <w:vAlign w:val="center"/>
          </w:tcPr>
          <w:p w14:paraId="7B50AE0B" w14:textId="77777777" w:rsidR="000C64B6" w:rsidRDefault="00C246F1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数据库、旧代码与旧输出的纳秒级时间戳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大小审计</w:t>
            </w:r>
          </w:p>
        </w:tc>
      </w:tr>
    </w:tbl>
    <w:p w14:paraId="50216A8D" w14:textId="77777777" w:rsidR="000C64B6" w:rsidRDefault="000C64B6">
      <w:pPr>
        <w:rPr>
          <w:lang w:eastAsia="zh-CN"/>
        </w:rPr>
      </w:pPr>
    </w:p>
    <w:p w14:paraId="2D69BD83" w14:textId="7698B2E5" w:rsidR="000C64B6" w:rsidRDefault="00C246F1" w:rsidP="00591FFC">
      <w:pPr>
        <w:spacing w:after="80" w:line="324" w:lineRule="auto"/>
        <w:rPr>
          <w:lang w:eastAsia="zh-CN"/>
        </w:rPr>
      </w:pPr>
      <w:r>
        <w:t>完整运行共生成</w:t>
      </w:r>
      <w:r>
        <w:t>21</w:t>
      </w:r>
      <w:r>
        <w:t>个策略（</w:t>
      </w:r>
      <w:r>
        <w:t>11</w:t>
      </w:r>
      <w:r>
        <w:t>个</w:t>
      </w:r>
      <w:r>
        <w:t>Leave-one-out</w:t>
      </w:r>
      <w:r>
        <w:t>、</w:t>
      </w:r>
      <w:r>
        <w:t>7</w:t>
      </w:r>
      <w:r>
        <w:t>个</w:t>
      </w:r>
      <w:r>
        <w:t>Add-one-back</w:t>
      </w:r>
      <w:r>
        <w:t>及</w:t>
      </w:r>
      <w:r>
        <w:t>3</w:t>
      </w:r>
      <w:r>
        <w:t>个核心组合）。数据库连接模式为</w:t>
      </w:r>
      <w:r>
        <w:t>read_only</w:t>
      </w:r>
      <w:r>
        <w:t>；受保护文件审计覆盖</w:t>
      </w:r>
      <w:r>
        <w:t>17,169</w:t>
      </w:r>
      <w:r>
        <w:t>个文件且全部未变。测试与编译验证已通过。</w:t>
      </w:r>
    </w:p>
    <w:sectPr w:rsidR="000C64B6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1A311" w14:textId="77777777" w:rsidR="004E6398" w:rsidRDefault="004E6398">
      <w:pPr>
        <w:spacing w:after="0" w:line="240" w:lineRule="auto"/>
      </w:pPr>
      <w:r>
        <w:separator/>
      </w:r>
    </w:p>
  </w:endnote>
  <w:endnote w:type="continuationSeparator" w:id="0">
    <w:p w14:paraId="378DDE17" w14:textId="77777777" w:rsidR="004E6398" w:rsidRDefault="004E6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634EB" w14:textId="77777777" w:rsidR="00515B7F" w:rsidRDefault="00515B7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2097F" w14:textId="77777777" w:rsidR="000C7692" w:rsidRDefault="00C246F1">
    <w:pPr>
      <w:pStyle w:val="a7"/>
      <w:spacing w:line="264" w:lineRule="auto"/>
      <w:jc w:val="right"/>
    </w:pPr>
    <w:proofErr w:type="spellStart"/>
    <w:r>
      <w:rPr>
        <w:color w:val="5A5A5A"/>
        <w:sz w:val="16"/>
      </w:rPr>
      <w:t>share_quant</w:t>
    </w:r>
    <w:proofErr w:type="spellEnd"/>
    <w:r>
      <w:rPr>
        <w:color w:val="5A5A5A"/>
        <w:sz w:val="16"/>
      </w:rPr>
      <w:t xml:space="preserve"> </w:t>
    </w:r>
    <w:proofErr w:type="gramStart"/>
    <w:r>
      <w:rPr>
        <w:color w:val="5A5A5A"/>
        <w:sz w:val="16"/>
      </w:rPr>
      <w:t>research  |</w:t>
    </w:r>
    <w:proofErr w:type="gramEnd"/>
    <w:r>
      <w:rPr>
        <w:color w:val="5A5A5A"/>
        <w:sz w:val="16"/>
      </w:rPr>
      <w:t xml:space="preserve">  </w:t>
    </w:r>
    <w:r>
      <w:rPr>
        <w:color w:val="5A5A5A"/>
        <w:sz w:val="16"/>
      </w:rPr>
      <w:fldChar w:fldCharType="begin"/>
    </w:r>
    <w:r>
      <w:rPr>
        <w:color w:val="5A5A5A"/>
        <w:sz w:val="16"/>
      </w:rPr>
      <w:instrText>PAGE</w:instrText>
    </w:r>
    <w:r>
      <w:rPr>
        <w:color w:val="5A5A5A"/>
        <w:sz w:val="16"/>
      </w:rPr>
      <w:fldChar w:fldCharType="separate"/>
    </w:r>
    <w:r w:rsidR="00515B7F">
      <w:rPr>
        <w:noProof/>
        <w:color w:val="5A5A5A"/>
        <w:sz w:val="16"/>
      </w:rPr>
      <w:t>1</w:t>
    </w:r>
    <w:r>
      <w:rPr>
        <w:color w:val="5A5A5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3A9C8" w14:textId="77777777" w:rsidR="00515B7F" w:rsidRDefault="00515B7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9BC36" w14:textId="77777777" w:rsidR="004E6398" w:rsidRDefault="004E6398">
      <w:pPr>
        <w:spacing w:after="0" w:line="240" w:lineRule="auto"/>
      </w:pPr>
      <w:r>
        <w:separator/>
      </w:r>
    </w:p>
  </w:footnote>
  <w:footnote w:type="continuationSeparator" w:id="0">
    <w:p w14:paraId="1E979F00" w14:textId="77777777" w:rsidR="004E6398" w:rsidRDefault="004E6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D1F41" w14:textId="77777777" w:rsidR="00515B7F" w:rsidRDefault="00515B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25D15" w14:textId="77777777" w:rsidR="000C7692" w:rsidRDefault="00C246F1">
    <w:pPr>
      <w:pStyle w:val="a5"/>
      <w:spacing w:line="264" w:lineRule="auto"/>
      <w:jc w:val="right"/>
      <w:rPr>
        <w:lang w:eastAsia="zh-CN"/>
      </w:rPr>
    </w:pPr>
    <w:r>
      <w:rPr>
        <w:color w:val="5A5A5A"/>
        <w:sz w:val="17"/>
        <w:lang w:eastAsia="zh-CN"/>
      </w:rPr>
      <w:t>多因子边际贡献与经济属性分组研究报告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04793" w14:textId="77777777" w:rsidR="00515B7F" w:rsidRDefault="00515B7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865175">
    <w:abstractNumId w:val="8"/>
  </w:num>
  <w:num w:numId="2" w16cid:durableId="143815026">
    <w:abstractNumId w:val="6"/>
  </w:num>
  <w:num w:numId="3" w16cid:durableId="409083830">
    <w:abstractNumId w:val="5"/>
  </w:num>
  <w:num w:numId="4" w16cid:durableId="1485778600">
    <w:abstractNumId w:val="4"/>
  </w:num>
  <w:num w:numId="5" w16cid:durableId="635523179">
    <w:abstractNumId w:val="7"/>
  </w:num>
  <w:num w:numId="6" w16cid:durableId="1683317777">
    <w:abstractNumId w:val="3"/>
  </w:num>
  <w:num w:numId="7" w16cid:durableId="777602143">
    <w:abstractNumId w:val="2"/>
  </w:num>
  <w:num w:numId="8" w16cid:durableId="1887062885">
    <w:abstractNumId w:val="1"/>
  </w:num>
  <w:num w:numId="9" w16cid:durableId="54035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4B6"/>
    <w:rsid w:val="000C7692"/>
    <w:rsid w:val="0015074B"/>
    <w:rsid w:val="0029639D"/>
    <w:rsid w:val="00326F90"/>
    <w:rsid w:val="003E6DF6"/>
    <w:rsid w:val="004E6398"/>
    <w:rsid w:val="00515B7F"/>
    <w:rsid w:val="00591FFC"/>
    <w:rsid w:val="00721EB1"/>
    <w:rsid w:val="008E64BF"/>
    <w:rsid w:val="00AA1D8D"/>
    <w:rsid w:val="00B47730"/>
    <w:rsid w:val="00C246F1"/>
    <w:rsid w:val="00CB0664"/>
    <w:rsid w:val="00F27762"/>
    <w:rsid w:val="00F614CE"/>
    <w:rsid w:val="00FC693F"/>
    <w:rsid w:val="00FD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4C7496"/>
  <w14:defaultImageDpi w14:val="300"/>
  <w15:docId w15:val="{7A2B2F0A-985D-478B-9F8A-6063F3A8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1E1E1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A股多因子合成与分层回测研究</dc:title>
  <dc:subject>多因子研究报告</dc:subject>
  <dc:creator>share_quant research</dc:creator>
  <cp:keywords/>
  <dc:description>generated by python-docx</dc:description>
  <cp:lastModifiedBy>1393115594@qq.com</cp:lastModifiedBy>
  <cp:revision>5</cp:revision>
  <dcterms:created xsi:type="dcterms:W3CDTF">2013-12-23T23:15:00Z</dcterms:created>
  <dcterms:modified xsi:type="dcterms:W3CDTF">2026-07-19T12:32:00Z</dcterms:modified>
  <cp:category/>
</cp:coreProperties>
</file>