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GroupBalanced11_v1 全历史严格验证</w:t>
      </w:r>
    </w:p>
    <w:p>
      <w:pPr>
        <w:pStyle w:val="Heading1"/>
      </w:pPr>
      <w:r>
        <w:t>结论</w:t>
      </w:r>
    </w:p>
    <w:p>
      <w:r>
        <w:rPr>
          <w:b/>
          <w:sz w:val="32"/>
        </w:rPr>
        <w:t>不优于基准</w:t>
      </w:r>
    </w:p>
    <w:p>
      <w:r>
        <w:t>评价期 20160201 至 20260720；完整年度需至少 6 年胜出。</w:t>
      </w:r>
    </w:p>
    <w:p>
      <w:r>
        <w:t>本结论属于历史回测证据，不等同于方案冻结后的前瞻样本外验证。</w:t>
      </w:r>
    </w:p>
    <w:p>
      <w:pPr>
        <w:pStyle w:val="Heading1"/>
      </w:pPr>
      <w:r>
        <w:t>全期三方案比较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方案</w:t>
            </w:r>
          </w:p>
        </w:tc>
        <w:tc>
          <w:tcPr>
            <w:tcW w:type="dxa" w:w="1234"/>
          </w:tcPr>
          <w:p>
            <w:r>
              <w:t>D10-D1年化</w:t>
            </w:r>
          </w:p>
        </w:tc>
        <w:tc>
          <w:tcPr>
            <w:tcW w:type="dxa" w:w="1234"/>
          </w:tcPr>
          <w:p>
            <w:r>
              <w:t>Top20超额</w:t>
            </w:r>
          </w:p>
        </w:tc>
        <w:tc>
          <w:tcPr>
            <w:tcW w:type="dxa" w:w="1234"/>
          </w:tcPr>
          <w:p>
            <w:r>
              <w:t>D10回撤</w:t>
            </w:r>
          </w:p>
        </w:tc>
        <w:tc>
          <w:tcPr>
            <w:tcW w:type="dxa" w:w="1234"/>
          </w:tcPr>
          <w:p>
            <w:r>
              <w:t>Top20回撤</w:t>
            </w:r>
          </w:p>
        </w:tc>
        <w:tc>
          <w:tcPr>
            <w:tcW w:type="dxa" w:w="1234"/>
          </w:tcPr>
          <w:p>
            <w:r>
              <w:t>D10换手</w:t>
            </w:r>
          </w:p>
        </w:tc>
        <w:tc>
          <w:tcPr>
            <w:tcW w:type="dxa" w:w="1234"/>
          </w:tcPr>
          <w:p>
            <w:r>
              <w:t>Top20换手</w:t>
            </w:r>
          </w:p>
        </w:tc>
      </w:tr>
      <w:tr>
        <w:tc>
          <w:tcPr>
            <w:tcW w:type="dxa" w:w="1234"/>
          </w:tcPr>
          <w:p>
            <w:r>
              <w:t>Fixed4_Equal</w:t>
            </w:r>
          </w:p>
        </w:tc>
        <w:tc>
          <w:tcPr>
            <w:tcW w:type="dxa" w:w="1234"/>
          </w:tcPr>
          <w:p>
            <w:r>
              <w:t>11.89%</w:t>
            </w:r>
          </w:p>
        </w:tc>
        <w:tc>
          <w:tcPr>
            <w:tcW w:type="dxa" w:w="1234"/>
          </w:tcPr>
          <w:p>
            <w:r>
              <w:t>7.53%</w:t>
            </w:r>
          </w:p>
        </w:tc>
        <w:tc>
          <w:tcPr>
            <w:tcW w:type="dxa" w:w="1234"/>
          </w:tcPr>
          <w:p>
            <w:r>
              <w:t>-28.32%</w:t>
            </w:r>
          </w:p>
        </w:tc>
        <w:tc>
          <w:tcPr>
            <w:tcW w:type="dxa" w:w="1234"/>
          </w:tcPr>
          <w:p>
            <w:r>
              <w:t>-39.25%</w:t>
            </w:r>
          </w:p>
        </w:tc>
        <w:tc>
          <w:tcPr>
            <w:tcW w:type="dxa" w:w="1234"/>
          </w:tcPr>
          <w:p>
            <w:r>
              <w:t>79.58%</w:t>
            </w:r>
          </w:p>
        </w:tc>
        <w:tc>
          <w:tcPr>
            <w:tcW w:type="dxa" w:w="1234"/>
          </w:tcPr>
          <w:p>
            <w:r>
              <w:t>30.90%</w:t>
            </w:r>
          </w:p>
        </w:tc>
      </w:tr>
      <w:tr>
        <w:tc>
          <w:tcPr>
            <w:tcW w:type="dxa" w:w="1234"/>
          </w:tcPr>
          <w:p>
            <w:r>
              <w:t>Full11_Equal</w:t>
            </w:r>
          </w:p>
        </w:tc>
        <w:tc>
          <w:tcPr>
            <w:tcW w:type="dxa" w:w="1234"/>
          </w:tcPr>
          <w:p>
            <w:r>
              <w:t>5.89%</w:t>
            </w:r>
          </w:p>
        </w:tc>
        <w:tc>
          <w:tcPr>
            <w:tcW w:type="dxa" w:w="1234"/>
          </w:tcPr>
          <w:p>
            <w:r>
              <w:t>4.44%</w:t>
            </w:r>
          </w:p>
        </w:tc>
        <w:tc>
          <w:tcPr>
            <w:tcW w:type="dxa" w:w="1234"/>
          </w:tcPr>
          <w:p>
            <w:r>
              <w:t>-35.91%</w:t>
            </w:r>
          </w:p>
        </w:tc>
        <w:tc>
          <w:tcPr>
            <w:tcW w:type="dxa" w:w="1234"/>
          </w:tcPr>
          <w:p>
            <w:r>
              <w:t>-43.02%</w:t>
            </w:r>
          </w:p>
        </w:tc>
        <w:tc>
          <w:tcPr>
            <w:tcW w:type="dxa" w:w="1234"/>
          </w:tcPr>
          <w:p>
            <w:r>
              <w:t>70.11%</w:t>
            </w:r>
          </w:p>
        </w:tc>
        <w:tc>
          <w:tcPr>
            <w:tcW w:type="dxa" w:w="1234"/>
          </w:tcPr>
          <w:p>
            <w:r>
              <w:t>30.10%</w:t>
            </w:r>
          </w:p>
        </w:tc>
      </w:tr>
      <w:tr>
        <w:tc>
          <w:tcPr>
            <w:tcW w:type="dxa" w:w="1234"/>
          </w:tcPr>
          <w:p>
            <w:r>
              <w:t>GroupBalanced11_v1</w:t>
            </w:r>
          </w:p>
        </w:tc>
        <w:tc>
          <w:tcPr>
            <w:tcW w:type="dxa" w:w="1234"/>
          </w:tcPr>
          <w:p>
            <w:r>
              <w:t>-0.42%</w:t>
            </w:r>
          </w:p>
        </w:tc>
        <w:tc>
          <w:tcPr>
            <w:tcW w:type="dxa" w:w="1234"/>
          </w:tcPr>
          <w:p>
            <w:r>
              <w:t>2.01%</w:t>
            </w:r>
          </w:p>
        </w:tc>
        <w:tc>
          <w:tcPr>
            <w:tcW w:type="dxa" w:w="1234"/>
          </w:tcPr>
          <w:p>
            <w:r>
              <w:t>-45.33%</w:t>
            </w:r>
          </w:p>
        </w:tc>
        <w:tc>
          <w:tcPr>
            <w:tcW w:type="dxa" w:w="1234"/>
          </w:tcPr>
          <w:p>
            <w:r>
              <w:t>-46.47%</w:t>
            </w:r>
          </w:p>
        </w:tc>
        <w:tc>
          <w:tcPr>
            <w:tcW w:type="dxa" w:w="1234"/>
          </w:tcPr>
          <w:p>
            <w:r>
              <w:t>86.06%</w:t>
            </w:r>
          </w:p>
        </w:tc>
        <w:tc>
          <w:tcPr>
            <w:tcW w:type="dxa" w:w="1234"/>
          </w:tcPr>
          <w:p>
            <w:r>
              <w:t>36.89%</w:t>
            </w:r>
          </w:p>
        </w:tc>
      </w:tr>
    </w:tbl>
    <w:p>
      <w:pPr>
        <w:pStyle w:val="Heading1"/>
      </w:pPr>
      <w:r>
        <w:t>完整年度稳定性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challenger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delta</w:t>
            </w:r>
          </w:p>
        </w:tc>
        <w:tc>
          <w:tcPr>
            <w:tcW w:type="dxa" w:w="1440"/>
          </w:tcPr>
          <w:p>
            <w:r>
              <w:t>challenger_wins</w:t>
            </w:r>
          </w:p>
        </w:tc>
      </w:tr>
      <w:tr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8.81%</w:t>
            </w:r>
          </w:p>
        </w:tc>
        <w:tc>
          <w:tcPr>
            <w:tcW w:type="dxa" w:w="1440"/>
          </w:tcPr>
          <w:p>
            <w:r>
              <w:t>28.29%</w:t>
            </w:r>
          </w:p>
        </w:tc>
        <w:tc>
          <w:tcPr>
            <w:tcW w:type="dxa" w:w="1440"/>
          </w:tcPr>
          <w:p>
            <w:r>
              <w:t>-19.48%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-12.73%</w:t>
            </w:r>
          </w:p>
        </w:tc>
        <w:tc>
          <w:tcPr>
            <w:tcW w:type="dxa" w:w="1440"/>
          </w:tcPr>
          <w:p>
            <w:r>
              <w:t>-9.10%</w:t>
            </w:r>
          </w:p>
        </w:tc>
        <w:tc>
          <w:tcPr>
            <w:tcW w:type="dxa" w:w="1440"/>
          </w:tcPr>
          <w:p>
            <w:r>
              <w:t>-3.63%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-3.49%</w:t>
            </w:r>
          </w:p>
        </w:tc>
        <w:tc>
          <w:tcPr>
            <w:tcW w:type="dxa" w:w="1440"/>
          </w:tcPr>
          <w:p>
            <w:r>
              <w:t>4.85%</w:t>
            </w:r>
          </w:p>
        </w:tc>
        <w:tc>
          <w:tcPr>
            <w:tcW w:type="dxa" w:w="1440"/>
          </w:tcPr>
          <w:p>
            <w:r>
              <w:t>-8.33%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-0.18%</w:t>
            </w:r>
          </w:p>
        </w:tc>
        <w:tc>
          <w:tcPr>
            <w:tcW w:type="dxa" w:w="1440"/>
          </w:tcPr>
          <w:p>
            <w:r>
              <w:t>2.44%</w:t>
            </w:r>
          </w:p>
        </w:tc>
        <w:tc>
          <w:tcPr>
            <w:tcW w:type="dxa" w:w="1440"/>
          </w:tcPr>
          <w:p>
            <w:r>
              <w:t>-2.62%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-0.90%</w:t>
            </w:r>
          </w:p>
        </w:tc>
        <w:tc>
          <w:tcPr>
            <w:tcW w:type="dxa" w:w="1440"/>
          </w:tcPr>
          <w:p>
            <w:r>
              <w:t>4.45%</w:t>
            </w:r>
          </w:p>
        </w:tc>
        <w:tc>
          <w:tcPr>
            <w:tcW w:type="dxa" w:w="1440"/>
          </w:tcPr>
          <w:p>
            <w:r>
              <w:t>-5.35%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-7.33%</w:t>
            </w:r>
          </w:p>
        </w:tc>
        <w:tc>
          <w:tcPr>
            <w:tcW w:type="dxa" w:w="1440"/>
          </w:tcPr>
          <w:p>
            <w:r>
              <w:t>-6.47%</w:t>
            </w:r>
          </w:p>
        </w:tc>
        <w:tc>
          <w:tcPr>
            <w:tcW w:type="dxa" w:w="1440"/>
          </w:tcPr>
          <w:p>
            <w:r>
              <w:t>-0.85%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18.79%</w:t>
            </w:r>
          </w:p>
        </w:tc>
        <w:tc>
          <w:tcPr>
            <w:tcW w:type="dxa" w:w="1440"/>
          </w:tcPr>
          <w:p>
            <w:r>
              <w:t>24.06%</w:t>
            </w:r>
          </w:p>
        </w:tc>
        <w:tc>
          <w:tcPr>
            <w:tcW w:type="dxa" w:w="1440"/>
          </w:tcPr>
          <w:p>
            <w:r>
              <w:t>-5.27%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-2.97%</w:t>
            </w:r>
          </w:p>
        </w:tc>
        <w:tc>
          <w:tcPr>
            <w:tcW w:type="dxa" w:w="1440"/>
          </w:tcPr>
          <w:p>
            <w:r>
              <w:t>-4.08%</w:t>
            </w:r>
          </w:p>
        </w:tc>
        <w:tc>
          <w:tcPr>
            <w:tcW w:type="dxa" w:w="1440"/>
          </w:tcPr>
          <w:p>
            <w:r>
              <w:t>1.11%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-19.30%</w:t>
            </w:r>
          </w:p>
        </w:tc>
        <w:tc>
          <w:tcPr>
            <w:tcW w:type="dxa" w:w="1440"/>
          </w:tcPr>
          <w:p>
            <w:r>
              <w:t>-13.13%</w:t>
            </w:r>
          </w:p>
        </w:tc>
        <w:tc>
          <w:tcPr>
            <w:tcW w:type="dxa" w:w="1440"/>
          </w:tcPr>
          <w:p>
            <w:r>
              <w:t>-6.17%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10.04%</w:t>
            </w:r>
          </w:p>
        </w:tc>
        <w:tc>
          <w:tcPr>
            <w:tcW w:type="dxa" w:w="1440"/>
          </w:tcPr>
          <w:p>
            <w:r>
              <w:t>10.77%</w:t>
            </w:r>
          </w:p>
        </w:tc>
        <w:tc>
          <w:tcPr>
            <w:tcW w:type="dxa" w:w="1440"/>
          </w:tcPr>
          <w:p>
            <w:r>
              <w:t>-0.73%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-16.08%</w:t>
            </w:r>
          </w:p>
        </w:tc>
        <w:tc>
          <w:tcPr>
            <w:tcW w:type="dxa" w:w="1440"/>
          </w:tcPr>
          <w:p>
            <w:r>
              <w:t>-14.42%</w:t>
            </w:r>
          </w:p>
        </w:tc>
        <w:tc>
          <w:tcPr>
            <w:tcW w:type="dxa" w:w="1440"/>
          </w:tcPr>
          <w:p>
            <w:r>
              <w:t>-1.66%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1.45%</w:t>
            </w:r>
          </w:p>
        </w:tc>
        <w:tc>
          <w:tcPr>
            <w:tcW w:type="dxa" w:w="1440"/>
          </w:tcPr>
          <w:p>
            <w:r>
              <w:t>1.20%</w:t>
            </w:r>
          </w:p>
        </w:tc>
        <w:tc>
          <w:tcPr>
            <w:tcW w:type="dxa" w:w="1440"/>
          </w:tcPr>
          <w:p>
            <w:r>
              <w:t>0.25%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10.89%</w:t>
            </w:r>
          </w:p>
        </w:tc>
        <w:tc>
          <w:tcPr>
            <w:tcW w:type="dxa" w:w="1440"/>
          </w:tcPr>
          <w:p>
            <w:r>
              <w:t>12.15%</w:t>
            </w:r>
          </w:p>
        </w:tc>
        <w:tc>
          <w:tcPr>
            <w:tcW w:type="dxa" w:w="1440"/>
          </w:tcPr>
          <w:p>
            <w:r>
              <w:t>-1.26%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22.49%</w:t>
            </w:r>
          </w:p>
        </w:tc>
        <w:tc>
          <w:tcPr>
            <w:tcW w:type="dxa" w:w="1440"/>
          </w:tcPr>
          <w:p>
            <w:r>
              <w:t>26.48%</w:t>
            </w:r>
          </w:p>
        </w:tc>
        <w:tc>
          <w:tcPr>
            <w:tcW w:type="dxa" w:w="1440"/>
          </w:tcPr>
          <w:p>
            <w:r>
              <w:t>-3.99%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-21.96%</w:t>
            </w:r>
          </w:p>
        </w:tc>
        <w:tc>
          <w:tcPr>
            <w:tcW w:type="dxa" w:w="1440"/>
          </w:tcPr>
          <w:p>
            <w:r>
              <w:t>-15.77%</w:t>
            </w:r>
          </w:p>
        </w:tc>
        <w:tc>
          <w:tcPr>
            <w:tcW w:type="dxa" w:w="1440"/>
          </w:tcPr>
          <w:p>
            <w:r>
              <w:t>-6.20%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-8.77%</w:t>
            </w:r>
          </w:p>
        </w:tc>
        <w:tc>
          <w:tcPr>
            <w:tcW w:type="dxa" w:w="1440"/>
          </w:tcPr>
          <w:p>
            <w:r>
              <w:t>-5.21%</w:t>
            </w:r>
          </w:p>
        </w:tc>
        <w:tc>
          <w:tcPr>
            <w:tcW w:type="dxa" w:w="1440"/>
          </w:tcPr>
          <w:p>
            <w:r>
              <w:t>-3.56%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d10_d1</w:t>
            </w:r>
          </w:p>
        </w:tc>
        <w:tc>
          <w:tcPr>
            <w:tcW w:type="dxa" w:w="1440"/>
          </w:tcPr>
          <w:p>
            <w:r>
              <w:t>2.49%</w:t>
            </w:r>
          </w:p>
        </w:tc>
        <w:tc>
          <w:tcPr>
            <w:tcW w:type="dxa" w:w="1440"/>
          </w:tcPr>
          <w:p>
            <w:r>
              <w:t>0.96%</w:t>
            </w:r>
          </w:p>
        </w:tc>
        <w:tc>
          <w:tcPr>
            <w:tcW w:type="dxa" w:w="1440"/>
          </w:tcPr>
          <w:p>
            <w:r>
              <w:t>1.53%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top20_excess</w:t>
            </w:r>
          </w:p>
        </w:tc>
        <w:tc>
          <w:tcPr>
            <w:tcW w:type="dxa" w:w="1440"/>
          </w:tcPr>
          <w:p>
            <w:r>
              <w:t>15.56%</w:t>
            </w:r>
          </w:p>
        </w:tc>
        <w:tc>
          <w:tcPr>
            <w:tcW w:type="dxa" w:w="1440"/>
          </w:tcPr>
          <w:p>
            <w:r>
              <w:t>16.43%</w:t>
            </w:r>
          </w:p>
        </w:tc>
        <w:tc>
          <w:tcPr>
            <w:tcW w:type="dxa" w:w="1440"/>
          </w:tcPr>
          <w:p>
            <w:r>
              <w:t>-0.87%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月度配对统计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metric</w:t>
            </w:r>
          </w:p>
        </w:tc>
        <w:tc>
          <w:tcPr>
            <w:tcW w:type="dxa" w:w="617"/>
          </w:tcPr>
          <w:p>
            <w:r>
              <w:t>months</w:t>
            </w:r>
          </w:p>
        </w:tc>
        <w:tc>
          <w:tcPr>
            <w:tcW w:type="dxa" w:w="617"/>
          </w:tcPr>
          <w:p>
            <w:r>
              <w:t>mean_delta</w:t>
            </w:r>
          </w:p>
        </w:tc>
        <w:tc>
          <w:tcPr>
            <w:tcW w:type="dxa" w:w="617"/>
          </w:tcPr>
          <w:p>
            <w:r>
              <w:t>median_delta</w:t>
            </w:r>
          </w:p>
        </w:tc>
        <w:tc>
          <w:tcPr>
            <w:tcW w:type="dxa" w:w="617"/>
          </w:tcPr>
          <w:p>
            <w:r>
              <w:t>win_rate</w:t>
            </w:r>
          </w:p>
        </w:tc>
        <w:tc>
          <w:tcPr>
            <w:tcW w:type="dxa" w:w="617"/>
          </w:tcPr>
          <w:p>
            <w:r>
              <w:t>simple_t</w:t>
            </w:r>
          </w:p>
        </w:tc>
        <w:tc>
          <w:tcPr>
            <w:tcW w:type="dxa" w:w="617"/>
          </w:tcPr>
          <w:p>
            <w:r>
              <w:t>newey_west_lag</w:t>
            </w:r>
          </w:p>
        </w:tc>
        <w:tc>
          <w:tcPr>
            <w:tcW w:type="dxa" w:w="617"/>
          </w:tcPr>
          <w:p>
            <w:r>
              <w:t>newey_west_stat</w:t>
            </w:r>
          </w:p>
        </w:tc>
        <w:tc>
          <w:tcPr>
            <w:tcW w:type="dxa" w:w="617"/>
          </w:tcPr>
          <w:p>
            <w:r>
              <w:t>newey_west_two_sided_p</w:t>
            </w:r>
          </w:p>
        </w:tc>
        <w:tc>
          <w:tcPr>
            <w:tcW w:type="dxa" w:w="617"/>
          </w:tcPr>
          <w:p>
            <w:r>
              <w:t>bootstrap_repetitions</w:t>
            </w:r>
          </w:p>
        </w:tc>
        <w:tc>
          <w:tcPr>
            <w:tcW w:type="dxa" w:w="617"/>
          </w:tcPr>
          <w:p>
            <w:r>
              <w:t>bootstrap_block_months</w:t>
            </w:r>
          </w:p>
        </w:tc>
        <w:tc>
          <w:tcPr>
            <w:tcW w:type="dxa" w:w="617"/>
          </w:tcPr>
          <w:p>
            <w:r>
              <w:t>bootstrap_ci_95_low</w:t>
            </w:r>
          </w:p>
        </w:tc>
        <w:tc>
          <w:tcPr>
            <w:tcW w:type="dxa" w:w="617"/>
          </w:tcPr>
          <w:p>
            <w:r>
              <w:t>bootstrap_ci_95_high</w:t>
            </w:r>
          </w:p>
        </w:tc>
        <w:tc>
          <w:tcPr>
            <w:tcW w:type="dxa" w:w="617"/>
          </w:tcPr>
          <w:p>
            <w:r>
              <w:t>bootstrap_significant_positive</w:t>
            </w:r>
          </w:p>
        </w:tc>
      </w:tr>
      <w:tr>
        <w:tc>
          <w:tcPr>
            <w:tcW w:type="dxa" w:w="617"/>
          </w:tcPr>
          <w:p>
            <w:r>
              <w:t>d10_d1</w:t>
            </w:r>
          </w:p>
        </w:tc>
        <w:tc>
          <w:tcPr>
            <w:tcW w:type="dxa" w:w="617"/>
          </w:tcPr>
          <w:p>
            <w:r>
              <w:t>126</w:t>
            </w:r>
          </w:p>
        </w:tc>
        <w:tc>
          <w:tcPr>
            <w:tcW w:type="dxa" w:w="617"/>
          </w:tcPr>
          <w:p>
            <w:r>
              <w:t>-0.51%</w:t>
            </w:r>
          </w:p>
        </w:tc>
        <w:tc>
          <w:tcPr>
            <w:tcW w:type="dxa" w:w="617"/>
          </w:tcPr>
          <w:p>
            <w:r>
              <w:t>-0.45%</w:t>
            </w:r>
          </w:p>
        </w:tc>
        <w:tc>
          <w:tcPr>
            <w:tcW w:type="dxa" w:w="617"/>
          </w:tcPr>
          <w:p>
            <w:r>
              <w:t>30.95%</w:t>
            </w:r>
          </w:p>
        </w:tc>
        <w:tc>
          <w:tcPr>
            <w:tcW w:type="dxa" w:w="617"/>
          </w:tcPr>
          <w:p>
            <w:r>
              <w:t>-4.814391555038678</w:t>
            </w:r>
          </w:p>
        </w:tc>
        <w:tc>
          <w:tcPr>
            <w:tcW w:type="dxa" w:w="617"/>
          </w:tcPr>
          <w:p>
            <w:r>
              <w:t>4</w:t>
            </w:r>
          </w:p>
        </w:tc>
        <w:tc>
          <w:tcPr>
            <w:tcW w:type="dxa" w:w="617"/>
          </w:tcPr>
          <w:p>
            <w:r>
              <w:t>-4.5210397191040395</w:t>
            </w:r>
          </w:p>
        </w:tc>
        <w:tc>
          <w:tcPr>
            <w:tcW w:type="dxa" w:w="617"/>
          </w:tcPr>
          <w:p>
            <w:r>
              <w:t>6.153663954416497e-06</w:t>
            </w:r>
          </w:p>
        </w:tc>
        <w:tc>
          <w:tcPr>
            <w:tcW w:type="dxa" w:w="617"/>
          </w:tcPr>
          <w:p>
            <w:r>
              <w:t>10000</w:t>
            </w:r>
          </w:p>
        </w:tc>
        <w:tc>
          <w:tcPr>
            <w:tcW w:type="dxa" w:w="617"/>
          </w:tcPr>
          <w:p>
            <w:r>
              <w:t>6</w:t>
            </w:r>
          </w:p>
        </w:tc>
        <w:tc>
          <w:tcPr>
            <w:tcW w:type="dxa" w:w="617"/>
          </w:tcPr>
          <w:p>
            <w:r>
              <w:t>-0.73%</w:t>
            </w:r>
          </w:p>
        </w:tc>
        <w:tc>
          <w:tcPr>
            <w:tcW w:type="dxa" w:w="617"/>
          </w:tcPr>
          <w:p>
            <w:r>
              <w:t>-0.27%</w:t>
            </w:r>
          </w:p>
        </w:tc>
        <w:tc>
          <w:tcPr>
            <w:tcW w:type="dxa" w:w="617"/>
          </w:tcPr>
          <w:p>
            <w:r>
              <w:t>False</w:t>
            </w:r>
          </w:p>
        </w:tc>
      </w:tr>
      <w:tr>
        <w:tc>
          <w:tcPr>
            <w:tcW w:type="dxa" w:w="617"/>
          </w:tcPr>
          <w:p>
            <w:r>
              <w:t>top20_excess</w:t>
            </w:r>
          </w:p>
        </w:tc>
        <w:tc>
          <w:tcPr>
            <w:tcW w:type="dxa" w:w="617"/>
          </w:tcPr>
          <w:p>
            <w:r>
              <w:t>126</w:t>
            </w:r>
          </w:p>
        </w:tc>
        <w:tc>
          <w:tcPr>
            <w:tcW w:type="dxa" w:w="617"/>
          </w:tcPr>
          <w:p>
            <w:r>
              <w:t>-0.18%</w:t>
            </w:r>
          </w:p>
        </w:tc>
        <w:tc>
          <w:tcPr>
            <w:tcW w:type="dxa" w:w="617"/>
          </w:tcPr>
          <w:p>
            <w:r>
              <w:t>-0.14%</w:t>
            </w:r>
          </w:p>
        </w:tc>
        <w:tc>
          <w:tcPr>
            <w:tcW w:type="dxa" w:w="617"/>
          </w:tcPr>
          <w:p>
            <w:r>
              <w:t>34.92%</w:t>
            </w:r>
          </w:p>
        </w:tc>
        <w:tc>
          <w:tcPr>
            <w:tcW w:type="dxa" w:w="617"/>
          </w:tcPr>
          <w:p>
            <w:r>
              <w:t>-3.3951894254486246</w:t>
            </w:r>
          </w:p>
        </w:tc>
        <w:tc>
          <w:tcPr>
            <w:tcW w:type="dxa" w:w="617"/>
          </w:tcPr>
          <w:p>
            <w:r>
              <w:t>4</w:t>
            </w:r>
          </w:p>
        </w:tc>
        <w:tc>
          <w:tcPr>
            <w:tcW w:type="dxa" w:w="617"/>
          </w:tcPr>
          <w:p>
            <w:r>
              <w:t>-3.110958043705087</w:t>
            </w:r>
          </w:p>
        </w:tc>
        <w:tc>
          <w:tcPr>
            <w:tcW w:type="dxa" w:w="617"/>
          </w:tcPr>
          <w:p>
            <w:r>
              <w:t>0.001864814331573468</w:t>
            </w:r>
          </w:p>
        </w:tc>
        <w:tc>
          <w:tcPr>
            <w:tcW w:type="dxa" w:w="617"/>
          </w:tcPr>
          <w:p>
            <w:r>
              <w:t>10000</w:t>
            </w:r>
          </w:p>
        </w:tc>
        <w:tc>
          <w:tcPr>
            <w:tcW w:type="dxa" w:w="617"/>
          </w:tcPr>
          <w:p>
            <w:r>
              <w:t>6</w:t>
            </w:r>
          </w:p>
        </w:tc>
        <w:tc>
          <w:tcPr>
            <w:tcW w:type="dxa" w:w="617"/>
          </w:tcPr>
          <w:p>
            <w:r>
              <w:t>-0.28%</w:t>
            </w:r>
          </w:p>
        </w:tc>
        <w:tc>
          <w:tcPr>
            <w:tcW w:type="dxa" w:w="617"/>
          </w:tcPr>
          <w:p>
            <w:r>
              <w:t>-0.05%</w:t>
            </w:r>
          </w:p>
        </w:tc>
        <w:tc>
          <w:tcPr>
            <w:tcW w:type="dxa" w:w="617"/>
          </w:tcPr>
          <w:p>
            <w:r>
              <w:t>False</w:t>
            </w:r>
          </w:p>
        </w:tc>
      </w:tr>
    </w:tbl>
    <w:p>
      <w:pPr>
        <w:pStyle w:val="Heading1"/>
      </w:pPr>
      <w:r>
        <w:t>严格判定门禁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门禁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全期收益</w:t>
            </w:r>
          </w:p>
        </w:tc>
        <w:tc>
          <w:tcPr>
            <w:tcW w:type="dxa" w:w="4320"/>
          </w:tcPr>
          <w:p>
            <w:r>
              <w:t>{"d10_d1": false, "top20_excess": false}</w:t>
            </w:r>
          </w:p>
        </w:tc>
      </w:tr>
      <w:tr>
        <w:tc>
          <w:tcPr>
            <w:tcW w:type="dxa" w:w="4320"/>
          </w:tcPr>
          <w:p>
            <w:r>
              <w:t>年度稳定</w:t>
            </w:r>
          </w:p>
        </w:tc>
        <w:tc>
          <w:tcPr>
            <w:tcW w:type="dxa" w:w="4320"/>
          </w:tcPr>
          <w:p>
            <w:r>
              <w:t>{"d10_d1": false, "top20_excess": false}</w:t>
            </w:r>
          </w:p>
        </w:tc>
      </w:tr>
      <w:tr>
        <w:tc>
          <w:tcPr>
            <w:tcW w:type="dxa" w:w="4320"/>
          </w:tcPr>
          <w:p>
            <w:r>
              <w:t>Bootstrap显著性</w:t>
            </w:r>
          </w:p>
        </w:tc>
        <w:tc>
          <w:tcPr>
            <w:tcW w:type="dxa" w:w="4320"/>
          </w:tcPr>
          <w:p>
            <w:r>
              <w:t>{"d10_d1": false, "top20_excess": false}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{"d10_d1": false, "top20": false}</w:t>
            </w:r>
          </w:p>
        </w:tc>
      </w:tr>
      <w:tr>
        <w:tc>
          <w:tcPr>
            <w:tcW w:type="dxa" w:w="4320"/>
          </w:tcPr>
          <w:p>
            <w:r>
              <w:t>平均换手</w:t>
            </w:r>
          </w:p>
        </w:tc>
        <w:tc>
          <w:tcPr>
            <w:tcW w:type="dxa" w:w="4320"/>
          </w:tcPr>
          <w:p>
            <w:r>
              <w:t>{"d10_d1": false, "top20": false}</w:t>
            </w:r>
          </w:p>
        </w:tc>
      </w:tr>
    </w:tbl>
    <w:p>
      <w:pPr>
        <w:pStyle w:val="Heading1"/>
      </w:pPr>
      <w:r>
        <w:t>图表</w:t>
      </w:r>
    </w:p>
    <w:p>
      <w:r>
        <w:drawing>
          <wp:inline xmlns:a="http://schemas.openxmlformats.org/drawingml/2006/main" xmlns:pic="http://schemas.openxmlformats.org/drawingml/2006/picture">
            <wp:extent cx="5852160" cy="4256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5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cumulative_performance</w:t>
      </w:r>
    </w:p>
    <w:p>
      <w:r>
        <w:drawing>
          <wp:inline xmlns:a="http://schemas.openxmlformats.org/drawingml/2006/main" xmlns:pic="http://schemas.openxmlformats.org/drawingml/2006/picture">
            <wp:extent cx="5852160" cy="2553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aired_advan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monthly_paired_advantage</w:t>
      </w:r>
    </w:p>
    <w:p>
      <w:r>
        <w:drawing>
          <wp:inline xmlns:a="http://schemas.openxmlformats.org/drawingml/2006/main" xmlns:pic="http://schemas.openxmlformats.org/drawingml/2006/picture">
            <wp:extent cx="5852160" cy="25536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advan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annual_advantage</w:t>
      </w:r>
    </w:p>
    <w:p>
      <w:r>
        <w:drawing>
          <wp:inline xmlns:a="http://schemas.openxmlformats.org/drawingml/2006/main" xmlns:pic="http://schemas.openxmlformats.org/drawingml/2006/picture">
            <wp:extent cx="5852160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and_turn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risk_and_turnover</w:t>
      </w:r>
    </w:p>
    <w:p>
      <w:r>
        <w:drawing>
          <wp:inline xmlns:a="http://schemas.openxmlformats.org/drawingml/2006/main" xmlns:pic="http://schemas.openxmlformats.org/drawingml/2006/picture">
            <wp:extent cx="5852160" cy="25536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coverage</w:t>
      </w:r>
    </w:p>
    <w:p>
      <w:pPr>
        <w:pStyle w:val="Heading1"/>
      </w:pPr>
      <w:r>
        <w:t>数据质量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  <w:tr>
        <w:tc>
          <w:tcPr>
            <w:tcW w:type="dxa" w:w="2160"/>
          </w:tcPr>
          <w:p>
            <w:r>
              <w:t>adjusted_return_coverage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min=20150105, max=20260720, rows=11505611</w:t>
            </w:r>
          </w:p>
        </w:tc>
      </w:tr>
      <w:tr>
        <w:tc>
          <w:tcPr>
            <w:tcW w:type="dxa" w:w="2160"/>
          </w:tcPr>
          <w:p>
            <w:r>
              <w:t>benchmark_coverage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benchmark=000985.CSI, min=20150105, max=20260720, rows=2804</w:t>
            </w:r>
          </w:p>
        </w:tc>
      </w:tr>
      <w:tr>
        <w:tc>
          <w:tcPr>
            <w:tcW w:type="dxa" w:w="2160"/>
          </w:tcPr>
          <w:p>
            <w:r>
              <w:t>catalog:__database__:cross:daily_adj_factor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all daily rows have adj_factor (checked_at=2026-07-20T17:37:43Z)</w:t>
            </w:r>
          </w:p>
        </w:tc>
      </w:tr>
      <w:tr>
        <w:tc>
          <w:tcPr>
            <w:tcW w:type="dxa" w:w="2160"/>
          </w:tcPr>
          <w:p>
            <w:r>
              <w:t>catalog:__database__:cross:daily_trade_calendar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daily covers open trade days in its date range (checked_at=2026-07-20T17:37:43Z)</w:t>
            </w:r>
          </w:p>
        </w:tc>
      </w:tr>
      <w:tr>
        <w:tc>
          <w:tcPr>
            <w:tcW w:type="dxa" w:w="2160"/>
          </w:tcPr>
          <w:p>
            <w:r>
              <w:t>catalog:__database__:view:v_adjusted_returns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queryable rows=11505611 (checked_at=2026-07-20T17:37:43Z)</w:t>
            </w:r>
          </w:p>
        </w:tc>
      </w:tr>
      <w:tr>
        <w:tc>
          <w:tcPr>
            <w:tcW w:type="dxa" w:w="2160"/>
          </w:tcPr>
          <w:p>
            <w:r>
              <w:t>catalog:__database__:view:v_fina_indicator_asof_intervals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queryable rows=410325 (checked_at=2026-07-20T17:37:43Z)</w:t>
            </w:r>
          </w:p>
        </w:tc>
      </w:tr>
      <w:tr>
        <w:tc>
          <w:tcPr>
            <w:tcW w:type="dxa" w:w="2160"/>
          </w:tcPr>
          <w:p>
            <w:r>
              <w:t>catalog:__database__:view:v_index_data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queryable rows=820823 (checked_at=2026-07-20T17:37:42Z)</w:t>
            </w:r>
          </w:p>
        </w:tc>
      </w:tr>
      <w:tr>
        <w:tc>
          <w:tcPr>
            <w:tcW w:type="dxa" w:w="2160"/>
          </w:tcPr>
          <w:p>
            <w:r>
              <w:t>catalog:__database__:view:v_stock_universe_daily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queryable rows=11505611 (checked_at=2026-07-20T17:37:43Z)</w:t>
            </w:r>
          </w:p>
        </w:tc>
      </w:tr>
      <w:tr>
        <w:tc>
          <w:tcPr>
            <w:tcW w:type="dxa" w:w="2160"/>
          </w:tcPr>
          <w:p>
            <w:r>
              <w:t>catalog:fina_indicator_vip:dataset_integrity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rows with null or empty primary key values in required columns: 10 (checked_at=2026-07-20T17:37:34Z); rows without announcement visibility are excluded by the existing factor loader</w:t>
            </w:r>
          </w:p>
        </w:tc>
      </w:tr>
      <w:tr>
        <w:tc>
          <w:tcPr>
            <w:tcW w:type="dxa" w:w="2160"/>
          </w:tcPr>
          <w:p>
            <w:r>
              <w:t>frozen_factor_availability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factor_count=11, first_volatility=20160129</w:t>
            </w:r>
          </w:p>
        </w:tc>
      </w:tr>
      <w:tr>
        <w:tc>
          <w:tcPr>
            <w:tcW w:type="dxa" w:w="2160"/>
          </w:tcPr>
          <w:p>
            <w:r>
              <w:t>evaluation_boundary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first_signal=20160129, first_execution=20160201</w:t>
            </w:r>
          </w:p>
        </w:tc>
      </w:tr>
      <w:tr>
        <w:tc>
          <w:tcPr>
            <w:tcW w:type="dxa" w:w="2160"/>
          </w:tcPr>
          <w:p>
            <w:r>
              <w:t>shared_strategy_calendar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expected_signals=126, strategy_signals={'Full11_Equal': 126, 'Grouped8_Equal': 126, 'Fixed4_Equal': 126}, duplicates=0</w:t>
            </w:r>
          </w:p>
        </w:tc>
      </w:tr>
      <w:tr>
        <w:tc>
          <w:tcPr>
            <w:tcW w:type="dxa" w:w="2160"/>
          </w:tcPr>
          <w:p>
            <w:r>
              <w:t>benchmark_alignment_through_20260720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missing_strategy_day_benchmark_rows=0</w:t>
            </w:r>
          </w:p>
        </w:tc>
      </w:tr>
      <w:tr>
        <w:tc>
          <w:tcPr>
            <w:tcW w:type="dxa" w:w="2160"/>
          </w:tcPr>
          <w:p>
            <w:r>
              <w:t>benchmark_alignment_through_20260707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missing_strategy_day_benchmark_rows=0</w:t>
            </w:r>
          </w:p>
        </w:tc>
      </w:tr>
      <w:tr>
        <w:tc>
          <w:tcPr>
            <w:tcW w:type="dxa" w:w="2160"/>
          </w:tcPr>
          <w:p>
            <w:r>
              <w:t>reference_2025_to_20260707_reproduction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within_tolerance=3/42; the archived CSV was produced from an earlier database snapshot and is retained as a drift diagnostic</w:t>
            </w:r>
          </w:p>
        </w:tc>
      </w:tr>
    </w:tbl>
    <w:p>
      <w:r>
        <w:t>数据库以 read_only=True 打开；旧代码、旧配置、数据库与旧输出受运行前后审计保护。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