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D1C2" w14:textId="3FDCD897" w:rsidR="00785F4E" w:rsidRDefault="00000000" w:rsidP="00677204">
      <w:pPr>
        <w:spacing w:after="80"/>
        <w:rPr>
          <w:rFonts w:hint="eastAsia"/>
          <w:lang w:eastAsia="zh-CN"/>
        </w:rPr>
      </w:pPr>
      <w:r>
        <w:rPr>
          <w:b/>
          <w:color w:val="000000"/>
          <w:sz w:val="48"/>
          <w:lang w:eastAsia="zh-CN"/>
        </w:rPr>
        <w:t>行业和市值中性化</w:t>
      </w:r>
      <w:proofErr w:type="gramStart"/>
      <w:r>
        <w:rPr>
          <w:b/>
          <w:color w:val="000000"/>
          <w:sz w:val="48"/>
          <w:lang w:eastAsia="zh-CN"/>
        </w:rPr>
        <w:t>前后回测对比</w:t>
      </w:r>
      <w:proofErr w:type="gramEnd"/>
      <w:r>
        <w:rPr>
          <w:b/>
          <w:color w:val="000000"/>
          <w:sz w:val="48"/>
          <w:lang w:eastAsia="zh-CN"/>
        </w:rPr>
        <w:t>报告</w:t>
      </w:r>
    </w:p>
    <w:tbl>
      <w:tblPr>
        <w:tblW w:w="0" w:type="auto"/>
        <w:jc w:val="center"/>
        <w:tblBorders>
          <w:top w:val="single" w:sz="4" w:space="0" w:color="B7C5D8"/>
          <w:left w:val="single" w:sz="4" w:space="0" w:color="B7C5D8"/>
          <w:bottom w:val="single" w:sz="4" w:space="0" w:color="B7C5D8"/>
          <w:right w:val="single" w:sz="4" w:space="0" w:color="B7C5D8"/>
          <w:insideH w:val="single" w:sz="4" w:space="0" w:color="B7C5D8"/>
          <w:insideV w:val="single" w:sz="4" w:space="0" w:color="B7C5D8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85F4E" w14:paraId="047F1C3C" w14:textId="77777777">
        <w:trPr>
          <w:jc w:val="center"/>
        </w:trPr>
        <w:tc>
          <w:tcPr>
            <w:tcW w:w="2340" w:type="dxa"/>
            <w:shd w:val="clear" w:color="auto" w:fill="E8EEF5"/>
          </w:tcPr>
          <w:p w14:paraId="18A9DDAA" w14:textId="77777777" w:rsidR="00785F4E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7"/>
              </w:rPr>
              <w:t>收益改善因子</w:t>
            </w:r>
            <w:proofErr w:type="spellEnd"/>
            <w:r>
              <w:rPr>
                <w:b/>
                <w:color w:val="1F4D78"/>
                <w:sz w:val="17"/>
              </w:rPr>
              <w:br/>
            </w:r>
            <w:r>
              <w:rPr>
                <w:b/>
                <w:color w:val="142D4B"/>
                <w:sz w:val="24"/>
              </w:rPr>
              <w:t>9 / 11</w:t>
            </w:r>
          </w:p>
        </w:tc>
        <w:tc>
          <w:tcPr>
            <w:tcW w:w="2340" w:type="dxa"/>
            <w:shd w:val="clear" w:color="auto" w:fill="E8EEF5"/>
          </w:tcPr>
          <w:p w14:paraId="47A98299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最佳中性化因子</w:t>
            </w:r>
            <w:r>
              <w:rPr>
                <w:b/>
                <w:color w:val="1F4D78"/>
                <w:sz w:val="17"/>
              </w:rPr>
              <w:br/>
            </w:r>
            <w:r>
              <w:rPr>
                <w:b/>
                <w:color w:val="142D4B"/>
                <w:sz w:val="24"/>
              </w:rPr>
              <w:t>PE_TTM</w:t>
            </w:r>
          </w:p>
        </w:tc>
        <w:tc>
          <w:tcPr>
            <w:tcW w:w="2340" w:type="dxa"/>
            <w:shd w:val="clear" w:color="auto" w:fill="E8EEF5"/>
          </w:tcPr>
          <w:p w14:paraId="4D03F821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最高中性化年化收益</w:t>
            </w:r>
            <w:r>
              <w:rPr>
                <w:b/>
                <w:color w:val="1F4D78"/>
                <w:sz w:val="17"/>
              </w:rPr>
              <w:br/>
            </w:r>
            <w:r>
              <w:rPr>
                <w:b/>
                <w:color w:val="142D4B"/>
                <w:sz w:val="24"/>
              </w:rPr>
              <w:t>19.30%</w:t>
            </w:r>
          </w:p>
        </w:tc>
        <w:tc>
          <w:tcPr>
            <w:tcW w:w="2340" w:type="dxa"/>
            <w:shd w:val="clear" w:color="auto" w:fill="E8EEF5"/>
          </w:tcPr>
          <w:p w14:paraId="2C52EDF2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最佳收益改善</w:t>
            </w:r>
            <w:r>
              <w:rPr>
                <w:b/>
                <w:color w:val="1F4D78"/>
                <w:sz w:val="17"/>
              </w:rPr>
              <w:br/>
            </w:r>
            <w:r>
              <w:rPr>
                <w:b/>
                <w:color w:val="142D4B"/>
                <w:sz w:val="24"/>
              </w:rPr>
              <w:t>+9.83%</w:t>
            </w:r>
          </w:p>
        </w:tc>
      </w:tr>
    </w:tbl>
    <w:p w14:paraId="1B6AC992" w14:textId="77777777" w:rsidR="00785F4E" w:rsidRDefault="00785F4E"/>
    <w:p w14:paraId="6AC39A1D" w14:textId="77777777" w:rsidR="00785F4E" w:rsidRDefault="00000000">
      <w:pPr>
        <w:pStyle w:val="1"/>
      </w:pPr>
      <w:r>
        <w:rPr>
          <w:rFonts w:ascii="Calibri" w:eastAsia="微软雅黑" w:hAnsi="Calibri"/>
        </w:rPr>
        <w:t xml:space="preserve">1. </w:t>
      </w:r>
      <w:r>
        <w:rPr>
          <w:rFonts w:ascii="Calibri" w:eastAsia="微软雅黑" w:hAnsi="Calibri"/>
        </w:rPr>
        <w:t>摘要结论</w:t>
      </w:r>
    </w:p>
    <w:p w14:paraId="6CFC2D97" w14:textId="77777777" w:rsidR="00785F4E" w:rsidRDefault="00000000">
      <w:pPr>
        <w:rPr>
          <w:lang w:eastAsia="zh-CN"/>
        </w:rPr>
      </w:pPr>
      <w:r>
        <w:rPr>
          <w:lang w:eastAsia="zh-CN"/>
        </w:rPr>
        <w:t>中性化后，</w:t>
      </w:r>
      <w:r>
        <w:rPr>
          <w:lang w:eastAsia="zh-CN"/>
        </w:rPr>
        <w:t xml:space="preserve">11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因子中有</w:t>
      </w:r>
      <w:r>
        <w:rPr>
          <w:lang w:eastAsia="zh-CN"/>
        </w:rPr>
        <w:t xml:space="preserve"> 9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因子的</w:t>
      </w:r>
      <w:proofErr w:type="gramStart"/>
      <w:r>
        <w:rPr>
          <w:lang w:eastAsia="zh-CN"/>
        </w:rPr>
        <w:t>年化收益</w:t>
      </w:r>
      <w:proofErr w:type="gramEnd"/>
      <w:r>
        <w:rPr>
          <w:lang w:eastAsia="zh-CN"/>
        </w:rPr>
        <w:t>提高，说明原始分数中存在较明显的行业和市值暴露影响。中性化剔除这些结构性暴露后，估值、波动率、盈利质量和资金流向类因子的残差信号更清晰。</w:t>
      </w:r>
    </w:p>
    <w:p w14:paraId="216DD8A4" w14:textId="77777777" w:rsidR="00785F4E" w:rsidRDefault="00000000">
      <w:pPr>
        <w:rPr>
          <w:lang w:eastAsia="zh-CN"/>
        </w:rPr>
      </w:pPr>
      <w:r>
        <w:rPr>
          <w:lang w:eastAsia="zh-CN"/>
        </w:rPr>
        <w:t>最突出的变化是</w:t>
      </w:r>
      <w:r>
        <w:rPr>
          <w:lang w:eastAsia="zh-CN"/>
        </w:rPr>
        <w:t xml:space="preserve"> PE_TTM</w:t>
      </w:r>
      <w:r>
        <w:rPr>
          <w:lang w:eastAsia="zh-CN"/>
        </w:rPr>
        <w:t>：</w:t>
      </w:r>
      <w:proofErr w:type="gramStart"/>
      <w:r>
        <w:rPr>
          <w:lang w:eastAsia="zh-CN"/>
        </w:rPr>
        <w:t>年化收益</w:t>
      </w:r>
      <w:proofErr w:type="gramEnd"/>
      <w:r>
        <w:rPr>
          <w:lang w:eastAsia="zh-CN"/>
        </w:rPr>
        <w:t>从</w:t>
      </w:r>
      <w:r>
        <w:rPr>
          <w:lang w:eastAsia="zh-CN"/>
        </w:rPr>
        <w:t xml:space="preserve"> 9.47% </w:t>
      </w:r>
      <w:r>
        <w:rPr>
          <w:lang w:eastAsia="zh-CN"/>
        </w:rPr>
        <w:t>提升到</w:t>
      </w:r>
      <w:r>
        <w:rPr>
          <w:lang w:eastAsia="zh-CN"/>
        </w:rPr>
        <w:t xml:space="preserve"> 19.30%</w:t>
      </w:r>
      <w:r>
        <w:rPr>
          <w:lang w:eastAsia="zh-CN"/>
        </w:rPr>
        <w:t>，</w:t>
      </w:r>
      <w:r>
        <w:rPr>
          <w:lang w:eastAsia="zh-CN"/>
        </w:rPr>
        <w:t xml:space="preserve">Sharpe </w:t>
      </w:r>
      <w:r>
        <w:rPr>
          <w:lang w:eastAsia="zh-CN"/>
        </w:rPr>
        <w:t>从</w:t>
      </w:r>
      <w:r>
        <w:rPr>
          <w:lang w:eastAsia="zh-CN"/>
        </w:rPr>
        <w:t xml:space="preserve"> 0.50 </w:t>
      </w:r>
      <w:r>
        <w:rPr>
          <w:lang w:eastAsia="zh-CN"/>
        </w:rPr>
        <w:t>提升到</w:t>
      </w:r>
      <w:r>
        <w:rPr>
          <w:lang w:eastAsia="zh-CN"/>
        </w:rPr>
        <w:t xml:space="preserve"> 0.73</w:t>
      </w:r>
      <w:r>
        <w:rPr>
          <w:lang w:eastAsia="zh-CN"/>
        </w:rPr>
        <w:t>。但它的最大回撤也从</w:t>
      </w:r>
      <w:r>
        <w:rPr>
          <w:lang w:eastAsia="zh-CN"/>
        </w:rPr>
        <w:t xml:space="preserve"> -17.91% </w:t>
      </w:r>
      <w:r>
        <w:rPr>
          <w:lang w:eastAsia="zh-CN"/>
        </w:rPr>
        <w:t>扩大到</w:t>
      </w:r>
      <w:r>
        <w:rPr>
          <w:lang w:eastAsia="zh-CN"/>
        </w:rPr>
        <w:t xml:space="preserve"> -30.72%</w:t>
      </w:r>
      <w:r>
        <w:rPr>
          <w:lang w:eastAsia="zh-CN"/>
        </w:rPr>
        <w:t>，说明收益提升并不等同于风险降低。</w:t>
      </w:r>
    </w:p>
    <w:p w14:paraId="0E1CDCE1" w14:textId="77777777" w:rsidR="00785F4E" w:rsidRDefault="00000000">
      <w:proofErr w:type="spellStart"/>
      <w:r>
        <w:t>更适合后续组合研究的候选包括</w:t>
      </w:r>
      <w:proofErr w:type="spellEnd"/>
      <w:r>
        <w:t xml:space="preserve"> </w:t>
      </w:r>
      <w:proofErr w:type="spellStart"/>
      <w:r>
        <w:t>ROE</w:t>
      </w:r>
      <w:r>
        <w:t>、</w:t>
      </w:r>
      <w:r>
        <w:t>Debt_to_Equity</w:t>
      </w:r>
      <w:r>
        <w:t>、</w:t>
      </w:r>
      <w:r>
        <w:t>Gross_Margin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Revenue_Growth</w:t>
      </w:r>
      <w:r>
        <w:t>。这些因子在中性化后收益仍有吸引力，同时部分风险指标有所改善</w:t>
      </w:r>
      <w:proofErr w:type="spellEnd"/>
      <w:r>
        <w:t>。</w:t>
      </w:r>
    </w:p>
    <w:p w14:paraId="04525A4A" w14:textId="77777777" w:rsidR="00785F4E" w:rsidRDefault="00000000">
      <w:pPr>
        <w:pStyle w:val="1"/>
      </w:pPr>
      <w:r>
        <w:rPr>
          <w:rFonts w:ascii="Calibri" w:eastAsia="微软雅黑" w:hAnsi="Calibri"/>
        </w:rPr>
        <w:t xml:space="preserve">2. </w:t>
      </w:r>
      <w:r>
        <w:rPr>
          <w:rFonts w:ascii="Calibri" w:eastAsia="微软雅黑" w:hAnsi="Calibri"/>
        </w:rPr>
        <w:t>方法口径</w:t>
      </w:r>
    </w:p>
    <w:p w14:paraId="665E8559" w14:textId="77777777" w:rsidR="00785F4E" w:rsidRDefault="00000000">
      <w:pPr>
        <w:pStyle w:val="a0"/>
        <w:rPr>
          <w:lang w:eastAsia="zh-CN"/>
        </w:rPr>
      </w:pPr>
      <w:r>
        <w:rPr>
          <w:lang w:eastAsia="zh-CN"/>
        </w:rPr>
        <w:t>原始</w:t>
      </w:r>
      <w:proofErr w:type="gramStart"/>
      <w:r>
        <w:rPr>
          <w:lang w:eastAsia="zh-CN"/>
        </w:rPr>
        <w:t>回测使用</w:t>
      </w:r>
      <w:proofErr w:type="gramEnd"/>
      <w:r>
        <w:rPr>
          <w:lang w:eastAsia="zh-CN"/>
        </w:rPr>
        <w:t>已经完成方向调整、去极值和截面标准化的</w:t>
      </w:r>
      <w:r>
        <w:rPr>
          <w:lang w:eastAsia="zh-CN"/>
        </w:rPr>
        <w:t xml:space="preserve"> score </w:t>
      </w:r>
      <w:r>
        <w:rPr>
          <w:lang w:eastAsia="zh-CN"/>
        </w:rPr>
        <w:t>排序选股。</w:t>
      </w:r>
    </w:p>
    <w:p w14:paraId="532E9793" w14:textId="77777777" w:rsidR="00785F4E" w:rsidRDefault="00000000">
      <w:pPr>
        <w:pStyle w:val="a0"/>
      </w:pPr>
      <w:proofErr w:type="spellStart"/>
      <w:r>
        <w:t>中性化回测在每个</w:t>
      </w:r>
      <w:proofErr w:type="spellEnd"/>
      <w:r>
        <w:t xml:space="preserve"> factor + </w:t>
      </w:r>
      <w:proofErr w:type="spellStart"/>
      <w:r>
        <w:t>trade_date</w:t>
      </w:r>
      <w:proofErr w:type="spellEnd"/>
      <w:r>
        <w:t xml:space="preserve"> </w:t>
      </w:r>
      <w:r>
        <w:t>截面上回归</w:t>
      </w:r>
      <w:r>
        <w:t xml:space="preserve"> score ~ log(total_mv) + industry dummies</w:t>
      </w:r>
      <w:r>
        <w:t>，并使用残差</w:t>
      </w:r>
      <w:r>
        <w:t xml:space="preserve"> neutralized_score </w:t>
      </w:r>
      <w:r>
        <w:t>选</w:t>
      </w:r>
      <w:r>
        <w:t xml:space="preserve"> Top20%</w:t>
      </w:r>
      <w:r>
        <w:t>。</w:t>
      </w:r>
    </w:p>
    <w:p w14:paraId="3D79BFFD" w14:textId="77777777" w:rsidR="00785F4E" w:rsidRDefault="00000000">
      <w:pPr>
        <w:pStyle w:val="a0"/>
        <w:rPr>
          <w:lang w:eastAsia="zh-CN"/>
        </w:rPr>
      </w:pPr>
      <w:r>
        <w:rPr>
          <w:lang w:eastAsia="zh-CN"/>
        </w:rPr>
        <w:t>中性化前后使用相同样本期、股票池、</w:t>
      </w:r>
      <w:proofErr w:type="gramStart"/>
      <w:r>
        <w:rPr>
          <w:lang w:eastAsia="zh-CN"/>
        </w:rPr>
        <w:t>调仓频率</w:t>
      </w:r>
      <w:proofErr w:type="gramEnd"/>
      <w:r>
        <w:rPr>
          <w:lang w:eastAsia="zh-CN"/>
        </w:rPr>
        <w:t>、交易成本、收益计算和基准。</w:t>
      </w:r>
    </w:p>
    <w:p w14:paraId="02C721BC" w14:textId="77777777" w:rsidR="00785F4E" w:rsidRDefault="00000000">
      <w:pPr>
        <w:pStyle w:val="a0"/>
      </w:pPr>
      <w:proofErr w:type="spellStart"/>
      <w:r>
        <w:t>缺失行业填为</w:t>
      </w:r>
      <w:proofErr w:type="spellEnd"/>
      <w:r>
        <w:t xml:space="preserve"> </w:t>
      </w:r>
      <w:proofErr w:type="spellStart"/>
      <w:r>
        <w:t>Unknown</w:t>
      </w:r>
      <w:r>
        <w:t>；缺失</w:t>
      </w:r>
      <w:proofErr w:type="spellEnd"/>
      <w:r>
        <w:t xml:space="preserve"> log(</w:t>
      </w:r>
      <w:proofErr w:type="spellStart"/>
      <w:r>
        <w:t>total_mv</w:t>
      </w:r>
      <w:proofErr w:type="spellEnd"/>
      <w:r>
        <w:t xml:space="preserve">) </w:t>
      </w:r>
      <w:proofErr w:type="spellStart"/>
      <w:r>
        <w:t>用当期截面均值填补，若全缺则填</w:t>
      </w:r>
      <w:proofErr w:type="spellEnd"/>
      <w:r>
        <w:t xml:space="preserve"> 0</w:t>
      </w:r>
      <w:r>
        <w:t>。</w:t>
      </w:r>
    </w:p>
    <w:p w14:paraId="2C65CE17" w14:textId="77777777" w:rsidR="00785F4E" w:rsidRDefault="00000000">
      <w:pPr>
        <w:pStyle w:val="1"/>
      </w:pPr>
      <w:r>
        <w:rPr>
          <w:rFonts w:ascii="Calibri" w:eastAsia="微软雅黑" w:hAnsi="Calibri"/>
        </w:rPr>
        <w:t xml:space="preserve">3. </w:t>
      </w:r>
      <w:r>
        <w:rPr>
          <w:rFonts w:ascii="Calibri" w:eastAsia="微软雅黑" w:hAnsi="Calibri"/>
        </w:rPr>
        <w:t>核心指标对比</w:t>
      </w:r>
    </w:p>
    <w:p w14:paraId="58A002F3" w14:textId="77777777" w:rsidR="00785F4E" w:rsidRDefault="00000000">
      <w:pPr>
        <w:spacing w:before="40"/>
      </w:pPr>
      <w:r>
        <w:rPr>
          <w:color w:val="5A5A5A"/>
          <w:sz w:val="18"/>
        </w:rPr>
        <w:t>数据来源：</w:t>
      </w:r>
      <w:r>
        <w:rPr>
          <w:color w:val="5A5A5A"/>
          <w:sz w:val="18"/>
        </w:rPr>
        <w:t>outputs/neutralized/tables/factor_metrics_comparison.csv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337"/>
        <w:gridCol w:w="1368"/>
        <w:gridCol w:w="1337"/>
        <w:gridCol w:w="1337"/>
        <w:gridCol w:w="1368"/>
        <w:gridCol w:w="1368"/>
      </w:tblGrid>
      <w:tr w:rsidR="00785F4E" w14:paraId="0D796371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0D9E16C5" w14:textId="77777777" w:rsidR="00785F4E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7"/>
              </w:rPr>
              <w:t>因子</w:t>
            </w:r>
            <w:proofErr w:type="spellEnd"/>
          </w:p>
        </w:tc>
        <w:tc>
          <w:tcPr>
            <w:tcW w:w="1224" w:type="dxa"/>
            <w:shd w:val="clear" w:color="auto" w:fill="E8EEF5"/>
            <w:vAlign w:val="center"/>
          </w:tcPr>
          <w:p w14:paraId="04DC4C07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原始年化</w:t>
            </w:r>
          </w:p>
        </w:tc>
        <w:tc>
          <w:tcPr>
            <w:tcW w:w="1368" w:type="dxa"/>
            <w:shd w:val="clear" w:color="auto" w:fill="E8EEF5"/>
            <w:vAlign w:val="center"/>
          </w:tcPr>
          <w:p w14:paraId="125D4E76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中性化年化</w:t>
            </w:r>
          </w:p>
        </w:tc>
        <w:tc>
          <w:tcPr>
            <w:tcW w:w="1080" w:type="dxa"/>
            <w:shd w:val="clear" w:color="auto" w:fill="E8EEF5"/>
            <w:vAlign w:val="center"/>
          </w:tcPr>
          <w:p w14:paraId="2097B4E6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变化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77039F96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原始</w:t>
            </w:r>
            <w:r>
              <w:rPr>
                <w:b/>
                <w:color w:val="1F4D78"/>
                <w:sz w:val="17"/>
              </w:rPr>
              <w:t>Sharpe</w:t>
            </w:r>
          </w:p>
        </w:tc>
        <w:tc>
          <w:tcPr>
            <w:tcW w:w="1368" w:type="dxa"/>
            <w:shd w:val="clear" w:color="auto" w:fill="E8EEF5"/>
            <w:vAlign w:val="center"/>
          </w:tcPr>
          <w:p w14:paraId="610E3AFF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中性化</w:t>
            </w:r>
            <w:r>
              <w:rPr>
                <w:b/>
                <w:color w:val="1F4D78"/>
                <w:sz w:val="17"/>
              </w:rPr>
              <w:t>Sharpe</w:t>
            </w:r>
          </w:p>
        </w:tc>
        <w:tc>
          <w:tcPr>
            <w:tcW w:w="1368" w:type="dxa"/>
            <w:shd w:val="clear" w:color="auto" w:fill="E8EEF5"/>
            <w:vAlign w:val="center"/>
          </w:tcPr>
          <w:p w14:paraId="79FA2C10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回撤变化</w:t>
            </w:r>
          </w:p>
        </w:tc>
      </w:tr>
      <w:tr w:rsidR="00785F4E" w14:paraId="0B8F04C0" w14:textId="77777777">
        <w:trPr>
          <w:jc w:val="center"/>
        </w:trPr>
        <w:tc>
          <w:tcPr>
            <w:tcW w:w="1337" w:type="dxa"/>
            <w:vAlign w:val="center"/>
          </w:tcPr>
          <w:p w14:paraId="04E8A2D2" w14:textId="77777777" w:rsidR="00785F4E" w:rsidRDefault="00000000">
            <w:pPr>
              <w:spacing w:after="0"/>
            </w:pPr>
            <w:r>
              <w:rPr>
                <w:sz w:val="17"/>
              </w:rPr>
              <w:t>PE_TTM</w:t>
            </w:r>
          </w:p>
        </w:tc>
        <w:tc>
          <w:tcPr>
            <w:tcW w:w="1337" w:type="dxa"/>
            <w:vAlign w:val="center"/>
          </w:tcPr>
          <w:p w14:paraId="6BBB11AD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9.47%</w:t>
            </w:r>
          </w:p>
        </w:tc>
        <w:tc>
          <w:tcPr>
            <w:tcW w:w="1337" w:type="dxa"/>
            <w:vAlign w:val="center"/>
          </w:tcPr>
          <w:p w14:paraId="02A20D51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19.30%</w:t>
            </w:r>
          </w:p>
        </w:tc>
        <w:tc>
          <w:tcPr>
            <w:tcW w:w="1337" w:type="dxa"/>
            <w:vAlign w:val="center"/>
          </w:tcPr>
          <w:p w14:paraId="1DE58C75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+9.83%</w:t>
            </w:r>
          </w:p>
        </w:tc>
        <w:tc>
          <w:tcPr>
            <w:tcW w:w="1337" w:type="dxa"/>
            <w:vAlign w:val="center"/>
          </w:tcPr>
          <w:p w14:paraId="0A4A288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0.50</w:t>
            </w:r>
          </w:p>
        </w:tc>
        <w:tc>
          <w:tcPr>
            <w:tcW w:w="1337" w:type="dxa"/>
            <w:vAlign w:val="center"/>
          </w:tcPr>
          <w:p w14:paraId="5A022447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0.73</w:t>
            </w:r>
          </w:p>
        </w:tc>
        <w:tc>
          <w:tcPr>
            <w:tcW w:w="1337" w:type="dxa"/>
            <w:vAlign w:val="center"/>
          </w:tcPr>
          <w:p w14:paraId="1F369215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-12.81%</w:t>
            </w:r>
          </w:p>
        </w:tc>
      </w:tr>
      <w:tr w:rsidR="00785F4E" w14:paraId="36D86BA1" w14:textId="77777777">
        <w:trPr>
          <w:jc w:val="center"/>
        </w:trPr>
        <w:tc>
          <w:tcPr>
            <w:tcW w:w="1337" w:type="dxa"/>
            <w:vAlign w:val="center"/>
          </w:tcPr>
          <w:p w14:paraId="08B5FA6B" w14:textId="77777777" w:rsidR="00785F4E" w:rsidRDefault="00000000">
            <w:pPr>
              <w:spacing w:after="0"/>
            </w:pPr>
            <w:r>
              <w:rPr>
                <w:sz w:val="17"/>
              </w:rPr>
              <w:t>Volatility</w:t>
            </w:r>
          </w:p>
        </w:tc>
        <w:tc>
          <w:tcPr>
            <w:tcW w:w="1337" w:type="dxa"/>
            <w:vAlign w:val="center"/>
          </w:tcPr>
          <w:p w14:paraId="485484F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9.13%</w:t>
            </w:r>
          </w:p>
        </w:tc>
        <w:tc>
          <w:tcPr>
            <w:tcW w:w="1337" w:type="dxa"/>
            <w:vAlign w:val="center"/>
          </w:tcPr>
          <w:p w14:paraId="6D7E6E2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15.08%</w:t>
            </w:r>
          </w:p>
        </w:tc>
        <w:tc>
          <w:tcPr>
            <w:tcW w:w="1337" w:type="dxa"/>
            <w:vAlign w:val="center"/>
          </w:tcPr>
          <w:p w14:paraId="2655516C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+5.95%</w:t>
            </w:r>
          </w:p>
        </w:tc>
        <w:tc>
          <w:tcPr>
            <w:tcW w:w="1337" w:type="dxa"/>
            <w:vAlign w:val="center"/>
          </w:tcPr>
          <w:p w14:paraId="322161FE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0.50</w:t>
            </w:r>
          </w:p>
        </w:tc>
        <w:tc>
          <w:tcPr>
            <w:tcW w:w="1337" w:type="dxa"/>
            <w:vAlign w:val="center"/>
          </w:tcPr>
          <w:p w14:paraId="45B92B3C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0.69</w:t>
            </w:r>
          </w:p>
        </w:tc>
        <w:tc>
          <w:tcPr>
            <w:tcW w:w="1337" w:type="dxa"/>
            <w:vAlign w:val="center"/>
          </w:tcPr>
          <w:p w14:paraId="6BBC6E17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-8.47%</w:t>
            </w:r>
          </w:p>
        </w:tc>
      </w:tr>
      <w:tr w:rsidR="00785F4E" w14:paraId="15F4FC12" w14:textId="77777777">
        <w:trPr>
          <w:jc w:val="center"/>
        </w:trPr>
        <w:tc>
          <w:tcPr>
            <w:tcW w:w="1337" w:type="dxa"/>
            <w:vAlign w:val="center"/>
          </w:tcPr>
          <w:p w14:paraId="27A5E252" w14:textId="77777777" w:rsidR="00785F4E" w:rsidRDefault="00000000">
            <w:pPr>
              <w:spacing w:after="0"/>
            </w:pPr>
            <w:r>
              <w:rPr>
                <w:sz w:val="17"/>
              </w:rPr>
              <w:t>ROE</w:t>
            </w:r>
          </w:p>
        </w:tc>
        <w:tc>
          <w:tcPr>
            <w:tcW w:w="1337" w:type="dxa"/>
            <w:vAlign w:val="center"/>
          </w:tcPr>
          <w:p w14:paraId="21E82DAC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6.29%</w:t>
            </w:r>
          </w:p>
        </w:tc>
        <w:tc>
          <w:tcPr>
            <w:tcW w:w="1337" w:type="dxa"/>
            <w:vAlign w:val="center"/>
          </w:tcPr>
          <w:p w14:paraId="632CD6B4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10.69%</w:t>
            </w:r>
          </w:p>
        </w:tc>
        <w:tc>
          <w:tcPr>
            <w:tcW w:w="1337" w:type="dxa"/>
            <w:vAlign w:val="center"/>
          </w:tcPr>
          <w:p w14:paraId="4A35B293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+4.40%</w:t>
            </w:r>
          </w:p>
        </w:tc>
        <w:tc>
          <w:tcPr>
            <w:tcW w:w="1337" w:type="dxa"/>
            <w:vAlign w:val="center"/>
          </w:tcPr>
          <w:p w14:paraId="09107C8F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0.29</w:t>
            </w:r>
          </w:p>
        </w:tc>
        <w:tc>
          <w:tcPr>
            <w:tcW w:w="1337" w:type="dxa"/>
            <w:vAlign w:val="center"/>
          </w:tcPr>
          <w:p w14:paraId="5887348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0.45</w:t>
            </w:r>
          </w:p>
        </w:tc>
        <w:tc>
          <w:tcPr>
            <w:tcW w:w="1337" w:type="dxa"/>
            <w:vAlign w:val="center"/>
          </w:tcPr>
          <w:p w14:paraId="55F793FC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+6.22%</w:t>
            </w:r>
          </w:p>
        </w:tc>
      </w:tr>
      <w:tr w:rsidR="00785F4E" w14:paraId="3B36ED60" w14:textId="77777777">
        <w:trPr>
          <w:jc w:val="center"/>
        </w:trPr>
        <w:tc>
          <w:tcPr>
            <w:tcW w:w="1337" w:type="dxa"/>
            <w:vAlign w:val="center"/>
          </w:tcPr>
          <w:p w14:paraId="727709FD" w14:textId="77777777" w:rsidR="00785F4E" w:rsidRDefault="00000000">
            <w:pPr>
              <w:spacing w:after="0"/>
            </w:pPr>
            <w:r>
              <w:rPr>
                <w:sz w:val="17"/>
              </w:rPr>
              <w:t>Main_Net_In</w:t>
            </w:r>
          </w:p>
        </w:tc>
        <w:tc>
          <w:tcPr>
            <w:tcW w:w="1337" w:type="dxa"/>
            <w:vAlign w:val="center"/>
          </w:tcPr>
          <w:p w14:paraId="5BC72BBD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1.88%</w:t>
            </w:r>
          </w:p>
        </w:tc>
        <w:tc>
          <w:tcPr>
            <w:tcW w:w="1337" w:type="dxa"/>
            <w:vAlign w:val="center"/>
          </w:tcPr>
          <w:p w14:paraId="02E5E32E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5.90%</w:t>
            </w:r>
          </w:p>
        </w:tc>
        <w:tc>
          <w:tcPr>
            <w:tcW w:w="1337" w:type="dxa"/>
            <w:vAlign w:val="center"/>
          </w:tcPr>
          <w:p w14:paraId="4849164E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+4.02%</w:t>
            </w:r>
          </w:p>
        </w:tc>
        <w:tc>
          <w:tcPr>
            <w:tcW w:w="1337" w:type="dxa"/>
            <w:vAlign w:val="center"/>
          </w:tcPr>
          <w:p w14:paraId="36E989D4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0.08</w:t>
            </w:r>
          </w:p>
        </w:tc>
        <w:tc>
          <w:tcPr>
            <w:tcW w:w="1337" w:type="dxa"/>
            <w:vAlign w:val="center"/>
          </w:tcPr>
          <w:p w14:paraId="38594C2E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1337" w:type="dxa"/>
            <w:vAlign w:val="center"/>
          </w:tcPr>
          <w:p w14:paraId="54CC4319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+4.46%</w:t>
            </w:r>
          </w:p>
        </w:tc>
      </w:tr>
      <w:tr w:rsidR="00785F4E" w14:paraId="46BC42DF" w14:textId="77777777">
        <w:trPr>
          <w:jc w:val="center"/>
        </w:trPr>
        <w:tc>
          <w:tcPr>
            <w:tcW w:w="1337" w:type="dxa"/>
            <w:vAlign w:val="center"/>
          </w:tcPr>
          <w:p w14:paraId="453D46CE" w14:textId="77777777" w:rsidR="00785F4E" w:rsidRDefault="00000000">
            <w:pPr>
              <w:spacing w:after="0"/>
            </w:pPr>
            <w:r>
              <w:rPr>
                <w:sz w:val="17"/>
              </w:rPr>
              <w:t>Gross_Margin</w:t>
            </w:r>
          </w:p>
        </w:tc>
        <w:tc>
          <w:tcPr>
            <w:tcW w:w="1337" w:type="dxa"/>
            <w:vAlign w:val="center"/>
          </w:tcPr>
          <w:p w14:paraId="5AD218E3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7.96%</w:t>
            </w:r>
          </w:p>
        </w:tc>
        <w:tc>
          <w:tcPr>
            <w:tcW w:w="1337" w:type="dxa"/>
            <w:vAlign w:val="center"/>
          </w:tcPr>
          <w:p w14:paraId="4911A451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10.75%</w:t>
            </w:r>
          </w:p>
        </w:tc>
        <w:tc>
          <w:tcPr>
            <w:tcW w:w="1337" w:type="dxa"/>
            <w:vAlign w:val="center"/>
          </w:tcPr>
          <w:p w14:paraId="44D987D3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+2.80%</w:t>
            </w:r>
          </w:p>
        </w:tc>
        <w:tc>
          <w:tcPr>
            <w:tcW w:w="1337" w:type="dxa"/>
            <w:vAlign w:val="center"/>
          </w:tcPr>
          <w:p w14:paraId="683C7FA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0.31</w:t>
            </w:r>
          </w:p>
        </w:tc>
        <w:tc>
          <w:tcPr>
            <w:tcW w:w="1337" w:type="dxa"/>
            <w:vAlign w:val="center"/>
          </w:tcPr>
          <w:p w14:paraId="73FAB10A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0.43</w:t>
            </w:r>
          </w:p>
        </w:tc>
        <w:tc>
          <w:tcPr>
            <w:tcW w:w="1337" w:type="dxa"/>
            <w:vAlign w:val="center"/>
          </w:tcPr>
          <w:p w14:paraId="7366B860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+2.00%</w:t>
            </w:r>
          </w:p>
        </w:tc>
      </w:tr>
      <w:tr w:rsidR="00785F4E" w14:paraId="6305D3F9" w14:textId="77777777">
        <w:trPr>
          <w:jc w:val="center"/>
        </w:trPr>
        <w:tc>
          <w:tcPr>
            <w:tcW w:w="1337" w:type="dxa"/>
            <w:vAlign w:val="center"/>
          </w:tcPr>
          <w:p w14:paraId="3F5E3290" w14:textId="77777777" w:rsidR="00785F4E" w:rsidRDefault="00000000">
            <w:pPr>
              <w:spacing w:after="0"/>
            </w:pPr>
            <w:r>
              <w:rPr>
                <w:sz w:val="17"/>
              </w:rPr>
              <w:t>Dividend_Yield</w:t>
            </w:r>
          </w:p>
        </w:tc>
        <w:tc>
          <w:tcPr>
            <w:tcW w:w="1337" w:type="dxa"/>
            <w:vAlign w:val="center"/>
          </w:tcPr>
          <w:p w14:paraId="1BC69814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12.05%</w:t>
            </w:r>
          </w:p>
        </w:tc>
        <w:tc>
          <w:tcPr>
            <w:tcW w:w="1337" w:type="dxa"/>
            <w:vAlign w:val="center"/>
          </w:tcPr>
          <w:p w14:paraId="2CC501F8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14.47%</w:t>
            </w:r>
          </w:p>
        </w:tc>
        <w:tc>
          <w:tcPr>
            <w:tcW w:w="1337" w:type="dxa"/>
            <w:vAlign w:val="center"/>
          </w:tcPr>
          <w:p w14:paraId="1CE9649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+2.42%</w:t>
            </w:r>
          </w:p>
        </w:tc>
        <w:tc>
          <w:tcPr>
            <w:tcW w:w="1337" w:type="dxa"/>
            <w:vAlign w:val="center"/>
          </w:tcPr>
          <w:p w14:paraId="40C55C29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0.62</w:t>
            </w:r>
          </w:p>
        </w:tc>
        <w:tc>
          <w:tcPr>
            <w:tcW w:w="1337" w:type="dxa"/>
            <w:vAlign w:val="center"/>
          </w:tcPr>
          <w:p w14:paraId="6E6D602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0.68</w:t>
            </w:r>
          </w:p>
        </w:tc>
        <w:tc>
          <w:tcPr>
            <w:tcW w:w="1337" w:type="dxa"/>
            <w:vAlign w:val="center"/>
          </w:tcPr>
          <w:p w14:paraId="750F3233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-3.89%</w:t>
            </w:r>
          </w:p>
        </w:tc>
      </w:tr>
      <w:tr w:rsidR="00785F4E" w14:paraId="1A39EA2C" w14:textId="77777777">
        <w:trPr>
          <w:jc w:val="center"/>
        </w:trPr>
        <w:tc>
          <w:tcPr>
            <w:tcW w:w="1337" w:type="dxa"/>
            <w:vAlign w:val="center"/>
          </w:tcPr>
          <w:p w14:paraId="71A1E4A0" w14:textId="77777777" w:rsidR="00785F4E" w:rsidRDefault="00000000">
            <w:pPr>
              <w:spacing w:after="0"/>
            </w:pPr>
            <w:r>
              <w:rPr>
                <w:sz w:val="17"/>
              </w:rPr>
              <w:t>Momentum_60D</w:t>
            </w:r>
          </w:p>
        </w:tc>
        <w:tc>
          <w:tcPr>
            <w:tcW w:w="1337" w:type="dxa"/>
            <w:vAlign w:val="center"/>
          </w:tcPr>
          <w:p w14:paraId="6ACCC0EA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6.82%</w:t>
            </w:r>
          </w:p>
        </w:tc>
        <w:tc>
          <w:tcPr>
            <w:tcW w:w="1337" w:type="dxa"/>
            <w:vAlign w:val="center"/>
          </w:tcPr>
          <w:p w14:paraId="4C11B556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8.05%</w:t>
            </w:r>
          </w:p>
        </w:tc>
        <w:tc>
          <w:tcPr>
            <w:tcW w:w="1337" w:type="dxa"/>
            <w:vAlign w:val="center"/>
          </w:tcPr>
          <w:p w14:paraId="5E668679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+1.23%</w:t>
            </w:r>
          </w:p>
        </w:tc>
        <w:tc>
          <w:tcPr>
            <w:tcW w:w="1337" w:type="dxa"/>
            <w:vAlign w:val="center"/>
          </w:tcPr>
          <w:p w14:paraId="1E41AED2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1337" w:type="dxa"/>
            <w:vAlign w:val="center"/>
          </w:tcPr>
          <w:p w14:paraId="58DC601D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0.30</w:t>
            </w:r>
          </w:p>
        </w:tc>
        <w:tc>
          <w:tcPr>
            <w:tcW w:w="1337" w:type="dxa"/>
            <w:vAlign w:val="center"/>
          </w:tcPr>
          <w:p w14:paraId="196030B9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+6.48%</w:t>
            </w:r>
          </w:p>
        </w:tc>
      </w:tr>
      <w:tr w:rsidR="00785F4E" w14:paraId="4D1CDA09" w14:textId="77777777">
        <w:trPr>
          <w:jc w:val="center"/>
        </w:trPr>
        <w:tc>
          <w:tcPr>
            <w:tcW w:w="1337" w:type="dxa"/>
            <w:vAlign w:val="center"/>
          </w:tcPr>
          <w:p w14:paraId="3AD95FF8" w14:textId="77777777" w:rsidR="00785F4E" w:rsidRDefault="00000000">
            <w:pPr>
              <w:spacing w:after="0"/>
            </w:pPr>
            <w:r>
              <w:rPr>
                <w:sz w:val="17"/>
              </w:rPr>
              <w:lastRenderedPageBreak/>
              <w:t>Holder_Concen</w:t>
            </w:r>
          </w:p>
        </w:tc>
        <w:tc>
          <w:tcPr>
            <w:tcW w:w="1337" w:type="dxa"/>
            <w:vAlign w:val="center"/>
          </w:tcPr>
          <w:p w14:paraId="40437999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10.00%</w:t>
            </w:r>
          </w:p>
        </w:tc>
        <w:tc>
          <w:tcPr>
            <w:tcW w:w="1337" w:type="dxa"/>
            <w:vAlign w:val="center"/>
          </w:tcPr>
          <w:p w14:paraId="779CA783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10.96%</w:t>
            </w:r>
          </w:p>
        </w:tc>
        <w:tc>
          <w:tcPr>
            <w:tcW w:w="1337" w:type="dxa"/>
            <w:vAlign w:val="center"/>
          </w:tcPr>
          <w:p w14:paraId="4FD350FD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+0.96%</w:t>
            </w:r>
          </w:p>
        </w:tc>
        <w:tc>
          <w:tcPr>
            <w:tcW w:w="1337" w:type="dxa"/>
            <w:vAlign w:val="center"/>
          </w:tcPr>
          <w:p w14:paraId="78D6D23F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0.42</w:t>
            </w:r>
          </w:p>
        </w:tc>
        <w:tc>
          <w:tcPr>
            <w:tcW w:w="1337" w:type="dxa"/>
            <w:vAlign w:val="center"/>
          </w:tcPr>
          <w:p w14:paraId="644CC102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0.44</w:t>
            </w:r>
          </w:p>
        </w:tc>
        <w:tc>
          <w:tcPr>
            <w:tcW w:w="1337" w:type="dxa"/>
            <w:vAlign w:val="center"/>
          </w:tcPr>
          <w:p w14:paraId="6F9548F5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-0.84%</w:t>
            </w:r>
          </w:p>
        </w:tc>
      </w:tr>
      <w:tr w:rsidR="00785F4E" w14:paraId="530A468D" w14:textId="77777777">
        <w:trPr>
          <w:jc w:val="center"/>
        </w:trPr>
        <w:tc>
          <w:tcPr>
            <w:tcW w:w="1337" w:type="dxa"/>
            <w:vAlign w:val="center"/>
          </w:tcPr>
          <w:p w14:paraId="66E56EFF" w14:textId="77777777" w:rsidR="00785F4E" w:rsidRDefault="00000000">
            <w:pPr>
              <w:spacing w:after="0"/>
            </w:pPr>
            <w:r>
              <w:rPr>
                <w:sz w:val="17"/>
              </w:rPr>
              <w:t>Debt_to_Equity</w:t>
            </w:r>
          </w:p>
        </w:tc>
        <w:tc>
          <w:tcPr>
            <w:tcW w:w="1337" w:type="dxa"/>
            <w:vAlign w:val="center"/>
          </w:tcPr>
          <w:p w14:paraId="0AE023C7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11.50%</w:t>
            </w:r>
          </w:p>
        </w:tc>
        <w:tc>
          <w:tcPr>
            <w:tcW w:w="1337" w:type="dxa"/>
            <w:vAlign w:val="center"/>
          </w:tcPr>
          <w:p w14:paraId="53C9356D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11.63%</w:t>
            </w:r>
          </w:p>
        </w:tc>
        <w:tc>
          <w:tcPr>
            <w:tcW w:w="1337" w:type="dxa"/>
            <w:vAlign w:val="center"/>
          </w:tcPr>
          <w:p w14:paraId="69136FE9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+0.13%</w:t>
            </w:r>
          </w:p>
        </w:tc>
        <w:tc>
          <w:tcPr>
            <w:tcW w:w="1337" w:type="dxa"/>
            <w:vAlign w:val="center"/>
          </w:tcPr>
          <w:p w14:paraId="29B92B44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0.42</w:t>
            </w:r>
          </w:p>
        </w:tc>
        <w:tc>
          <w:tcPr>
            <w:tcW w:w="1337" w:type="dxa"/>
            <w:vAlign w:val="center"/>
          </w:tcPr>
          <w:p w14:paraId="3FBD9F94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0.48</w:t>
            </w:r>
          </w:p>
        </w:tc>
        <w:tc>
          <w:tcPr>
            <w:tcW w:w="1337" w:type="dxa"/>
            <w:vAlign w:val="center"/>
          </w:tcPr>
          <w:p w14:paraId="689FBC5E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+5.20%</w:t>
            </w:r>
          </w:p>
        </w:tc>
      </w:tr>
      <w:tr w:rsidR="00785F4E" w14:paraId="33378808" w14:textId="77777777">
        <w:trPr>
          <w:jc w:val="center"/>
        </w:trPr>
        <w:tc>
          <w:tcPr>
            <w:tcW w:w="1337" w:type="dxa"/>
            <w:vAlign w:val="center"/>
          </w:tcPr>
          <w:p w14:paraId="4C417859" w14:textId="77777777" w:rsidR="00785F4E" w:rsidRDefault="00000000">
            <w:pPr>
              <w:spacing w:after="0"/>
            </w:pPr>
            <w:r>
              <w:rPr>
                <w:sz w:val="17"/>
              </w:rPr>
              <w:t>Turnover_20D</w:t>
            </w:r>
          </w:p>
        </w:tc>
        <w:tc>
          <w:tcPr>
            <w:tcW w:w="1337" w:type="dxa"/>
            <w:vAlign w:val="center"/>
          </w:tcPr>
          <w:p w14:paraId="06B2C21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3.67%</w:t>
            </w:r>
          </w:p>
        </w:tc>
        <w:tc>
          <w:tcPr>
            <w:tcW w:w="1337" w:type="dxa"/>
            <w:vAlign w:val="center"/>
          </w:tcPr>
          <w:p w14:paraId="12CD3C22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3.26%</w:t>
            </w:r>
          </w:p>
        </w:tc>
        <w:tc>
          <w:tcPr>
            <w:tcW w:w="1337" w:type="dxa"/>
            <w:vAlign w:val="center"/>
          </w:tcPr>
          <w:p w14:paraId="6688B246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-0.41%</w:t>
            </w:r>
          </w:p>
        </w:tc>
        <w:tc>
          <w:tcPr>
            <w:tcW w:w="1337" w:type="dxa"/>
            <w:vAlign w:val="center"/>
          </w:tcPr>
          <w:p w14:paraId="252C240A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0.12</w:t>
            </w:r>
          </w:p>
        </w:tc>
        <w:tc>
          <w:tcPr>
            <w:tcW w:w="1337" w:type="dxa"/>
            <w:vAlign w:val="center"/>
          </w:tcPr>
          <w:p w14:paraId="296F49BC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0.11</w:t>
            </w:r>
          </w:p>
        </w:tc>
        <w:tc>
          <w:tcPr>
            <w:tcW w:w="1337" w:type="dxa"/>
            <w:vAlign w:val="center"/>
          </w:tcPr>
          <w:p w14:paraId="2D6C6A52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+1.51%</w:t>
            </w:r>
          </w:p>
        </w:tc>
      </w:tr>
      <w:tr w:rsidR="00785F4E" w14:paraId="2538BA5A" w14:textId="77777777">
        <w:trPr>
          <w:jc w:val="center"/>
        </w:trPr>
        <w:tc>
          <w:tcPr>
            <w:tcW w:w="1337" w:type="dxa"/>
            <w:vAlign w:val="center"/>
          </w:tcPr>
          <w:p w14:paraId="746A763E" w14:textId="77777777" w:rsidR="00785F4E" w:rsidRDefault="00000000">
            <w:pPr>
              <w:spacing w:after="0"/>
            </w:pPr>
            <w:r>
              <w:rPr>
                <w:sz w:val="17"/>
              </w:rPr>
              <w:t>Revenue_Growth</w:t>
            </w:r>
          </w:p>
        </w:tc>
        <w:tc>
          <w:tcPr>
            <w:tcW w:w="1337" w:type="dxa"/>
            <w:vAlign w:val="center"/>
          </w:tcPr>
          <w:p w14:paraId="33471279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14.49%</w:t>
            </w:r>
          </w:p>
        </w:tc>
        <w:tc>
          <w:tcPr>
            <w:tcW w:w="1337" w:type="dxa"/>
            <w:vAlign w:val="center"/>
          </w:tcPr>
          <w:p w14:paraId="489C7FCD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13.88%</w:t>
            </w:r>
          </w:p>
        </w:tc>
        <w:tc>
          <w:tcPr>
            <w:tcW w:w="1337" w:type="dxa"/>
            <w:vAlign w:val="center"/>
          </w:tcPr>
          <w:p w14:paraId="36DFBF21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-0.61%</w:t>
            </w:r>
          </w:p>
        </w:tc>
        <w:tc>
          <w:tcPr>
            <w:tcW w:w="1337" w:type="dxa"/>
            <w:vAlign w:val="center"/>
          </w:tcPr>
          <w:p w14:paraId="40B41EC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0.55</w:t>
            </w:r>
          </w:p>
        </w:tc>
        <w:tc>
          <w:tcPr>
            <w:tcW w:w="1337" w:type="dxa"/>
            <w:vAlign w:val="center"/>
          </w:tcPr>
          <w:p w14:paraId="590E285D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0.53</w:t>
            </w:r>
          </w:p>
        </w:tc>
        <w:tc>
          <w:tcPr>
            <w:tcW w:w="1337" w:type="dxa"/>
            <w:vAlign w:val="center"/>
          </w:tcPr>
          <w:p w14:paraId="0F2F50BA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+4.23%</w:t>
            </w:r>
          </w:p>
        </w:tc>
      </w:tr>
    </w:tbl>
    <w:p w14:paraId="392B114B" w14:textId="286F2EBE" w:rsidR="00785F4E" w:rsidRDefault="00000000" w:rsidP="00677204">
      <w:r>
        <w:rPr>
          <w:b/>
          <w:color w:val="2E74B5"/>
          <w:sz w:val="32"/>
        </w:rPr>
        <w:t xml:space="preserve">4. </w:t>
      </w:r>
      <w:proofErr w:type="spellStart"/>
      <w:r>
        <w:rPr>
          <w:b/>
          <w:color w:val="2E74B5"/>
          <w:sz w:val="32"/>
        </w:rPr>
        <w:t>中性化后因子排序</w:t>
      </w:r>
      <w:proofErr w:type="spellEnd"/>
    </w:p>
    <w:p w14:paraId="444339E5" w14:textId="77777777" w:rsidR="00785F4E" w:rsidRDefault="00000000">
      <w:pPr>
        <w:spacing w:before="40"/>
      </w:pPr>
      <w:r>
        <w:rPr>
          <w:color w:val="5A5A5A"/>
          <w:sz w:val="18"/>
        </w:rPr>
        <w:t>数据来源：</w:t>
      </w:r>
      <w:r>
        <w:rPr>
          <w:color w:val="5A5A5A"/>
          <w:sz w:val="18"/>
        </w:rPr>
        <w:t>outputs/neutralized/tables/factor_metrics.csv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337"/>
        <w:gridCol w:w="2088"/>
        <w:gridCol w:w="1337"/>
        <w:gridCol w:w="1337"/>
        <w:gridCol w:w="1337"/>
        <w:gridCol w:w="1337"/>
        <w:gridCol w:w="1337"/>
      </w:tblGrid>
      <w:tr w:rsidR="00785F4E" w14:paraId="021711C3" w14:textId="77777777">
        <w:trPr>
          <w:jc w:val="center"/>
        </w:trPr>
        <w:tc>
          <w:tcPr>
            <w:tcW w:w="648" w:type="dxa"/>
            <w:shd w:val="clear" w:color="auto" w:fill="F2F4F7"/>
            <w:vAlign w:val="center"/>
          </w:tcPr>
          <w:p w14:paraId="6210E340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排名</w:t>
            </w:r>
          </w:p>
        </w:tc>
        <w:tc>
          <w:tcPr>
            <w:tcW w:w="2088" w:type="dxa"/>
            <w:shd w:val="clear" w:color="auto" w:fill="F2F4F7"/>
            <w:vAlign w:val="center"/>
          </w:tcPr>
          <w:p w14:paraId="3CEAFF05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因子</w:t>
            </w:r>
          </w:p>
        </w:tc>
        <w:tc>
          <w:tcPr>
            <w:tcW w:w="1296" w:type="dxa"/>
            <w:shd w:val="clear" w:color="auto" w:fill="F2F4F7"/>
            <w:vAlign w:val="center"/>
          </w:tcPr>
          <w:p w14:paraId="1E462475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年化收益</w:t>
            </w:r>
          </w:p>
        </w:tc>
        <w:tc>
          <w:tcPr>
            <w:tcW w:w="1296" w:type="dxa"/>
            <w:shd w:val="clear" w:color="auto" w:fill="F2F4F7"/>
            <w:vAlign w:val="center"/>
          </w:tcPr>
          <w:p w14:paraId="03F1547B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年化波动</w:t>
            </w:r>
          </w:p>
        </w:tc>
        <w:tc>
          <w:tcPr>
            <w:tcW w:w="1296" w:type="dxa"/>
            <w:shd w:val="clear" w:color="auto" w:fill="F2F4F7"/>
            <w:vAlign w:val="center"/>
          </w:tcPr>
          <w:p w14:paraId="5C429A18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最大回撤</w:t>
            </w:r>
          </w:p>
        </w:tc>
        <w:tc>
          <w:tcPr>
            <w:tcW w:w="1007" w:type="dxa"/>
            <w:shd w:val="clear" w:color="auto" w:fill="F2F4F7"/>
            <w:vAlign w:val="center"/>
          </w:tcPr>
          <w:p w14:paraId="021E7964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Sharpe</w:t>
            </w:r>
          </w:p>
        </w:tc>
        <w:tc>
          <w:tcPr>
            <w:tcW w:w="1296" w:type="dxa"/>
            <w:shd w:val="clear" w:color="auto" w:fill="F2F4F7"/>
            <w:vAlign w:val="center"/>
          </w:tcPr>
          <w:p w14:paraId="6623AFAB" w14:textId="77777777" w:rsidR="00785F4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年化超额</w:t>
            </w:r>
          </w:p>
        </w:tc>
      </w:tr>
      <w:tr w:rsidR="00785F4E" w14:paraId="6AA789DD" w14:textId="77777777">
        <w:trPr>
          <w:jc w:val="center"/>
        </w:trPr>
        <w:tc>
          <w:tcPr>
            <w:tcW w:w="1337" w:type="dxa"/>
            <w:vAlign w:val="center"/>
          </w:tcPr>
          <w:p w14:paraId="4A1119C4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337" w:type="dxa"/>
            <w:vAlign w:val="center"/>
          </w:tcPr>
          <w:p w14:paraId="0D164954" w14:textId="77777777" w:rsidR="00785F4E" w:rsidRDefault="00000000">
            <w:pPr>
              <w:spacing w:after="0"/>
            </w:pPr>
            <w:r>
              <w:rPr>
                <w:sz w:val="17"/>
              </w:rPr>
              <w:t>PE_TTM</w:t>
            </w:r>
          </w:p>
        </w:tc>
        <w:tc>
          <w:tcPr>
            <w:tcW w:w="1337" w:type="dxa"/>
            <w:vAlign w:val="center"/>
          </w:tcPr>
          <w:p w14:paraId="2B07CCD2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19.30%</w:t>
            </w:r>
          </w:p>
        </w:tc>
        <w:tc>
          <w:tcPr>
            <w:tcW w:w="1337" w:type="dxa"/>
            <w:vAlign w:val="center"/>
          </w:tcPr>
          <w:p w14:paraId="65495BB2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26.45%</w:t>
            </w:r>
          </w:p>
        </w:tc>
        <w:tc>
          <w:tcPr>
            <w:tcW w:w="1337" w:type="dxa"/>
            <w:vAlign w:val="center"/>
          </w:tcPr>
          <w:p w14:paraId="4A4F9979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-30.72%</w:t>
            </w:r>
          </w:p>
        </w:tc>
        <w:tc>
          <w:tcPr>
            <w:tcW w:w="1337" w:type="dxa"/>
            <w:vAlign w:val="center"/>
          </w:tcPr>
          <w:p w14:paraId="6ABFA0AE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0.73</w:t>
            </w:r>
          </w:p>
        </w:tc>
        <w:tc>
          <w:tcPr>
            <w:tcW w:w="1337" w:type="dxa"/>
            <w:vAlign w:val="center"/>
          </w:tcPr>
          <w:p w14:paraId="5484185D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16.19%</w:t>
            </w:r>
          </w:p>
        </w:tc>
      </w:tr>
      <w:tr w:rsidR="00785F4E" w14:paraId="291E6A34" w14:textId="77777777">
        <w:trPr>
          <w:jc w:val="center"/>
        </w:trPr>
        <w:tc>
          <w:tcPr>
            <w:tcW w:w="1337" w:type="dxa"/>
            <w:vAlign w:val="center"/>
          </w:tcPr>
          <w:p w14:paraId="3860DA92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337" w:type="dxa"/>
            <w:vAlign w:val="center"/>
          </w:tcPr>
          <w:p w14:paraId="76ADF378" w14:textId="77777777" w:rsidR="00785F4E" w:rsidRDefault="00000000">
            <w:pPr>
              <w:spacing w:after="0"/>
            </w:pPr>
            <w:r>
              <w:rPr>
                <w:sz w:val="17"/>
              </w:rPr>
              <w:t>Volatility</w:t>
            </w:r>
          </w:p>
        </w:tc>
        <w:tc>
          <w:tcPr>
            <w:tcW w:w="1337" w:type="dxa"/>
            <w:vAlign w:val="center"/>
          </w:tcPr>
          <w:p w14:paraId="0A623A08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15.08%</w:t>
            </w:r>
          </w:p>
        </w:tc>
        <w:tc>
          <w:tcPr>
            <w:tcW w:w="1337" w:type="dxa"/>
            <w:vAlign w:val="center"/>
          </w:tcPr>
          <w:p w14:paraId="75590D0F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22.00%</w:t>
            </w:r>
          </w:p>
        </w:tc>
        <w:tc>
          <w:tcPr>
            <w:tcW w:w="1337" w:type="dxa"/>
            <w:vAlign w:val="center"/>
          </w:tcPr>
          <w:p w14:paraId="7456F594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-30.91%</w:t>
            </w:r>
          </w:p>
        </w:tc>
        <w:tc>
          <w:tcPr>
            <w:tcW w:w="1337" w:type="dxa"/>
            <w:vAlign w:val="center"/>
          </w:tcPr>
          <w:p w14:paraId="471815C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0.69</w:t>
            </w:r>
          </w:p>
        </w:tc>
        <w:tc>
          <w:tcPr>
            <w:tcW w:w="1337" w:type="dxa"/>
            <w:vAlign w:val="center"/>
          </w:tcPr>
          <w:p w14:paraId="0208DD4C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11.97%</w:t>
            </w:r>
          </w:p>
        </w:tc>
      </w:tr>
      <w:tr w:rsidR="00785F4E" w14:paraId="6FBD6062" w14:textId="77777777">
        <w:trPr>
          <w:jc w:val="center"/>
        </w:trPr>
        <w:tc>
          <w:tcPr>
            <w:tcW w:w="1337" w:type="dxa"/>
            <w:vAlign w:val="center"/>
          </w:tcPr>
          <w:p w14:paraId="0EDD0C36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337" w:type="dxa"/>
            <w:vAlign w:val="center"/>
          </w:tcPr>
          <w:p w14:paraId="512A2A64" w14:textId="77777777" w:rsidR="00785F4E" w:rsidRDefault="00000000">
            <w:pPr>
              <w:spacing w:after="0"/>
            </w:pPr>
            <w:r>
              <w:rPr>
                <w:sz w:val="17"/>
              </w:rPr>
              <w:t>Dividend_Yield</w:t>
            </w:r>
          </w:p>
        </w:tc>
        <w:tc>
          <w:tcPr>
            <w:tcW w:w="1337" w:type="dxa"/>
            <w:vAlign w:val="center"/>
          </w:tcPr>
          <w:p w14:paraId="59A90FB3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14.47%</w:t>
            </w:r>
          </w:p>
        </w:tc>
        <w:tc>
          <w:tcPr>
            <w:tcW w:w="1337" w:type="dxa"/>
            <w:vAlign w:val="center"/>
          </w:tcPr>
          <w:p w14:paraId="45CC29E8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21.13%</w:t>
            </w:r>
          </w:p>
        </w:tc>
        <w:tc>
          <w:tcPr>
            <w:tcW w:w="1337" w:type="dxa"/>
            <w:vAlign w:val="center"/>
          </w:tcPr>
          <w:p w14:paraId="447087FE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-23.34%</w:t>
            </w:r>
          </w:p>
        </w:tc>
        <w:tc>
          <w:tcPr>
            <w:tcW w:w="1337" w:type="dxa"/>
            <w:vAlign w:val="center"/>
          </w:tcPr>
          <w:p w14:paraId="2C1DE587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0.68</w:t>
            </w:r>
          </w:p>
        </w:tc>
        <w:tc>
          <w:tcPr>
            <w:tcW w:w="1337" w:type="dxa"/>
            <w:vAlign w:val="center"/>
          </w:tcPr>
          <w:p w14:paraId="11FB461C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11.36%</w:t>
            </w:r>
          </w:p>
        </w:tc>
      </w:tr>
      <w:tr w:rsidR="00785F4E" w14:paraId="4F19E953" w14:textId="77777777">
        <w:trPr>
          <w:jc w:val="center"/>
        </w:trPr>
        <w:tc>
          <w:tcPr>
            <w:tcW w:w="1337" w:type="dxa"/>
            <w:vAlign w:val="center"/>
          </w:tcPr>
          <w:p w14:paraId="4F2782FE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337" w:type="dxa"/>
            <w:vAlign w:val="center"/>
          </w:tcPr>
          <w:p w14:paraId="39D919A0" w14:textId="77777777" w:rsidR="00785F4E" w:rsidRDefault="00000000">
            <w:pPr>
              <w:spacing w:after="0"/>
            </w:pPr>
            <w:r>
              <w:rPr>
                <w:sz w:val="17"/>
              </w:rPr>
              <w:t>Revenue_Growth</w:t>
            </w:r>
          </w:p>
        </w:tc>
        <w:tc>
          <w:tcPr>
            <w:tcW w:w="1337" w:type="dxa"/>
            <w:vAlign w:val="center"/>
          </w:tcPr>
          <w:p w14:paraId="58B8D050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13.88%</w:t>
            </w:r>
          </w:p>
        </w:tc>
        <w:tc>
          <w:tcPr>
            <w:tcW w:w="1337" w:type="dxa"/>
            <w:vAlign w:val="center"/>
          </w:tcPr>
          <w:p w14:paraId="451C67F3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26.16%</w:t>
            </w:r>
          </w:p>
        </w:tc>
        <w:tc>
          <w:tcPr>
            <w:tcW w:w="1337" w:type="dxa"/>
            <w:vAlign w:val="center"/>
          </w:tcPr>
          <w:p w14:paraId="6DCCBBC7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-34.86%</w:t>
            </w:r>
          </w:p>
        </w:tc>
        <w:tc>
          <w:tcPr>
            <w:tcW w:w="1337" w:type="dxa"/>
            <w:vAlign w:val="center"/>
          </w:tcPr>
          <w:p w14:paraId="624CADB6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0.53</w:t>
            </w:r>
          </w:p>
        </w:tc>
        <w:tc>
          <w:tcPr>
            <w:tcW w:w="1337" w:type="dxa"/>
            <w:vAlign w:val="center"/>
          </w:tcPr>
          <w:p w14:paraId="32B11907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10.77%</w:t>
            </w:r>
          </w:p>
        </w:tc>
      </w:tr>
      <w:tr w:rsidR="00785F4E" w14:paraId="6D1A37C7" w14:textId="77777777">
        <w:trPr>
          <w:jc w:val="center"/>
        </w:trPr>
        <w:tc>
          <w:tcPr>
            <w:tcW w:w="1337" w:type="dxa"/>
            <w:vAlign w:val="center"/>
          </w:tcPr>
          <w:p w14:paraId="3018EF71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337" w:type="dxa"/>
            <w:vAlign w:val="center"/>
          </w:tcPr>
          <w:p w14:paraId="47A6972B" w14:textId="77777777" w:rsidR="00785F4E" w:rsidRDefault="00000000">
            <w:pPr>
              <w:spacing w:after="0"/>
            </w:pPr>
            <w:r>
              <w:rPr>
                <w:sz w:val="17"/>
              </w:rPr>
              <w:t>Debt_to_Equity</w:t>
            </w:r>
          </w:p>
        </w:tc>
        <w:tc>
          <w:tcPr>
            <w:tcW w:w="1337" w:type="dxa"/>
            <w:vAlign w:val="center"/>
          </w:tcPr>
          <w:p w14:paraId="5D0233A5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11.63%</w:t>
            </w:r>
          </w:p>
        </w:tc>
        <w:tc>
          <w:tcPr>
            <w:tcW w:w="1337" w:type="dxa"/>
            <w:vAlign w:val="center"/>
          </w:tcPr>
          <w:p w14:paraId="388437C7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24.28%</w:t>
            </w:r>
          </w:p>
        </w:tc>
        <w:tc>
          <w:tcPr>
            <w:tcW w:w="1337" w:type="dxa"/>
            <w:vAlign w:val="center"/>
          </w:tcPr>
          <w:p w14:paraId="435CAA47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-29.26%</w:t>
            </w:r>
          </w:p>
        </w:tc>
        <w:tc>
          <w:tcPr>
            <w:tcW w:w="1337" w:type="dxa"/>
            <w:vAlign w:val="center"/>
          </w:tcPr>
          <w:p w14:paraId="54FD4F97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0.48</w:t>
            </w:r>
          </w:p>
        </w:tc>
        <w:tc>
          <w:tcPr>
            <w:tcW w:w="1337" w:type="dxa"/>
            <w:vAlign w:val="center"/>
          </w:tcPr>
          <w:p w14:paraId="14E33FF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8.52%</w:t>
            </w:r>
          </w:p>
        </w:tc>
      </w:tr>
      <w:tr w:rsidR="00785F4E" w14:paraId="4AE6F8BE" w14:textId="77777777">
        <w:trPr>
          <w:jc w:val="center"/>
        </w:trPr>
        <w:tc>
          <w:tcPr>
            <w:tcW w:w="1337" w:type="dxa"/>
            <w:vAlign w:val="center"/>
          </w:tcPr>
          <w:p w14:paraId="21DAC4F5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337" w:type="dxa"/>
            <w:vAlign w:val="center"/>
          </w:tcPr>
          <w:p w14:paraId="60C2A1A0" w14:textId="77777777" w:rsidR="00785F4E" w:rsidRDefault="00000000">
            <w:pPr>
              <w:spacing w:after="0"/>
            </w:pPr>
            <w:r>
              <w:rPr>
                <w:sz w:val="17"/>
              </w:rPr>
              <w:t>Holder_Concen</w:t>
            </w:r>
          </w:p>
        </w:tc>
        <w:tc>
          <w:tcPr>
            <w:tcW w:w="1337" w:type="dxa"/>
            <w:vAlign w:val="center"/>
          </w:tcPr>
          <w:p w14:paraId="25BF60ED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10.96%</w:t>
            </w:r>
          </w:p>
        </w:tc>
        <w:tc>
          <w:tcPr>
            <w:tcW w:w="1337" w:type="dxa"/>
            <w:vAlign w:val="center"/>
          </w:tcPr>
          <w:p w14:paraId="39F629D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24.63%</w:t>
            </w:r>
          </w:p>
        </w:tc>
        <w:tc>
          <w:tcPr>
            <w:tcW w:w="1337" w:type="dxa"/>
            <w:vAlign w:val="center"/>
          </w:tcPr>
          <w:p w14:paraId="33B09485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-29.57%</w:t>
            </w:r>
          </w:p>
        </w:tc>
        <w:tc>
          <w:tcPr>
            <w:tcW w:w="1337" w:type="dxa"/>
            <w:vAlign w:val="center"/>
          </w:tcPr>
          <w:p w14:paraId="183E839E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0.44</w:t>
            </w:r>
          </w:p>
        </w:tc>
        <w:tc>
          <w:tcPr>
            <w:tcW w:w="1337" w:type="dxa"/>
            <w:vAlign w:val="center"/>
          </w:tcPr>
          <w:p w14:paraId="314BFAF3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7.85%</w:t>
            </w:r>
          </w:p>
        </w:tc>
      </w:tr>
      <w:tr w:rsidR="00785F4E" w14:paraId="0B836CC0" w14:textId="77777777">
        <w:trPr>
          <w:jc w:val="center"/>
        </w:trPr>
        <w:tc>
          <w:tcPr>
            <w:tcW w:w="1337" w:type="dxa"/>
            <w:vAlign w:val="center"/>
          </w:tcPr>
          <w:p w14:paraId="19E18145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337" w:type="dxa"/>
            <w:vAlign w:val="center"/>
          </w:tcPr>
          <w:p w14:paraId="7B28EB49" w14:textId="77777777" w:rsidR="00785F4E" w:rsidRDefault="00000000">
            <w:pPr>
              <w:spacing w:after="0"/>
            </w:pPr>
            <w:r>
              <w:rPr>
                <w:sz w:val="17"/>
              </w:rPr>
              <w:t>Gross_Margin</w:t>
            </w:r>
          </w:p>
        </w:tc>
        <w:tc>
          <w:tcPr>
            <w:tcW w:w="1337" w:type="dxa"/>
            <w:vAlign w:val="center"/>
          </w:tcPr>
          <w:p w14:paraId="6BD74AB3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10.75%</w:t>
            </w:r>
          </w:p>
        </w:tc>
        <w:tc>
          <w:tcPr>
            <w:tcW w:w="1337" w:type="dxa"/>
            <w:vAlign w:val="center"/>
          </w:tcPr>
          <w:p w14:paraId="3D59A68B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25.27%</w:t>
            </w:r>
          </w:p>
        </w:tc>
        <w:tc>
          <w:tcPr>
            <w:tcW w:w="1337" w:type="dxa"/>
            <w:vAlign w:val="center"/>
          </w:tcPr>
          <w:p w14:paraId="33570388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-32.02%</w:t>
            </w:r>
          </w:p>
        </w:tc>
        <w:tc>
          <w:tcPr>
            <w:tcW w:w="1337" w:type="dxa"/>
            <w:vAlign w:val="center"/>
          </w:tcPr>
          <w:p w14:paraId="2C2F3480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0.43</w:t>
            </w:r>
          </w:p>
        </w:tc>
        <w:tc>
          <w:tcPr>
            <w:tcW w:w="1337" w:type="dxa"/>
            <w:vAlign w:val="center"/>
          </w:tcPr>
          <w:p w14:paraId="29FDDFE7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7.64%</w:t>
            </w:r>
          </w:p>
        </w:tc>
      </w:tr>
      <w:tr w:rsidR="00785F4E" w14:paraId="692B3620" w14:textId="77777777">
        <w:trPr>
          <w:jc w:val="center"/>
        </w:trPr>
        <w:tc>
          <w:tcPr>
            <w:tcW w:w="1337" w:type="dxa"/>
            <w:vAlign w:val="center"/>
          </w:tcPr>
          <w:p w14:paraId="4BEFAE55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337" w:type="dxa"/>
            <w:vAlign w:val="center"/>
          </w:tcPr>
          <w:p w14:paraId="44FFCFA4" w14:textId="77777777" w:rsidR="00785F4E" w:rsidRDefault="00000000">
            <w:pPr>
              <w:spacing w:after="0"/>
            </w:pPr>
            <w:r>
              <w:rPr>
                <w:sz w:val="17"/>
              </w:rPr>
              <w:t>ROE</w:t>
            </w:r>
          </w:p>
        </w:tc>
        <w:tc>
          <w:tcPr>
            <w:tcW w:w="1337" w:type="dxa"/>
            <w:vAlign w:val="center"/>
          </w:tcPr>
          <w:p w14:paraId="24CD9B79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10.69%</w:t>
            </w:r>
          </w:p>
        </w:tc>
        <w:tc>
          <w:tcPr>
            <w:tcW w:w="1337" w:type="dxa"/>
            <w:vAlign w:val="center"/>
          </w:tcPr>
          <w:p w14:paraId="7ED24313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23.93%</w:t>
            </w:r>
          </w:p>
        </w:tc>
        <w:tc>
          <w:tcPr>
            <w:tcW w:w="1337" w:type="dxa"/>
            <w:vAlign w:val="center"/>
          </w:tcPr>
          <w:p w14:paraId="6364331A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-27.46%</w:t>
            </w:r>
          </w:p>
        </w:tc>
        <w:tc>
          <w:tcPr>
            <w:tcW w:w="1337" w:type="dxa"/>
            <w:vAlign w:val="center"/>
          </w:tcPr>
          <w:p w14:paraId="16094863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0.45</w:t>
            </w:r>
          </w:p>
        </w:tc>
        <w:tc>
          <w:tcPr>
            <w:tcW w:w="1337" w:type="dxa"/>
            <w:vAlign w:val="center"/>
          </w:tcPr>
          <w:p w14:paraId="7D2AAC91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7.58%</w:t>
            </w:r>
          </w:p>
        </w:tc>
      </w:tr>
      <w:tr w:rsidR="00785F4E" w14:paraId="332DD2E0" w14:textId="77777777">
        <w:trPr>
          <w:jc w:val="center"/>
        </w:trPr>
        <w:tc>
          <w:tcPr>
            <w:tcW w:w="1337" w:type="dxa"/>
            <w:vAlign w:val="center"/>
          </w:tcPr>
          <w:p w14:paraId="39C868C7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337" w:type="dxa"/>
            <w:vAlign w:val="center"/>
          </w:tcPr>
          <w:p w14:paraId="58687D7F" w14:textId="77777777" w:rsidR="00785F4E" w:rsidRDefault="00000000">
            <w:pPr>
              <w:spacing w:after="0"/>
            </w:pPr>
            <w:r>
              <w:rPr>
                <w:sz w:val="17"/>
              </w:rPr>
              <w:t>Momentum_60D</w:t>
            </w:r>
          </w:p>
        </w:tc>
        <w:tc>
          <w:tcPr>
            <w:tcW w:w="1337" w:type="dxa"/>
            <w:vAlign w:val="center"/>
          </w:tcPr>
          <w:p w14:paraId="3BA35DDC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8.05%</w:t>
            </w:r>
          </w:p>
        </w:tc>
        <w:tc>
          <w:tcPr>
            <w:tcW w:w="1337" w:type="dxa"/>
            <w:vAlign w:val="center"/>
          </w:tcPr>
          <w:p w14:paraId="055489E8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26.46%</w:t>
            </w:r>
          </w:p>
        </w:tc>
        <w:tc>
          <w:tcPr>
            <w:tcW w:w="1337" w:type="dxa"/>
            <w:vAlign w:val="center"/>
          </w:tcPr>
          <w:p w14:paraId="173B399D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-36.63%</w:t>
            </w:r>
          </w:p>
        </w:tc>
        <w:tc>
          <w:tcPr>
            <w:tcW w:w="1337" w:type="dxa"/>
            <w:vAlign w:val="center"/>
          </w:tcPr>
          <w:p w14:paraId="561DF594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0.30</w:t>
            </w:r>
          </w:p>
        </w:tc>
        <w:tc>
          <w:tcPr>
            <w:tcW w:w="1337" w:type="dxa"/>
            <w:vAlign w:val="center"/>
          </w:tcPr>
          <w:p w14:paraId="56631BC9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4.94%</w:t>
            </w:r>
          </w:p>
        </w:tc>
      </w:tr>
      <w:tr w:rsidR="00785F4E" w14:paraId="5B4B0A10" w14:textId="77777777">
        <w:trPr>
          <w:jc w:val="center"/>
        </w:trPr>
        <w:tc>
          <w:tcPr>
            <w:tcW w:w="1337" w:type="dxa"/>
            <w:vAlign w:val="center"/>
          </w:tcPr>
          <w:p w14:paraId="7FFFA194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337" w:type="dxa"/>
            <w:vAlign w:val="center"/>
          </w:tcPr>
          <w:p w14:paraId="0CE6B28A" w14:textId="77777777" w:rsidR="00785F4E" w:rsidRDefault="00000000">
            <w:pPr>
              <w:spacing w:after="0"/>
            </w:pPr>
            <w:r>
              <w:rPr>
                <w:sz w:val="17"/>
              </w:rPr>
              <w:t>Main_Net_In</w:t>
            </w:r>
          </w:p>
        </w:tc>
        <w:tc>
          <w:tcPr>
            <w:tcW w:w="1337" w:type="dxa"/>
            <w:vAlign w:val="center"/>
          </w:tcPr>
          <w:p w14:paraId="095C10B5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5.90%</w:t>
            </w:r>
          </w:p>
        </w:tc>
        <w:tc>
          <w:tcPr>
            <w:tcW w:w="1337" w:type="dxa"/>
            <w:vAlign w:val="center"/>
          </w:tcPr>
          <w:p w14:paraId="2BF9A88D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23.94%</w:t>
            </w:r>
          </w:p>
        </w:tc>
        <w:tc>
          <w:tcPr>
            <w:tcW w:w="1337" w:type="dxa"/>
            <w:vAlign w:val="center"/>
          </w:tcPr>
          <w:p w14:paraId="23C3F6ED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-35.30%</w:t>
            </w:r>
          </w:p>
        </w:tc>
        <w:tc>
          <w:tcPr>
            <w:tcW w:w="1337" w:type="dxa"/>
            <w:vAlign w:val="center"/>
          </w:tcPr>
          <w:p w14:paraId="2FE4A370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1337" w:type="dxa"/>
            <w:vAlign w:val="center"/>
          </w:tcPr>
          <w:p w14:paraId="715EC225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2.79%</w:t>
            </w:r>
          </w:p>
        </w:tc>
      </w:tr>
      <w:tr w:rsidR="00785F4E" w14:paraId="49E798DA" w14:textId="77777777">
        <w:trPr>
          <w:jc w:val="center"/>
        </w:trPr>
        <w:tc>
          <w:tcPr>
            <w:tcW w:w="1337" w:type="dxa"/>
            <w:vAlign w:val="center"/>
          </w:tcPr>
          <w:p w14:paraId="68CDF521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1337" w:type="dxa"/>
            <w:vAlign w:val="center"/>
          </w:tcPr>
          <w:p w14:paraId="4041F3B7" w14:textId="77777777" w:rsidR="00785F4E" w:rsidRDefault="00000000">
            <w:pPr>
              <w:spacing w:after="0"/>
            </w:pPr>
            <w:r>
              <w:rPr>
                <w:sz w:val="17"/>
              </w:rPr>
              <w:t>Turnover_20D</w:t>
            </w:r>
          </w:p>
        </w:tc>
        <w:tc>
          <w:tcPr>
            <w:tcW w:w="1337" w:type="dxa"/>
            <w:vAlign w:val="center"/>
          </w:tcPr>
          <w:p w14:paraId="3D2F8F91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3.26%</w:t>
            </w:r>
          </w:p>
        </w:tc>
        <w:tc>
          <w:tcPr>
            <w:tcW w:w="1337" w:type="dxa"/>
            <w:vAlign w:val="center"/>
          </w:tcPr>
          <w:p w14:paraId="64A39094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29.35%</w:t>
            </w:r>
          </w:p>
        </w:tc>
        <w:tc>
          <w:tcPr>
            <w:tcW w:w="1337" w:type="dxa"/>
            <w:vAlign w:val="center"/>
          </w:tcPr>
          <w:p w14:paraId="71EE74F9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-42.91%</w:t>
            </w:r>
          </w:p>
        </w:tc>
        <w:tc>
          <w:tcPr>
            <w:tcW w:w="1337" w:type="dxa"/>
            <w:vAlign w:val="center"/>
          </w:tcPr>
          <w:p w14:paraId="640A7448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0.11</w:t>
            </w:r>
          </w:p>
        </w:tc>
        <w:tc>
          <w:tcPr>
            <w:tcW w:w="1337" w:type="dxa"/>
            <w:vAlign w:val="center"/>
          </w:tcPr>
          <w:p w14:paraId="001BE9DE" w14:textId="77777777" w:rsidR="00785F4E" w:rsidRDefault="00000000">
            <w:pPr>
              <w:spacing w:after="0"/>
              <w:jc w:val="center"/>
            </w:pPr>
            <w:r>
              <w:rPr>
                <w:sz w:val="17"/>
              </w:rPr>
              <w:t>0.15%</w:t>
            </w:r>
          </w:p>
        </w:tc>
      </w:tr>
    </w:tbl>
    <w:p w14:paraId="54DFCDAB" w14:textId="77777777" w:rsidR="00785F4E" w:rsidRDefault="00000000">
      <w:pPr>
        <w:pStyle w:val="1"/>
      </w:pPr>
      <w:r>
        <w:rPr>
          <w:rFonts w:ascii="Calibri" w:eastAsia="微软雅黑" w:hAnsi="Calibri"/>
        </w:rPr>
        <w:t xml:space="preserve">5. </w:t>
      </w:r>
      <w:r>
        <w:rPr>
          <w:rFonts w:ascii="Calibri" w:eastAsia="微软雅黑" w:hAnsi="Calibri"/>
        </w:rPr>
        <w:t>图表观察</w:t>
      </w:r>
    </w:p>
    <w:p w14:paraId="28E2059E" w14:textId="77777777" w:rsidR="00785F4E" w:rsidRDefault="00000000">
      <w:pPr>
        <w:jc w:val="center"/>
      </w:pPr>
      <w:r>
        <w:rPr>
          <w:noProof/>
        </w:rPr>
        <w:drawing>
          <wp:inline distT="0" distB="0" distL="0" distR="0" wp14:anchorId="2A460DA1" wp14:editId="5C85A251">
            <wp:extent cx="5669280" cy="2493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w_vs_neutralized_annual_retur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58D7" w14:textId="77777777" w:rsidR="00785F4E" w:rsidRDefault="00000000">
      <w:pPr>
        <w:spacing w:after="160"/>
        <w:jc w:val="center"/>
      </w:pPr>
      <w:r>
        <w:rPr>
          <w:color w:val="5A5A5A"/>
          <w:sz w:val="18"/>
          <w:lang w:eastAsia="zh-CN"/>
        </w:rPr>
        <w:t>图</w:t>
      </w:r>
      <w:r>
        <w:rPr>
          <w:color w:val="5A5A5A"/>
          <w:sz w:val="18"/>
          <w:lang w:eastAsia="zh-CN"/>
        </w:rPr>
        <w:t xml:space="preserve"> 1</w:t>
      </w:r>
      <w:r>
        <w:rPr>
          <w:color w:val="5A5A5A"/>
          <w:sz w:val="18"/>
          <w:lang w:eastAsia="zh-CN"/>
        </w:rPr>
        <w:t>：原始</w:t>
      </w:r>
      <w:proofErr w:type="gramStart"/>
      <w:r>
        <w:rPr>
          <w:color w:val="5A5A5A"/>
          <w:sz w:val="18"/>
          <w:lang w:eastAsia="zh-CN"/>
        </w:rPr>
        <w:t>年化收益</w:t>
      </w:r>
      <w:proofErr w:type="gramEnd"/>
      <w:r>
        <w:rPr>
          <w:color w:val="5A5A5A"/>
          <w:sz w:val="18"/>
          <w:lang w:eastAsia="zh-CN"/>
        </w:rPr>
        <w:t xml:space="preserve"> vs </w:t>
      </w:r>
      <w:proofErr w:type="gramStart"/>
      <w:r>
        <w:rPr>
          <w:color w:val="5A5A5A"/>
          <w:sz w:val="18"/>
          <w:lang w:eastAsia="zh-CN"/>
        </w:rPr>
        <w:t>中性化年化收益</w:t>
      </w:r>
      <w:proofErr w:type="gramEnd"/>
      <w:r>
        <w:rPr>
          <w:color w:val="5A5A5A"/>
          <w:sz w:val="18"/>
          <w:lang w:eastAsia="zh-CN"/>
        </w:rPr>
        <w:t>。</w:t>
      </w:r>
      <w:r>
        <w:rPr>
          <w:color w:val="5A5A5A"/>
          <w:sz w:val="18"/>
        </w:rPr>
        <w:t>来源：</w:t>
      </w:r>
      <w:r>
        <w:rPr>
          <w:color w:val="5A5A5A"/>
          <w:sz w:val="18"/>
        </w:rPr>
        <w:t>outputs/neutralized/images/raw_vs_neutralized_annual_return.png</w:t>
      </w:r>
    </w:p>
    <w:p w14:paraId="15A2ECCD" w14:textId="77777777" w:rsidR="00785F4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B0EC8C" wp14:editId="576F78A5">
            <wp:extent cx="5669280" cy="3239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2CE6" w14:textId="77777777" w:rsidR="00785F4E" w:rsidRDefault="00000000">
      <w:pPr>
        <w:spacing w:after="1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 xml:space="preserve"> 2</w:t>
      </w:r>
      <w:r>
        <w:rPr>
          <w:color w:val="5A5A5A"/>
          <w:sz w:val="18"/>
        </w:rPr>
        <w:t>：中性化</w:t>
      </w:r>
      <w:r>
        <w:rPr>
          <w:color w:val="5A5A5A"/>
          <w:sz w:val="18"/>
        </w:rPr>
        <w:t xml:space="preserve"> Top20% </w:t>
      </w:r>
      <w:r>
        <w:rPr>
          <w:color w:val="5A5A5A"/>
          <w:sz w:val="18"/>
        </w:rPr>
        <w:t>策略净值曲线。来源：</w:t>
      </w:r>
      <w:r>
        <w:rPr>
          <w:color w:val="5A5A5A"/>
          <w:sz w:val="18"/>
        </w:rPr>
        <w:t>outputs/neutralized/images/nav_curve.png</w:t>
      </w:r>
    </w:p>
    <w:p w14:paraId="45BE356B" w14:textId="77777777" w:rsidR="00785F4E" w:rsidRDefault="00000000">
      <w:pPr>
        <w:jc w:val="center"/>
      </w:pPr>
      <w:r>
        <w:rPr>
          <w:noProof/>
        </w:rPr>
        <w:drawing>
          <wp:inline distT="0" distB="0" distL="0" distR="0" wp14:anchorId="6A743E36" wp14:editId="08838985">
            <wp:extent cx="5669280" cy="32395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16C0" w14:textId="77777777" w:rsidR="00785F4E" w:rsidRDefault="00000000">
      <w:pPr>
        <w:spacing w:after="1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 xml:space="preserve"> 3</w:t>
      </w:r>
      <w:r>
        <w:rPr>
          <w:color w:val="5A5A5A"/>
          <w:sz w:val="18"/>
        </w:rPr>
        <w:t>：中性化</w:t>
      </w:r>
      <w:r>
        <w:rPr>
          <w:color w:val="5A5A5A"/>
          <w:sz w:val="18"/>
        </w:rPr>
        <w:t xml:space="preserve"> Top20% </w:t>
      </w:r>
      <w:r>
        <w:rPr>
          <w:color w:val="5A5A5A"/>
          <w:sz w:val="18"/>
        </w:rPr>
        <w:t>策略回撤曲线。来源：</w:t>
      </w:r>
      <w:r>
        <w:rPr>
          <w:color w:val="5A5A5A"/>
          <w:sz w:val="18"/>
        </w:rPr>
        <w:t>outputs/neutralized/images/drawdown.png</w:t>
      </w:r>
    </w:p>
    <w:p w14:paraId="76B98529" w14:textId="77777777" w:rsidR="00785F4E" w:rsidRDefault="00000000">
      <w:pPr>
        <w:pStyle w:val="1"/>
      </w:pPr>
      <w:r>
        <w:rPr>
          <w:rFonts w:ascii="Calibri" w:eastAsia="微软雅黑" w:hAnsi="Calibri"/>
        </w:rPr>
        <w:t xml:space="preserve">6. </w:t>
      </w:r>
      <w:r>
        <w:rPr>
          <w:rFonts w:ascii="Calibri" w:eastAsia="微软雅黑" w:hAnsi="Calibri"/>
        </w:rPr>
        <w:t>因子解读与建议</w:t>
      </w:r>
    </w:p>
    <w:p w14:paraId="463665B0" w14:textId="77777777" w:rsidR="00785F4E" w:rsidRDefault="00000000">
      <w:r>
        <w:rPr>
          <w:b/>
        </w:rPr>
        <w:t>收益改善最明显：</w:t>
      </w:r>
    </w:p>
    <w:p w14:paraId="2FE7EB14" w14:textId="77777777" w:rsidR="00785F4E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PE_TTM </w:t>
      </w:r>
      <w:proofErr w:type="gramStart"/>
      <w:r>
        <w:rPr>
          <w:lang w:eastAsia="zh-CN"/>
        </w:rPr>
        <w:t>年化收益</w:t>
      </w:r>
      <w:proofErr w:type="gramEnd"/>
      <w:r>
        <w:rPr>
          <w:lang w:eastAsia="zh-CN"/>
        </w:rPr>
        <w:t>提升</w:t>
      </w:r>
      <w:r>
        <w:rPr>
          <w:lang w:eastAsia="zh-CN"/>
        </w:rPr>
        <w:t xml:space="preserve"> 9.83 </w:t>
      </w:r>
      <w:r>
        <w:rPr>
          <w:lang w:eastAsia="zh-CN"/>
        </w:rPr>
        <w:t>个百分点，说明剔除行业和市值暴露后，估值残差信号表现更强。</w:t>
      </w:r>
    </w:p>
    <w:p w14:paraId="6F322572" w14:textId="77777777" w:rsidR="00785F4E" w:rsidRDefault="00000000">
      <w:pPr>
        <w:pStyle w:val="a0"/>
      </w:pPr>
      <w:r>
        <w:t xml:space="preserve">Volatility </w:t>
      </w:r>
      <w:proofErr w:type="spellStart"/>
      <w:r>
        <w:t>年化收益提升</w:t>
      </w:r>
      <w:proofErr w:type="spellEnd"/>
      <w:r>
        <w:t xml:space="preserve"> 5.95 </w:t>
      </w:r>
      <w:proofErr w:type="spellStart"/>
      <w:r>
        <w:t>个百分点，</w:t>
      </w:r>
      <w:r>
        <w:t>Sharpe</w:t>
      </w:r>
      <w:proofErr w:type="spellEnd"/>
      <w:r>
        <w:t xml:space="preserve"> </w:t>
      </w:r>
      <w:r>
        <w:t>提升</w:t>
      </w:r>
      <w:r>
        <w:t xml:space="preserve"> 0.19</w:t>
      </w:r>
      <w:r>
        <w:t>，但最大回撤加深，需要配合风控约束使用。</w:t>
      </w:r>
    </w:p>
    <w:p w14:paraId="71D375AE" w14:textId="77777777" w:rsidR="00785F4E" w:rsidRDefault="00000000">
      <w:pPr>
        <w:pStyle w:val="a0"/>
      </w:pPr>
      <w:r>
        <w:t xml:space="preserve">ROE </w:t>
      </w:r>
      <w:r>
        <w:t>和</w:t>
      </w:r>
      <w:r>
        <w:t xml:space="preserve"> Main_Net_In </w:t>
      </w:r>
      <w:r>
        <w:t>的收益、</w:t>
      </w:r>
      <w:r>
        <w:t xml:space="preserve">Sharpe </w:t>
      </w:r>
      <w:r>
        <w:t>与回撤形态均有改善，适合作为后续组合备选。</w:t>
      </w:r>
    </w:p>
    <w:p w14:paraId="58568A5F" w14:textId="77777777" w:rsidR="00785F4E" w:rsidRDefault="00000000">
      <w:r>
        <w:rPr>
          <w:b/>
        </w:rPr>
        <w:t>需要谨慎：</w:t>
      </w:r>
    </w:p>
    <w:p w14:paraId="0B074996" w14:textId="77777777" w:rsidR="00785F4E" w:rsidRDefault="00000000">
      <w:pPr>
        <w:pStyle w:val="a0"/>
      </w:pPr>
      <w:r>
        <w:t xml:space="preserve">Turnover_20D </w:t>
      </w:r>
      <w:r>
        <w:t>和</w:t>
      </w:r>
      <w:r>
        <w:t xml:space="preserve"> Revenue_Growth </w:t>
      </w:r>
      <w:r>
        <w:t>中性化后年化收益下降，说明部分有效收益可能来自行业或市值结构。</w:t>
      </w:r>
    </w:p>
    <w:p w14:paraId="319EC8A0" w14:textId="77777777" w:rsidR="00785F4E" w:rsidRDefault="00000000">
      <w:pPr>
        <w:pStyle w:val="a0"/>
      </w:pPr>
      <w:r>
        <w:t xml:space="preserve">Main_Net_In </w:t>
      </w:r>
      <w:r>
        <w:t>中性化后月均换手仍约</w:t>
      </w:r>
      <w:r>
        <w:t xml:space="preserve"> 71.71%</w:t>
      </w:r>
      <w:r>
        <w:t>，需要额外关注交易成本和容量。</w:t>
      </w:r>
    </w:p>
    <w:p w14:paraId="33836064" w14:textId="77777777" w:rsidR="00785F4E" w:rsidRDefault="00000000">
      <w:r>
        <w:rPr>
          <w:b/>
        </w:rPr>
        <w:t>后续建议：</w:t>
      </w:r>
    </w:p>
    <w:p w14:paraId="5215B3FE" w14:textId="77777777" w:rsidR="00785F4E" w:rsidRDefault="00000000">
      <w:pPr>
        <w:pStyle w:val="a0"/>
        <w:rPr>
          <w:lang w:eastAsia="zh-CN"/>
        </w:rPr>
      </w:pPr>
      <w:r>
        <w:rPr>
          <w:lang w:eastAsia="zh-CN"/>
        </w:rPr>
        <w:t>构建组合时不要只</w:t>
      </w:r>
      <w:proofErr w:type="gramStart"/>
      <w:r>
        <w:rPr>
          <w:lang w:eastAsia="zh-CN"/>
        </w:rPr>
        <w:t>看年化收益</w:t>
      </w:r>
      <w:proofErr w:type="gramEnd"/>
      <w:r>
        <w:rPr>
          <w:lang w:eastAsia="zh-CN"/>
        </w:rPr>
        <w:t>，应同时约束最大回撤、换手和行业暴露。</w:t>
      </w:r>
    </w:p>
    <w:p w14:paraId="25A7050C" w14:textId="77777777" w:rsidR="00785F4E" w:rsidRDefault="00000000">
      <w:pPr>
        <w:pStyle w:val="a0"/>
        <w:rPr>
          <w:lang w:eastAsia="zh-CN"/>
        </w:rPr>
      </w:pPr>
      <w:r>
        <w:rPr>
          <w:lang w:eastAsia="zh-CN"/>
        </w:rPr>
        <w:t>建议进一步比较原始分数组合、中性化分数组合以及二者混合组合的表现。</w:t>
      </w:r>
    </w:p>
    <w:p w14:paraId="40A8E42B" w14:textId="3D60B863" w:rsidR="00785F4E" w:rsidRDefault="00000000" w:rsidP="00677204">
      <w:pPr>
        <w:pStyle w:val="a0"/>
        <w:rPr>
          <w:rFonts w:hint="eastAsia"/>
        </w:rPr>
      </w:pPr>
      <w:r>
        <w:t>对</w:t>
      </w:r>
      <w:r>
        <w:t xml:space="preserve"> </w:t>
      </w:r>
      <w:proofErr w:type="spellStart"/>
      <w:r>
        <w:t>PE_TTM</w:t>
      </w:r>
      <w:r>
        <w:t>、</w:t>
      </w:r>
      <w:r>
        <w:t>Volatility</w:t>
      </w:r>
      <w:proofErr w:type="spellEnd"/>
      <w:r>
        <w:t xml:space="preserve"> </w:t>
      </w:r>
      <w:proofErr w:type="spellStart"/>
      <w:r>
        <w:t>可做收益增强候选；对</w:t>
      </w:r>
      <w:proofErr w:type="spellEnd"/>
      <w:r>
        <w:t xml:space="preserve"> </w:t>
      </w:r>
      <w:proofErr w:type="spellStart"/>
      <w:r>
        <w:t>ROE</w:t>
      </w:r>
      <w:r>
        <w:t>、</w:t>
      </w:r>
      <w:r>
        <w:t>Debt_to_Equity</w:t>
      </w:r>
      <w:r>
        <w:t>、</w:t>
      </w:r>
      <w:r>
        <w:t>Gross_Margin</w:t>
      </w:r>
      <w:proofErr w:type="spellEnd"/>
      <w:r>
        <w:t xml:space="preserve"> </w:t>
      </w:r>
      <w:r>
        <w:t>可做稳健增强候选。</w:t>
      </w:r>
    </w:p>
    <w:sectPr w:rsidR="00785F4E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608E" w14:textId="77777777" w:rsidR="006644C5" w:rsidRDefault="006644C5">
      <w:pPr>
        <w:spacing w:after="0" w:line="240" w:lineRule="auto"/>
      </w:pPr>
      <w:r>
        <w:separator/>
      </w:r>
    </w:p>
  </w:endnote>
  <w:endnote w:type="continuationSeparator" w:id="0">
    <w:p w14:paraId="1A2FF748" w14:textId="77777777" w:rsidR="006644C5" w:rsidRDefault="00664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88D33" w14:textId="5B788F54" w:rsidR="00785F4E" w:rsidRDefault="00000000">
    <w:pPr>
      <w:pStyle w:val="a7"/>
      <w:jc w:val="center"/>
      <w:rPr>
        <w:lang w:eastAsia="zh-CN"/>
      </w:rPr>
    </w:pPr>
    <w:r>
      <w:rPr>
        <w:color w:val="5A5A5A"/>
        <w:sz w:val="18"/>
        <w:lang w:eastAsia="zh-CN"/>
      </w:rPr>
      <w:t>因子</w:t>
    </w:r>
    <w:proofErr w:type="gramStart"/>
    <w:r>
      <w:rPr>
        <w:color w:val="5A5A5A"/>
        <w:sz w:val="18"/>
        <w:lang w:eastAsia="zh-CN"/>
      </w:rPr>
      <w:t>中性化回测对比</w:t>
    </w:r>
    <w:proofErr w:type="gramEnd"/>
    <w:r>
      <w:rPr>
        <w:color w:val="5A5A5A"/>
        <w:sz w:val="18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81313" w14:textId="77777777" w:rsidR="006644C5" w:rsidRDefault="006644C5">
      <w:pPr>
        <w:spacing w:after="0" w:line="240" w:lineRule="auto"/>
      </w:pPr>
      <w:r>
        <w:separator/>
      </w:r>
    </w:p>
  </w:footnote>
  <w:footnote w:type="continuationSeparator" w:id="0">
    <w:p w14:paraId="6645E0EF" w14:textId="77777777" w:rsidR="006644C5" w:rsidRDefault="00664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710396">
    <w:abstractNumId w:val="8"/>
  </w:num>
  <w:num w:numId="2" w16cid:durableId="198709779">
    <w:abstractNumId w:val="6"/>
  </w:num>
  <w:num w:numId="3" w16cid:durableId="240255517">
    <w:abstractNumId w:val="5"/>
  </w:num>
  <w:num w:numId="4" w16cid:durableId="1347170255">
    <w:abstractNumId w:val="4"/>
  </w:num>
  <w:num w:numId="5" w16cid:durableId="2126463879">
    <w:abstractNumId w:val="7"/>
  </w:num>
  <w:num w:numId="6" w16cid:durableId="1504275550">
    <w:abstractNumId w:val="3"/>
  </w:num>
  <w:num w:numId="7" w16cid:durableId="338780307">
    <w:abstractNumId w:val="2"/>
  </w:num>
  <w:num w:numId="8" w16cid:durableId="1262955847">
    <w:abstractNumId w:val="1"/>
  </w:num>
  <w:num w:numId="9" w16cid:durableId="202948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4C5"/>
    <w:rsid w:val="00677204"/>
    <w:rsid w:val="00785F4E"/>
    <w:rsid w:val="00797B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C960BA"/>
  <w14:defaultImageDpi w14:val="300"/>
  <w15:docId w15:val="{48576C3D-B774-4BA5-A382-45960EA7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1393115594@qq.com</cp:lastModifiedBy>
  <cp:revision>2</cp:revision>
  <dcterms:created xsi:type="dcterms:W3CDTF">2013-12-23T23:15:00Z</dcterms:created>
  <dcterms:modified xsi:type="dcterms:W3CDTF">2026-07-09T19:35:00Z</dcterms:modified>
  <cp:category/>
</cp:coreProperties>
</file>