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微软雅黑" w:hAnsi="微软雅黑" w:eastAsia="微软雅黑"/>
          <w:b/>
          <w:color w:val="1F4E79"/>
          <w:sz w:val="60"/>
        </w:rPr>
        <w:t>岁锦科技（AgeTech）</w:t>
        <w:br/>
        <w:t>天使轮估值报告</w:t>
      </w:r>
    </w:p>
    <w:p/>
    <w:p>
      <w:pPr>
        <w:jc w:val="center"/>
      </w:pPr>
      <w:r>
        <w:rPr>
          <w:rFonts w:ascii="微软雅黑" w:hAnsi="微软雅黑" w:eastAsia="微软雅黑"/>
          <w:color w:val="646464"/>
          <w:sz w:val="28"/>
        </w:rPr>
        <w:t>AI × 智慧养老设备，用 AI 守护每一个暮年时光</w:t>
      </w:r>
    </w:p>
    <w:p/>
    <w:p/>
    <w:p>
      <w:pPr>
        <w:jc w:val="center"/>
      </w:pPr>
      <w:r>
        <w:rPr>
          <w:rFonts w:ascii="微软雅黑" w:hAnsi="微软雅黑" w:eastAsia="微软雅黑"/>
          <w:sz w:val="22"/>
        </w:rPr>
        <w:t>估值基准日: 2026年6月10日</w:t>
      </w:r>
    </w:p>
    <w:p>
      <w:pPr>
        <w:jc w:val="center"/>
      </w:pPr>
      <w:r>
        <w:rPr>
          <w:rFonts w:ascii="微软雅黑" w:hAnsi="微软雅黑" w:eastAsia="微软雅黑"/>
          <w:sz w:val="22"/>
        </w:rPr>
        <w:t>融资阶段: 天使轮  |  所属赛道: AI × 智慧养老设备</w:t>
      </w:r>
    </w:p>
    <w:p>
      <w:pPr>
        <w:jc w:val="center"/>
      </w:pPr>
      <w:r>
        <w:rPr>
          <w:rFonts w:ascii="微软雅黑" w:hAnsi="微软雅黑" w:eastAsia="微软雅黑"/>
          <w:sz w:val="22"/>
        </w:rPr>
        <w:t>融资金额: 1,500万元  |  出让股权: 10%</w:t>
      </w:r>
    </w:p>
    <w:p>
      <w:pPr>
        <w:jc w:val="center"/>
      </w:pPr>
      <w:r>
        <w:rPr>
          <w:rFonts w:ascii="微软雅黑" w:hAnsi="微软雅黑" w:eastAsia="微软雅黑"/>
          <w:sz w:val="22"/>
        </w:rPr>
        <w:t>投前估值: 1.35亿元  |  投后估值: 1.50亿元</w:t>
      </w:r>
    </w:p>
    <w:p>
      <w:pPr>
        <w:jc w:val="center"/>
      </w:pPr>
      <w:r>
        <w:rPr>
          <w:rFonts w:ascii="微软雅黑" w:hAnsi="微软雅黑" w:eastAsia="微软雅黑"/>
          <w:sz w:val="22"/>
        </w:rPr>
        <w:t>建议估值区间: 1.00-1.85亿元</w:t>
      </w:r>
    </w:p>
    <w:p>
      <w:pPr>
        <w:jc w:val="center"/>
      </w:pPr>
      <w:r>
        <w:rPr>
          <w:rFonts w:ascii="微软雅黑" w:hAnsi="微软雅黑" w:eastAsia="微软雅黑"/>
          <w:sz w:val="22"/>
        </w:rPr>
      </w:r>
    </w:p>
    <w:p>
      <w:pPr>
        <w:jc w:val="center"/>
      </w:pPr>
      <w:r>
        <w:rPr>
          <w:rFonts w:ascii="微软雅黑" w:hAnsi="微软雅黑" w:eastAsia="微软雅黑"/>
          <w:color w:val="C0392B"/>
          <w:sz w:val="22"/>
        </w:rPr>
        <w:t>本报告仅供内部投资决策参考  |  机密</w:t>
      </w:r>
    </w:p>
    <w:p>
      <w:r>
        <w:br w:type="page"/>
      </w:r>
    </w:p>
    <w:p>
      <w:pPr>
        <w:pStyle w:val="Heading1"/>
      </w:pPr>
      <w:r>
        <w:rPr>
          <w:rFonts w:ascii="微软雅黑" w:hAnsi="微软雅黑" w:eastAsia="微软雅黑"/>
        </w:rPr>
        <w:t>执行摘要</w:t>
      </w:r>
    </w:p>
    <w:p>
      <w:pPr>
        <w:pStyle w:val="Heading2"/>
      </w:pPr>
      <w:r>
        <w:rPr>
          <w:rFonts w:ascii="微软雅黑" w:hAnsi="微软雅黑" w:eastAsia="微软雅黑"/>
        </w:rPr>
        <w:t>估值结论</w:t>
      </w:r>
    </w:p>
    <w:p>
      <w:pPr>
        <w:spacing w:line="360" w:lineRule="auto" w:after="120"/>
        <w:ind w:firstLine="420"/>
      </w:pPr>
      <w:r>
        <w:rPr>
          <w:rFonts w:ascii="微软雅黑" w:hAnsi="微软雅黑" w:eastAsia="微软雅黑"/>
          <w:b w:val="0"/>
          <w:sz w:val="22"/>
        </w:rPr>
        <w:t>基于多重估值方法交叉验证，岁锦科技（AgeTech）天使轮投后估值建议区间为 1.00-1.85亿元，核心估值点为投后 1.50 亿元。本轮融资 1,500 万元，出让 10% 股权，对应投前估值 1.35 亿元。</w:t>
      </w:r>
    </w:p>
    <w:p>
      <w:pPr>
        <w:spacing w:line="360" w:lineRule="auto" w:after="120"/>
        <w:ind w:firstLine="420"/>
      </w:pPr>
      <w:r>
        <w:rPr>
          <w:rFonts w:ascii="微软雅黑" w:hAnsi="微软雅黑" w:eastAsia="微软雅黑"/>
          <w:b w:val="0"/>
          <w:sz w:val="22"/>
        </w:rPr>
        <w:t>估值结论通过四种方法交叉验证：（1）融资条款反推法提供交易双方直接定价锚点 — 投后1.50亿元；（2）VC Method（核心方法）通过三种情景概率加权 — 投后1.50亿元；（3）可比天使轮/Pre-A融资案例对标 — 投后估值中位数约1.80亿元；（4）可比上市公司PS倍数参考（2027E）— 隐含估值1.35-2.25亿元。四种方法在1.35-1.80亿元区间形成良好收敛，1.50亿元作为核心估值点具有多重支撑。</w:t>
      </w:r>
    </w:p>
    <w:p>
      <w:pPr>
        <w:pStyle w:val="Heading2"/>
      </w:pPr>
      <w:r>
        <w:rPr>
          <w:rFonts w:ascii="微软雅黑" w:hAnsi="微软雅黑" w:eastAsia="微软雅黑"/>
        </w:rPr>
        <w:t>本轮交易条款</w:t>
      </w:r>
    </w:p>
    <w:tbl>
      <w:tblPr>
        <w:tblStyle w:val="TableGrid"/>
        <w:tblW w:type="auto" w:w="0"/>
        <w:jc w:val="center"/>
        <w:tblLook w:firstColumn="1" w:firstRow="1" w:lastColumn="0" w:lastRow="0" w:noHBand="0" w:noVBand="1" w:val="04A0"/>
      </w:tblPr>
      <w:tblGrid>
        <w:gridCol w:w="4703"/>
        <w:gridCol w:w="4703"/>
      </w:tblGrid>
      <w:tr>
        <w:tc>
          <w:tcPr>
            <w:tcW w:type="dxa" w:w="1984"/>
            <w:shd w:fill="1F4E79"/>
          </w:tcPr>
          <w:p>
            <w:pPr>
              <w:jc w:val="center"/>
            </w:pPr>
            <w:r>
              <w:rPr>
                <w:rFonts w:ascii="微软雅黑" w:hAnsi="微软雅黑" w:eastAsia="微软雅黑"/>
                <w:b/>
                <w:color w:val="FFFFFF"/>
                <w:sz w:val="18"/>
              </w:rPr>
              <w:t>条款项</w:t>
            </w:r>
          </w:p>
        </w:tc>
        <w:tc>
          <w:tcPr>
            <w:tcW w:type="dxa" w:w="7087"/>
            <w:shd w:fill="1F4E79"/>
          </w:tcPr>
          <w:p>
            <w:pPr>
              <w:jc w:val="center"/>
            </w:pPr>
            <w:r>
              <w:rPr>
                <w:rFonts w:ascii="微软雅黑" w:hAnsi="微软雅黑" w:eastAsia="微软雅黑"/>
                <w:b/>
                <w:color w:val="FFFFFF"/>
                <w:sz w:val="18"/>
              </w:rPr>
              <w:t>内容</w:t>
            </w:r>
          </w:p>
        </w:tc>
      </w:tr>
      <w:tr>
        <w:tc>
          <w:tcPr>
            <w:tcW w:type="dxa" w:w="1984"/>
          </w:tcPr>
          <w:p>
            <w:pPr>
              <w:jc w:val="left"/>
            </w:pPr>
            <w:r>
              <w:rPr>
                <w:rFonts w:ascii="微软雅黑" w:hAnsi="微软雅黑" w:eastAsia="微软雅黑"/>
                <w:b/>
                <w:sz w:val="18"/>
              </w:rPr>
              <w:t>融资阶段</w:t>
            </w:r>
          </w:p>
        </w:tc>
        <w:tc>
          <w:tcPr>
            <w:tcW w:type="dxa" w:w="7087"/>
          </w:tcPr>
          <w:p>
            <w:pPr>
              <w:jc w:val="center"/>
            </w:pPr>
            <w:r>
              <w:rPr>
                <w:rFonts w:ascii="微软雅黑" w:hAnsi="微软雅黑" w:eastAsia="微软雅黑"/>
                <w:b w:val="0"/>
                <w:sz w:val="18"/>
              </w:rPr>
              <w:t>天使轮</w:t>
            </w:r>
          </w:p>
        </w:tc>
      </w:tr>
      <w:tr>
        <w:tc>
          <w:tcPr>
            <w:tcW w:type="dxa" w:w="1984"/>
            <w:shd w:fill="D6E4F0"/>
          </w:tcPr>
          <w:p>
            <w:pPr>
              <w:jc w:val="left"/>
            </w:pPr>
            <w:r>
              <w:rPr>
                <w:rFonts w:ascii="微软雅黑" w:hAnsi="微软雅黑" w:eastAsia="微软雅黑"/>
                <w:b/>
                <w:sz w:val="18"/>
              </w:rPr>
              <w:t>融资金额</w:t>
            </w:r>
          </w:p>
        </w:tc>
        <w:tc>
          <w:tcPr>
            <w:tcW w:type="dxa" w:w="7087"/>
            <w:shd w:fill="D6E4F0"/>
          </w:tcPr>
          <w:p>
            <w:pPr>
              <w:jc w:val="center"/>
            </w:pPr>
            <w:r>
              <w:rPr>
                <w:rFonts w:ascii="微软雅黑" w:hAnsi="微软雅黑" w:eastAsia="微软雅黑"/>
                <w:b w:val="0"/>
                <w:sz w:val="18"/>
              </w:rPr>
              <w:t>1,500万元</w:t>
            </w:r>
          </w:p>
        </w:tc>
      </w:tr>
      <w:tr>
        <w:tc>
          <w:tcPr>
            <w:tcW w:type="dxa" w:w="1984"/>
          </w:tcPr>
          <w:p>
            <w:pPr>
              <w:jc w:val="left"/>
            </w:pPr>
            <w:r>
              <w:rPr>
                <w:rFonts w:ascii="微软雅黑" w:hAnsi="微软雅黑" w:eastAsia="微软雅黑"/>
                <w:b/>
                <w:sz w:val="18"/>
              </w:rPr>
              <w:t>出让股权比例</w:t>
            </w:r>
          </w:p>
        </w:tc>
        <w:tc>
          <w:tcPr>
            <w:tcW w:type="dxa" w:w="7087"/>
          </w:tcPr>
          <w:p>
            <w:pPr>
              <w:jc w:val="center"/>
            </w:pPr>
            <w:r>
              <w:rPr>
                <w:rFonts w:ascii="微软雅黑" w:hAnsi="微软雅黑" w:eastAsia="微软雅黑"/>
                <w:b w:val="0"/>
                <w:sz w:val="18"/>
              </w:rPr>
              <w:t>10%</w:t>
            </w:r>
          </w:p>
        </w:tc>
      </w:tr>
      <w:tr>
        <w:tc>
          <w:tcPr>
            <w:tcW w:type="dxa" w:w="1984"/>
            <w:shd w:fill="D6E4F0"/>
          </w:tcPr>
          <w:p>
            <w:pPr>
              <w:jc w:val="left"/>
            </w:pPr>
            <w:r>
              <w:rPr>
                <w:rFonts w:ascii="微软雅黑" w:hAnsi="微软雅黑" w:eastAsia="微软雅黑"/>
                <w:b/>
                <w:sz w:val="18"/>
              </w:rPr>
              <w:t>投前估值</w:t>
            </w:r>
          </w:p>
        </w:tc>
        <w:tc>
          <w:tcPr>
            <w:tcW w:type="dxa" w:w="7087"/>
            <w:shd w:fill="D6E4F0"/>
          </w:tcPr>
          <w:p>
            <w:pPr>
              <w:jc w:val="center"/>
            </w:pPr>
            <w:r>
              <w:rPr>
                <w:rFonts w:ascii="微软雅黑" w:hAnsi="微软雅黑" w:eastAsia="微软雅黑"/>
                <w:b w:val="0"/>
                <w:sz w:val="18"/>
              </w:rPr>
              <w:t>1.35亿元</w:t>
            </w:r>
          </w:p>
        </w:tc>
      </w:tr>
      <w:tr>
        <w:tc>
          <w:tcPr>
            <w:tcW w:type="dxa" w:w="1984"/>
          </w:tcPr>
          <w:p>
            <w:pPr>
              <w:jc w:val="left"/>
            </w:pPr>
            <w:r>
              <w:rPr>
                <w:rFonts w:ascii="微软雅黑" w:hAnsi="微软雅黑" w:eastAsia="微软雅黑"/>
                <w:b/>
                <w:sz w:val="18"/>
              </w:rPr>
              <w:t>投后估值</w:t>
            </w:r>
          </w:p>
        </w:tc>
        <w:tc>
          <w:tcPr>
            <w:tcW w:type="dxa" w:w="7087"/>
          </w:tcPr>
          <w:p>
            <w:pPr>
              <w:jc w:val="center"/>
            </w:pPr>
            <w:r>
              <w:rPr>
                <w:rFonts w:ascii="微软雅黑" w:hAnsi="微软雅黑" w:eastAsia="微软雅黑"/>
                <w:b w:val="0"/>
                <w:sz w:val="18"/>
              </w:rPr>
              <w:t>1.50亿元</w:t>
            </w:r>
          </w:p>
        </w:tc>
      </w:tr>
      <w:tr>
        <w:tc>
          <w:tcPr>
            <w:tcW w:type="dxa" w:w="1984"/>
            <w:shd w:fill="D6E4F0"/>
          </w:tcPr>
          <w:p>
            <w:pPr>
              <w:jc w:val="left"/>
            </w:pPr>
            <w:r>
              <w:rPr>
                <w:rFonts w:ascii="微软雅黑" w:hAnsi="微软雅黑" w:eastAsia="微软雅黑"/>
                <w:b/>
                <w:sz w:val="18"/>
              </w:rPr>
              <w:t>估值基准日</w:t>
            </w:r>
          </w:p>
        </w:tc>
        <w:tc>
          <w:tcPr>
            <w:tcW w:type="dxa" w:w="7087"/>
            <w:shd w:fill="D6E4F0"/>
          </w:tcPr>
          <w:p>
            <w:pPr>
              <w:jc w:val="center"/>
            </w:pPr>
            <w:r>
              <w:rPr>
                <w:rFonts w:ascii="微软雅黑" w:hAnsi="微软雅黑" w:eastAsia="微软雅黑"/>
                <w:b w:val="0"/>
                <w:sz w:val="18"/>
              </w:rPr>
              <w:t>2026年6月10日</w:t>
            </w:r>
          </w:p>
        </w:tc>
      </w:tr>
      <w:tr>
        <w:tc>
          <w:tcPr>
            <w:tcW w:type="dxa" w:w="1984"/>
          </w:tcPr>
          <w:p>
            <w:pPr>
              <w:jc w:val="left"/>
            </w:pPr>
            <w:r>
              <w:rPr>
                <w:rFonts w:ascii="微软雅黑" w:hAnsi="微软雅黑" w:eastAsia="微软雅黑"/>
                <w:b/>
                <w:sz w:val="18"/>
              </w:rPr>
              <w:t>公司成立</w:t>
            </w:r>
          </w:p>
        </w:tc>
        <w:tc>
          <w:tcPr>
            <w:tcW w:type="dxa" w:w="7087"/>
          </w:tcPr>
          <w:p>
            <w:pPr>
              <w:jc w:val="center"/>
            </w:pPr>
            <w:r>
              <w:rPr>
                <w:rFonts w:ascii="微软雅黑" w:hAnsi="微软雅黑" w:eastAsia="微软雅黑"/>
                <w:b w:val="0"/>
                <w:sz w:val="18"/>
              </w:rPr>
              <w:t>2025年</w:t>
            </w:r>
          </w:p>
        </w:tc>
      </w:tr>
      <w:tr>
        <w:tc>
          <w:tcPr>
            <w:tcW w:type="dxa" w:w="1984"/>
            <w:shd w:fill="D6E4F0"/>
          </w:tcPr>
          <w:p>
            <w:pPr>
              <w:jc w:val="left"/>
            </w:pPr>
            <w:r>
              <w:rPr>
                <w:rFonts w:ascii="微软雅黑" w:hAnsi="微软雅黑" w:eastAsia="微软雅黑"/>
                <w:b/>
                <w:sz w:val="18"/>
              </w:rPr>
              <w:t>所属赛道</w:t>
            </w:r>
          </w:p>
        </w:tc>
        <w:tc>
          <w:tcPr>
            <w:tcW w:type="dxa" w:w="7087"/>
            <w:shd w:fill="D6E4F0"/>
          </w:tcPr>
          <w:p>
            <w:pPr>
              <w:jc w:val="center"/>
            </w:pPr>
            <w:r>
              <w:rPr>
                <w:rFonts w:ascii="微软雅黑" w:hAnsi="微软雅黑" w:eastAsia="微软雅黑"/>
                <w:b w:val="0"/>
                <w:sz w:val="18"/>
              </w:rPr>
              <w:t>AI × 智慧养老设备</w:t>
            </w:r>
          </w:p>
        </w:tc>
      </w:tr>
      <w:tr>
        <w:tc>
          <w:tcPr>
            <w:tcW w:type="dxa" w:w="1984"/>
          </w:tcPr>
          <w:p>
            <w:pPr>
              <w:jc w:val="left"/>
            </w:pPr>
            <w:r>
              <w:rPr>
                <w:rFonts w:ascii="微软雅黑" w:hAnsi="微软雅黑" w:eastAsia="微软雅黑"/>
                <w:b/>
                <w:sz w:val="18"/>
              </w:rPr>
              <w:t>核心产品</w:t>
            </w:r>
          </w:p>
        </w:tc>
        <w:tc>
          <w:tcPr>
            <w:tcW w:type="dxa" w:w="7087"/>
          </w:tcPr>
          <w:p>
            <w:pPr>
              <w:jc w:val="center"/>
            </w:pPr>
            <w:r>
              <w:rPr>
                <w:rFonts w:ascii="微软雅黑" w:hAnsi="微软雅黑" w:eastAsia="微软雅黑"/>
                <w:b w:val="0"/>
                <w:sz w:val="18"/>
              </w:rPr>
              <w:t>AI健康监测手环、毫米波跌倒探测仪、AI陪伴终端、B2B SaaS云平台</w:t>
            </w:r>
          </w:p>
        </w:tc>
      </w:tr>
      <w:tr>
        <w:tc>
          <w:tcPr>
            <w:tcW w:type="dxa" w:w="1984"/>
            <w:shd w:fill="D6E4F0"/>
          </w:tcPr>
          <w:p>
            <w:pPr>
              <w:jc w:val="left"/>
            </w:pPr>
            <w:r>
              <w:rPr>
                <w:rFonts w:ascii="微软雅黑" w:hAnsi="微软雅黑" w:eastAsia="微软雅黑"/>
                <w:b/>
                <w:sz w:val="18"/>
              </w:rPr>
              <w:t>目标市场</w:t>
            </w:r>
          </w:p>
        </w:tc>
        <w:tc>
          <w:tcPr>
            <w:tcW w:type="dxa" w:w="7087"/>
            <w:shd w:fill="D6E4F0"/>
          </w:tcPr>
          <w:p>
            <w:pPr>
              <w:jc w:val="center"/>
            </w:pPr>
            <w:r>
              <w:rPr>
                <w:rFonts w:ascii="微软雅黑" w:hAnsi="微软雅黑" w:eastAsia="微软雅黑"/>
                <w:b w:val="0"/>
                <w:sz w:val="18"/>
              </w:rPr>
              <w:t>中国3亿+老年人口，智慧养老万亿赛道</w:t>
            </w:r>
          </w:p>
        </w:tc>
      </w:tr>
    </w:tbl>
    <w:p/>
    <w:p>
      <w:pPr>
        <w:pStyle w:val="Heading2"/>
      </w:pPr>
      <w:r>
        <w:rPr>
          <w:rFonts w:ascii="微软雅黑" w:hAnsi="微软雅黑" w:eastAsia="微软雅黑"/>
        </w:rPr>
        <w:t>估值方法选择与依据</w:t>
      </w:r>
    </w:p>
    <w:p>
      <w:pPr>
        <w:spacing w:line="360" w:lineRule="auto" w:after="120"/>
        <w:ind w:firstLine="420"/>
      </w:pPr>
      <w:r>
        <w:rPr>
          <w:rFonts w:ascii="微软雅黑" w:hAnsi="微软雅黑" w:eastAsia="微软雅黑"/>
          <w:b w:val="0"/>
          <w:sz w:val="22"/>
        </w:rPr>
        <w:t>天使轮公司缺乏历史财务数据和可验证的经营现金流，DCF方法的主观假设过多、精度虚高，因此不作为本报告的主要估值方法。本报告以VC Method（风险资本法）为核心方法，聚焦退出回报分析；辅以融资条款反推法（交易双方直接定价锚点）、可比天使轮/Pre-A融资分析（一级市场参照）、可比上市公司PS倍数法（上市退出参照），并通过概率加权情景分析进行交叉验证，以降低单一方法偏差。</w:t>
      </w:r>
    </w:p>
    <w:p>
      <w:pPr>
        <w:pStyle w:val="Heading2"/>
      </w:pPr>
      <w:r>
        <w:rPr>
          <w:rFonts w:ascii="微软雅黑" w:hAnsi="微软雅黑" w:eastAsia="微软雅黑"/>
        </w:rPr>
        <w:t>关键发现</w:t>
      </w:r>
    </w:p>
    <w:p>
      <w:pPr>
        <w:spacing w:line="360" w:lineRule="auto" w:after="120"/>
        <w:ind w:firstLine="420"/>
      </w:pPr>
      <w:r>
        <w:rPr>
          <w:rFonts w:ascii="微软雅黑" w:hAnsi="微软雅黑" w:eastAsia="微软雅黑"/>
          <w:b w:val="0"/>
          <w:sz w:val="22"/>
        </w:rPr>
        <w:t>1. 融资条款反推投后估值为1.50亿元，是交易双方初步共识的直接锚定。</w:t>
      </w:r>
    </w:p>
    <w:p>
      <w:pPr>
        <w:spacing w:line="360" w:lineRule="auto" w:after="120"/>
        <w:ind w:firstLine="420"/>
      </w:pPr>
      <w:r>
        <w:rPr>
          <w:rFonts w:ascii="微软雅黑" w:hAnsi="微软雅黑" w:eastAsia="微软雅黑"/>
          <w:b w:val="0"/>
          <w:sz w:val="22"/>
        </w:rPr>
        <w:t>2. VC Method概率加权后投后估值约1.50亿元（基准情景与条款反推一致），概率加权MOIC约12.1x。</w:t>
      </w:r>
    </w:p>
    <w:p>
      <w:pPr>
        <w:spacing w:line="360" w:lineRule="auto" w:after="120"/>
        <w:ind w:firstLine="420"/>
      </w:pPr>
      <w:r>
        <w:rPr>
          <w:rFonts w:ascii="微软雅黑" w:hAnsi="微软雅黑" w:eastAsia="微软雅黑"/>
          <w:b w:val="0"/>
          <w:sz w:val="22"/>
        </w:rPr>
        <w:t>3. 可比天使轮/Pre-A轮融资金额中位数2,000万元，投后估值中位数1.80亿元，岁锦科技1,500万/1.50亿处于合理区间中位偏低水平。</w:t>
      </w:r>
    </w:p>
    <w:p>
      <w:pPr>
        <w:spacing w:line="360" w:lineRule="auto" w:after="120"/>
        <w:ind w:firstLine="420"/>
      </w:pPr>
      <w:r>
        <w:rPr>
          <w:rFonts w:ascii="微软雅黑" w:hAnsi="微软雅黑" w:eastAsia="微软雅黑"/>
          <w:b w:val="0"/>
          <w:sz w:val="22"/>
        </w:rPr>
        <w:t>4. 可比上市公司PS(TTM)中位数3.5x，以2027E营收0.9亿对应1.5x-2.5x PS（考虑流动性折价），隐含估值1.35-2.25亿元。</w:t>
      </w:r>
    </w:p>
    <w:p>
      <w:pPr>
        <w:spacing w:line="360" w:lineRule="auto" w:after="120"/>
        <w:ind w:firstLine="420"/>
      </w:pPr>
      <w:r>
        <w:rPr>
          <w:rFonts w:ascii="微软雅黑" w:hAnsi="微软雅黑" w:eastAsia="微软雅黑"/>
          <w:b w:val="0"/>
          <w:sz w:val="22"/>
        </w:rPr>
        <w:t>5. 即使在悲观情景下（2030E营收12亿、PS 1.0x），天使轮投资人MOIC仍为2.8x，处于正收益区间。</w:t>
      </w:r>
    </w:p>
    <w:p>
      <w:pPr>
        <w:spacing w:line="360" w:lineRule="auto" w:after="120"/>
        <w:ind w:firstLine="420"/>
      </w:pPr>
      <w:r>
        <w:rPr>
          <w:rFonts w:ascii="微软雅黑" w:hAnsi="微软雅黑" w:eastAsia="微软雅黑"/>
          <w:b w:val="0"/>
          <w:sz w:val="22"/>
        </w:rPr>
        <w:t>6. 综合评估建议：投后估值区间1.00-1.85亿元，核心估值点1.50亿元具有多重方法支撑，建议投资人以此为基础进行价格谈判。</w:t>
      </w:r>
    </w:p>
    <w:p>
      <w:pPr>
        <w:pStyle w:val="Heading2"/>
      </w:pPr>
      <w:r>
        <w:rPr>
          <w:rFonts w:ascii="微软雅黑" w:hAnsi="微软雅黑" w:eastAsia="微软雅黑"/>
        </w:rPr>
        <w:t>估值摘要</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fill="1F4E79"/>
          </w:tcPr>
          <w:p>
            <w:pPr>
              <w:jc w:val="center"/>
            </w:pPr>
            <w:r>
              <w:rPr>
                <w:rFonts w:ascii="微软雅黑" w:hAnsi="微软雅黑" w:eastAsia="微软雅黑"/>
                <w:b/>
                <w:color w:val="FFFFFF"/>
                <w:sz w:val="18"/>
              </w:rPr>
              <w:t>估值方法</w:t>
            </w:r>
          </w:p>
        </w:tc>
        <w:tc>
          <w:tcPr>
            <w:tcW w:type="dxa" w:w="1417"/>
            <w:shd w:fill="1F4E79"/>
          </w:tcPr>
          <w:p>
            <w:pPr>
              <w:jc w:val="center"/>
            </w:pPr>
            <w:r>
              <w:rPr>
                <w:rFonts w:ascii="微软雅黑" w:hAnsi="微软雅黑" w:eastAsia="微软雅黑"/>
                <w:b/>
                <w:color w:val="FFFFFF"/>
                <w:sz w:val="18"/>
              </w:rPr>
              <w:t>投后估值低（亿元）</w:t>
            </w:r>
          </w:p>
        </w:tc>
        <w:tc>
          <w:tcPr>
            <w:tcW w:type="dxa" w:w="1417"/>
            <w:shd w:fill="1F4E79"/>
          </w:tcPr>
          <w:p>
            <w:pPr>
              <w:jc w:val="center"/>
            </w:pPr>
            <w:r>
              <w:rPr>
                <w:rFonts w:ascii="微软雅黑" w:hAnsi="微软雅黑" w:eastAsia="微软雅黑"/>
                <w:b/>
                <w:color w:val="FFFFFF"/>
                <w:sz w:val="18"/>
              </w:rPr>
              <w:t>投后估值中（亿元）</w:t>
            </w:r>
          </w:p>
        </w:tc>
        <w:tc>
          <w:tcPr>
            <w:tcW w:type="dxa" w:w="1417"/>
            <w:shd w:fill="1F4E79"/>
          </w:tcPr>
          <w:p>
            <w:pPr>
              <w:jc w:val="center"/>
            </w:pPr>
            <w:r>
              <w:rPr>
                <w:rFonts w:ascii="微软雅黑" w:hAnsi="微软雅黑" w:eastAsia="微软雅黑"/>
                <w:b/>
                <w:color w:val="FFFFFF"/>
                <w:sz w:val="18"/>
              </w:rPr>
              <w:t>投后估值高（亿元）</w:t>
            </w:r>
          </w:p>
        </w:tc>
        <w:tc>
          <w:tcPr>
            <w:tcW w:type="dxa" w:w="2835"/>
            <w:shd w:fill="1F4E79"/>
          </w:tcPr>
          <w:p>
            <w:pPr>
              <w:jc w:val="center"/>
            </w:pPr>
            <w:r>
              <w:rPr>
                <w:rFonts w:ascii="微软雅黑" w:hAnsi="微软雅黑" w:eastAsia="微软雅黑"/>
                <w:b/>
                <w:color w:val="FFFFFF"/>
                <w:sz w:val="18"/>
              </w:rPr>
              <w:t>方法说明</w:t>
            </w:r>
          </w:p>
        </w:tc>
      </w:tr>
      <w:tr>
        <w:tc>
          <w:tcPr>
            <w:tcW w:type="dxa" w:w="1984"/>
          </w:tcPr>
          <w:p>
            <w:pPr>
              <w:jc w:val="left"/>
            </w:pPr>
            <w:r>
              <w:rPr>
                <w:rFonts w:ascii="微软雅黑" w:hAnsi="微软雅黑" w:eastAsia="微软雅黑"/>
                <w:b/>
                <w:sz w:val="18"/>
              </w:rPr>
              <w:t>融资条款反推法</w:t>
            </w:r>
          </w:p>
        </w:tc>
        <w:tc>
          <w:tcPr>
            <w:tcW w:type="dxa" w:w="1417"/>
          </w:tcPr>
          <w:p>
            <w:pPr>
              <w:jc w:val="center"/>
            </w:pPr>
            <w:r>
              <w:rPr>
                <w:rFonts w:ascii="微软雅黑" w:hAnsi="微软雅黑" w:eastAsia="微软雅黑"/>
                <w:b w:val="0"/>
                <w:sz w:val="18"/>
              </w:rPr>
              <w:t>1.5</w:t>
            </w:r>
          </w:p>
        </w:tc>
        <w:tc>
          <w:tcPr>
            <w:tcW w:type="dxa" w:w="1417"/>
          </w:tcPr>
          <w:p>
            <w:pPr>
              <w:jc w:val="center"/>
            </w:pPr>
            <w:r>
              <w:rPr>
                <w:rFonts w:ascii="微软雅黑" w:hAnsi="微软雅黑" w:eastAsia="微软雅黑"/>
                <w:b w:val="0"/>
                <w:sz w:val="18"/>
              </w:rPr>
              <w:t>1.5</w:t>
            </w:r>
          </w:p>
        </w:tc>
        <w:tc>
          <w:tcPr>
            <w:tcW w:type="dxa" w:w="1417"/>
          </w:tcPr>
          <w:p>
            <w:pPr>
              <w:jc w:val="center"/>
            </w:pPr>
            <w:r>
              <w:rPr>
                <w:rFonts w:ascii="微软雅黑" w:hAnsi="微软雅黑" w:eastAsia="微软雅黑"/>
                <w:b w:val="0"/>
                <w:sz w:val="18"/>
              </w:rPr>
              <w:t>1.5</w:t>
            </w:r>
          </w:p>
        </w:tc>
        <w:tc>
          <w:tcPr>
            <w:tcW w:type="dxa" w:w="2835"/>
          </w:tcPr>
          <w:p>
            <w:pPr>
              <w:jc w:val="center"/>
            </w:pPr>
            <w:r>
              <w:rPr>
                <w:rFonts w:ascii="微软雅黑" w:hAnsi="微软雅黑" w:eastAsia="微软雅黑"/>
                <w:b w:val="0"/>
                <w:sz w:val="18"/>
              </w:rPr>
              <w:t>基于1,500万/10%直接反推</w:t>
            </w:r>
          </w:p>
        </w:tc>
      </w:tr>
      <w:tr>
        <w:tc>
          <w:tcPr>
            <w:tcW w:type="dxa" w:w="1984"/>
            <w:shd w:fill="D6E4F0"/>
          </w:tcPr>
          <w:p>
            <w:pPr>
              <w:jc w:val="left"/>
            </w:pPr>
            <w:r>
              <w:rPr>
                <w:rFonts w:ascii="微软雅黑" w:hAnsi="微软雅黑" w:eastAsia="微软雅黑"/>
                <w:b/>
                <w:sz w:val="18"/>
              </w:rPr>
              <w:t>VC Method（概率加权）</w:t>
            </w:r>
          </w:p>
        </w:tc>
        <w:tc>
          <w:tcPr>
            <w:tcW w:type="dxa" w:w="1417"/>
            <w:shd w:fill="D6E4F0"/>
          </w:tcPr>
          <w:p>
            <w:pPr>
              <w:jc w:val="center"/>
            </w:pPr>
            <w:r>
              <w:rPr>
                <w:rFonts w:ascii="微软雅黑" w:hAnsi="微软雅黑" w:eastAsia="微软雅黑"/>
                <w:b w:val="0"/>
                <w:sz w:val="18"/>
              </w:rPr>
              <w:t>1.35</w:t>
            </w:r>
          </w:p>
        </w:tc>
        <w:tc>
          <w:tcPr>
            <w:tcW w:type="dxa" w:w="1417"/>
            <w:shd w:fill="D6E4F0"/>
          </w:tcPr>
          <w:p>
            <w:pPr>
              <w:jc w:val="center"/>
            </w:pPr>
            <w:r>
              <w:rPr>
                <w:rFonts w:ascii="微软雅黑" w:hAnsi="微软雅黑" w:eastAsia="微软雅黑"/>
                <w:b w:val="0"/>
                <w:sz w:val="18"/>
              </w:rPr>
              <w:t>1.5</w:t>
            </w:r>
          </w:p>
        </w:tc>
        <w:tc>
          <w:tcPr>
            <w:tcW w:type="dxa" w:w="1417"/>
            <w:shd w:fill="D6E4F0"/>
          </w:tcPr>
          <w:p>
            <w:pPr>
              <w:jc w:val="center"/>
            </w:pPr>
            <w:r>
              <w:rPr>
                <w:rFonts w:ascii="微软雅黑" w:hAnsi="微软雅黑" w:eastAsia="微软雅黑"/>
                <w:b w:val="0"/>
                <w:sz w:val="18"/>
              </w:rPr>
              <w:t>1.65</w:t>
            </w:r>
          </w:p>
        </w:tc>
        <w:tc>
          <w:tcPr>
            <w:tcW w:type="dxa" w:w="2835"/>
            <w:shd w:fill="D6E4F0"/>
          </w:tcPr>
          <w:p>
            <w:pPr>
              <w:jc w:val="center"/>
            </w:pPr>
            <w:r>
              <w:rPr>
                <w:rFonts w:ascii="微软雅黑" w:hAnsi="微软雅黑" w:eastAsia="微软雅黑"/>
                <w:b w:val="0"/>
                <w:sz w:val="18"/>
              </w:rPr>
              <w:t>三种情景期望值法</w:t>
            </w:r>
          </w:p>
        </w:tc>
      </w:tr>
      <w:tr>
        <w:tc>
          <w:tcPr>
            <w:tcW w:type="dxa" w:w="1984"/>
          </w:tcPr>
          <w:p>
            <w:pPr>
              <w:jc w:val="left"/>
            </w:pPr>
            <w:r>
              <w:rPr>
                <w:rFonts w:ascii="微软雅黑" w:hAnsi="微软雅黑" w:eastAsia="微软雅黑"/>
                <w:b/>
                <w:sz w:val="18"/>
              </w:rPr>
              <w:t>可比天使轮融资分析</w:t>
            </w:r>
          </w:p>
        </w:tc>
        <w:tc>
          <w:tcPr>
            <w:tcW w:type="dxa" w:w="1417"/>
          </w:tcPr>
          <w:p>
            <w:pPr>
              <w:jc w:val="center"/>
            </w:pPr>
            <w:r>
              <w:rPr>
                <w:rFonts w:ascii="微软雅黑" w:hAnsi="微软雅黑" w:eastAsia="微软雅黑"/>
                <w:b w:val="0"/>
                <w:sz w:val="18"/>
              </w:rPr>
              <w:t>1.0</w:t>
            </w:r>
          </w:p>
        </w:tc>
        <w:tc>
          <w:tcPr>
            <w:tcW w:type="dxa" w:w="1417"/>
          </w:tcPr>
          <w:p>
            <w:pPr>
              <w:jc w:val="center"/>
            </w:pPr>
            <w:r>
              <w:rPr>
                <w:rFonts w:ascii="微软雅黑" w:hAnsi="微软雅黑" w:eastAsia="微软雅黑"/>
                <w:b w:val="0"/>
                <w:sz w:val="18"/>
              </w:rPr>
              <w:t>1.3</w:t>
            </w:r>
          </w:p>
        </w:tc>
        <w:tc>
          <w:tcPr>
            <w:tcW w:type="dxa" w:w="1417"/>
          </w:tcPr>
          <w:p>
            <w:pPr>
              <w:jc w:val="center"/>
            </w:pPr>
            <w:r>
              <w:rPr>
                <w:rFonts w:ascii="微软雅黑" w:hAnsi="微软雅黑" w:eastAsia="微软雅黑"/>
                <w:b w:val="0"/>
                <w:sz w:val="18"/>
              </w:rPr>
              <w:t>1.8</w:t>
            </w:r>
          </w:p>
        </w:tc>
        <w:tc>
          <w:tcPr>
            <w:tcW w:type="dxa" w:w="2835"/>
          </w:tcPr>
          <w:p>
            <w:pPr>
              <w:jc w:val="center"/>
            </w:pPr>
            <w:r>
              <w:rPr>
                <w:rFonts w:ascii="微软雅黑" w:hAnsi="微软雅黑" w:eastAsia="微软雅黑"/>
                <w:b w:val="0"/>
                <w:sz w:val="18"/>
              </w:rPr>
              <w:t>5个同类天使/Pre-A轮对标</w:t>
            </w:r>
          </w:p>
        </w:tc>
      </w:tr>
      <w:tr>
        <w:tc>
          <w:tcPr>
            <w:tcW w:type="dxa" w:w="1984"/>
            <w:shd w:fill="D6E4F0"/>
          </w:tcPr>
          <w:p>
            <w:pPr>
              <w:jc w:val="left"/>
            </w:pPr>
            <w:r>
              <w:rPr>
                <w:rFonts w:ascii="微软雅黑" w:hAnsi="微软雅黑" w:eastAsia="微软雅黑"/>
                <w:b/>
                <w:sz w:val="18"/>
              </w:rPr>
              <w:t>PS倍数法（2027E）</w:t>
            </w:r>
          </w:p>
        </w:tc>
        <w:tc>
          <w:tcPr>
            <w:tcW w:type="dxa" w:w="1417"/>
            <w:shd w:fill="D6E4F0"/>
          </w:tcPr>
          <w:p>
            <w:pPr>
              <w:jc w:val="center"/>
            </w:pPr>
            <w:r>
              <w:rPr>
                <w:rFonts w:ascii="微软雅黑" w:hAnsi="微软雅黑" w:eastAsia="微软雅黑"/>
                <w:b w:val="0"/>
                <w:sz w:val="18"/>
              </w:rPr>
              <w:t>1.35</w:t>
            </w:r>
          </w:p>
        </w:tc>
        <w:tc>
          <w:tcPr>
            <w:tcW w:type="dxa" w:w="1417"/>
            <w:shd w:fill="D6E4F0"/>
          </w:tcPr>
          <w:p>
            <w:pPr>
              <w:jc w:val="center"/>
            </w:pPr>
            <w:r>
              <w:rPr>
                <w:rFonts w:ascii="微软雅黑" w:hAnsi="微软雅黑" w:eastAsia="微软雅黑"/>
                <w:b w:val="0"/>
                <w:sz w:val="18"/>
              </w:rPr>
              <w:t>1.8</w:t>
            </w:r>
          </w:p>
        </w:tc>
        <w:tc>
          <w:tcPr>
            <w:tcW w:type="dxa" w:w="1417"/>
            <w:shd w:fill="D6E4F0"/>
          </w:tcPr>
          <w:p>
            <w:pPr>
              <w:jc w:val="center"/>
            </w:pPr>
            <w:r>
              <w:rPr>
                <w:rFonts w:ascii="微软雅黑" w:hAnsi="微软雅黑" w:eastAsia="微软雅黑"/>
                <w:b w:val="0"/>
                <w:sz w:val="18"/>
              </w:rPr>
              <w:t>2.25</w:t>
            </w:r>
          </w:p>
        </w:tc>
        <w:tc>
          <w:tcPr>
            <w:tcW w:type="dxa" w:w="2835"/>
            <w:shd w:fill="D6E4F0"/>
          </w:tcPr>
          <w:p>
            <w:pPr>
              <w:jc w:val="center"/>
            </w:pPr>
            <w:r>
              <w:rPr>
                <w:rFonts w:ascii="微软雅黑" w:hAnsi="微软雅黑" w:eastAsia="微软雅黑"/>
                <w:b w:val="0"/>
                <w:sz w:val="18"/>
              </w:rPr>
              <w:t>1.5x-2.5x 2027E PS</w:t>
            </w:r>
          </w:p>
        </w:tc>
      </w:tr>
      <w:tr>
        <w:tc>
          <w:tcPr>
            <w:tcW w:type="dxa" w:w="1984"/>
          </w:tcPr>
          <w:p>
            <w:pPr>
              <w:jc w:val="left"/>
            </w:pPr>
            <w:r>
              <w:rPr>
                <w:rFonts w:ascii="微软雅黑" w:hAnsi="微软雅黑" w:eastAsia="微软雅黑"/>
                <w:b/>
                <w:sz w:val="18"/>
              </w:rPr>
              <w:t>综合建议区间</w:t>
            </w:r>
          </w:p>
        </w:tc>
        <w:tc>
          <w:tcPr>
            <w:tcW w:type="dxa" w:w="1417"/>
          </w:tcPr>
          <w:p>
            <w:pPr>
              <w:jc w:val="center"/>
            </w:pPr>
            <w:r>
              <w:rPr>
                <w:rFonts w:ascii="微软雅黑" w:hAnsi="微软雅黑" w:eastAsia="微软雅黑"/>
                <w:b w:val="0"/>
                <w:sz w:val="18"/>
              </w:rPr>
              <w:t>1.0</w:t>
            </w:r>
          </w:p>
        </w:tc>
        <w:tc>
          <w:tcPr>
            <w:tcW w:type="dxa" w:w="1417"/>
          </w:tcPr>
          <w:p>
            <w:pPr>
              <w:jc w:val="center"/>
            </w:pPr>
            <w:r>
              <w:rPr>
                <w:rFonts w:ascii="微软雅黑" w:hAnsi="微软雅黑" w:eastAsia="微软雅黑"/>
                <w:b w:val="0"/>
                <w:sz w:val="18"/>
              </w:rPr>
              <w:t>1.5</w:t>
            </w:r>
          </w:p>
        </w:tc>
        <w:tc>
          <w:tcPr>
            <w:tcW w:type="dxa" w:w="1417"/>
          </w:tcPr>
          <w:p>
            <w:pPr>
              <w:jc w:val="center"/>
            </w:pPr>
            <w:r>
              <w:rPr>
                <w:rFonts w:ascii="微软雅黑" w:hAnsi="微软雅黑" w:eastAsia="微软雅黑"/>
                <w:b w:val="0"/>
                <w:sz w:val="18"/>
              </w:rPr>
              <w:t>1.85</w:t>
            </w:r>
          </w:p>
        </w:tc>
        <w:tc>
          <w:tcPr>
            <w:tcW w:type="dxa" w:w="2835"/>
          </w:tcPr>
          <w:p>
            <w:pPr>
              <w:jc w:val="center"/>
            </w:pPr>
            <w:r>
              <w:rPr>
                <w:rFonts w:ascii="微软雅黑" w:hAnsi="微软雅黑" w:eastAsia="微软雅黑"/>
                <w:b w:val="0"/>
                <w:sz w:val="18"/>
              </w:rPr>
              <w:t>多重方法交叉验证收敛</w:t>
            </w:r>
          </w:p>
        </w:tc>
      </w:tr>
    </w:tbl>
    <w:p/>
    <w:p>
      <w:pPr>
        <w:jc w:val="center"/>
      </w:pPr>
      <w:r>
        <w:drawing>
          <wp:inline xmlns:a="http://schemas.openxmlformats.org/drawingml/2006/main" xmlns:pic="http://schemas.openxmlformats.org/drawingml/2006/picture">
            <wp:extent cx="5029200" cy="2737413"/>
            <wp:docPr id="1" name="Picture 1"/>
            <wp:cNvGraphicFramePr>
              <a:graphicFrameLocks noChangeAspect="1"/>
            </wp:cNvGraphicFramePr>
            <a:graphic>
              <a:graphicData uri="http://schemas.openxmlformats.org/drawingml/2006/picture">
                <pic:pic>
                  <pic:nvPicPr>
                    <pic:cNvPr id="0" name="chart03_valuation_bridge.png"/>
                    <pic:cNvPicPr/>
                  </pic:nvPicPr>
                  <pic:blipFill>
                    <a:blip r:embed="rId9"/>
                    <a:stretch>
                      <a:fillRect/>
                    </a:stretch>
                  </pic:blipFill>
                  <pic:spPr>
                    <a:xfrm>
                      <a:off x="0" y="0"/>
                      <a:ext cx="5029200" cy="2737413"/>
                    </a:xfrm>
                    <a:prstGeom prst="rect"/>
                  </pic:spPr>
                </pic:pic>
              </a:graphicData>
            </a:graphic>
          </wp:inline>
        </w:drawing>
      </w:r>
    </w:p>
    <w:p>
      <w:pPr>
        <w:jc w:val="center"/>
      </w:pPr>
      <w:r>
        <w:rPr>
          <w:rFonts w:ascii="微软雅黑" w:hAnsi="微软雅黑" w:eastAsia="微软雅黑"/>
          <w:b/>
          <w:color w:val="646464"/>
          <w:sz w:val="18"/>
        </w:rPr>
        <w:t>图1：估值方法交叉验证桥梁图</w:t>
      </w:r>
    </w:p>
    <w:p>
      <w:r>
        <w:br w:type="page"/>
      </w:r>
    </w:p>
    <w:p>
      <w:pPr>
        <w:pStyle w:val="Heading1"/>
      </w:pPr>
      <w:r>
        <w:rPr>
          <w:rFonts w:ascii="微软雅黑" w:hAnsi="微软雅黑" w:eastAsia="微软雅黑"/>
        </w:rPr>
        <w:t>一、融资背景与估值目的</w:t>
      </w:r>
    </w:p>
    <w:p>
      <w:pPr>
        <w:pStyle w:val="Heading2"/>
      </w:pPr>
      <w:r>
        <w:rPr>
          <w:rFonts w:ascii="微软雅黑" w:hAnsi="微软雅黑" w:eastAsia="微软雅黑"/>
        </w:rPr>
        <w:t>1.1 公司发展阶段</w:t>
      </w:r>
    </w:p>
    <w:p>
      <w:pPr>
        <w:spacing w:line="360" w:lineRule="auto" w:after="120"/>
        <w:ind w:firstLine="420"/>
      </w:pPr>
      <w:r>
        <w:rPr>
          <w:rFonts w:ascii="微软雅黑" w:hAnsi="微软雅黑" w:eastAsia="微软雅黑"/>
          <w:b w:val="0"/>
          <w:sz w:val="22"/>
        </w:rPr>
        <w:t>岁锦科技（AgeTech）成立于2025年，专注于AI × 智慧养老设备领域，致力于将人工智能大模型与多模态感知技术深度融合，为老年人提供全方位的健康监测、安全防护和情感陪伴解决方案。公司当前处于天使轮融资阶段，已完成产品原型开发和初步概念验证，核心团队25人（研发占比60%），准备进入MVP上线和首批机构试点的商业验证阶段。</w:t>
      </w:r>
    </w:p>
    <w:p>
      <w:pPr>
        <w:spacing w:line="360" w:lineRule="auto" w:after="120"/>
        <w:ind w:firstLine="420"/>
      </w:pPr>
      <w:r>
        <w:rPr>
          <w:rFonts w:ascii="微软雅黑" w:hAnsi="微软雅黑" w:eastAsia="微软雅黑"/>
          <w:b w:val="0"/>
          <w:sz w:val="22"/>
        </w:rPr>
        <w:t>根据公司商业计划书所述，本轮融资资金将主要用于AI算法研发（33%）、硬件产品化（27%）、市场推广（17%）、团队扩张（13%）以及运营储备（10%）。公司计划在2026年Q2-Q3完成MVP上线和首批5家养老机构试点合作，为2027年的规模扩张奠定基础。</w:t>
      </w:r>
    </w:p>
    <w:p>
      <w:pPr>
        <w:jc w:val="center"/>
      </w:pPr>
      <w:r>
        <w:drawing>
          <wp:inline xmlns:a="http://schemas.openxmlformats.org/drawingml/2006/main" xmlns:pic="http://schemas.openxmlformats.org/drawingml/2006/picture">
            <wp:extent cx="5029200" cy="4264762"/>
            <wp:docPr id="2" name="Picture 2"/>
            <wp:cNvGraphicFramePr>
              <a:graphicFrameLocks noChangeAspect="1"/>
            </wp:cNvGraphicFramePr>
            <a:graphic>
              <a:graphicData uri="http://schemas.openxmlformats.org/drawingml/2006/picture">
                <pic:pic>
                  <pic:nvPicPr>
                    <pic:cNvPr id="0" name="chart05_fund_usage_pie.png"/>
                    <pic:cNvPicPr/>
                  </pic:nvPicPr>
                  <pic:blipFill>
                    <a:blip r:embed="rId10"/>
                    <a:stretch>
                      <a:fillRect/>
                    </a:stretch>
                  </pic:blipFill>
                  <pic:spPr>
                    <a:xfrm>
                      <a:off x="0" y="0"/>
                      <a:ext cx="5029200" cy="4264762"/>
                    </a:xfrm>
                    <a:prstGeom prst="rect"/>
                  </pic:spPr>
                </pic:pic>
              </a:graphicData>
            </a:graphic>
          </wp:inline>
        </w:drawing>
      </w:r>
    </w:p>
    <w:p>
      <w:pPr>
        <w:jc w:val="center"/>
      </w:pPr>
      <w:r>
        <w:rPr>
          <w:rFonts w:ascii="微软雅黑" w:hAnsi="微软雅黑" w:eastAsia="微软雅黑"/>
          <w:b/>
          <w:color w:val="646464"/>
          <w:sz w:val="18"/>
        </w:rPr>
        <w:t>图2：本轮融资资金用途分配</w:t>
      </w:r>
    </w:p>
    <w:p>
      <w:pPr>
        <w:pStyle w:val="Heading2"/>
      </w:pPr>
      <w:r>
        <w:rPr>
          <w:rFonts w:ascii="微软雅黑" w:hAnsi="微软雅黑" w:eastAsia="微软雅黑"/>
        </w:rPr>
        <w:t>1.2 融资概况与条款</w:t>
      </w:r>
    </w:p>
    <w:p>
      <w:pPr>
        <w:spacing w:line="360" w:lineRule="auto" w:after="120"/>
        <w:ind w:firstLine="420"/>
      </w:pPr>
      <w:r>
        <w:rPr>
          <w:rFonts w:ascii="微软雅黑" w:hAnsi="微软雅黑" w:eastAsia="微软雅黑"/>
          <w:b w:val="0"/>
          <w:sz w:val="22"/>
        </w:rPr>
        <w:t>本轮融资为天使轮，计划募集 1,500 万元，拟出让 10% 股权。按融资条款反推：投后估值 = 1,500 万元 ÷ 10% = 15,000 万元 = 1.50 亿元；投前估值 = 1.50 亿元 - 1,500 万元 = 1.35 亿元。</w:t>
      </w:r>
    </w:p>
    <w:p>
      <w:pPr>
        <w:spacing w:line="360" w:lineRule="auto" w:after="120"/>
        <w:ind w:firstLine="420"/>
      </w:pPr>
      <w:r>
        <w:rPr>
          <w:rFonts w:ascii="微软雅黑" w:hAnsi="微软雅黑" w:eastAsia="微软雅黑"/>
          <w:b w:val="0"/>
          <w:sz w:val="22"/>
        </w:rPr>
        <w:t>⚠ 重要提示：公司商业计划书未提供本轮投资的具体工具类型（普通股/优先股/SAFE/可转债）、期权池规模、清算优先权、反稀释条款、赎回权、董事会席位等关键融资条款。上述条款的差异可能对实际估值产生重大影响。建议在尽职调查中明确所有条款细节。</w:t>
      </w:r>
    </w:p>
    <w:p>
      <w:pPr>
        <w:pStyle w:val="Heading2"/>
      </w:pPr>
      <w:r>
        <w:rPr>
          <w:rFonts w:ascii="微软雅黑" w:hAnsi="微软雅黑" w:eastAsia="微软雅黑"/>
        </w:rPr>
        <w:t>1.3 估值目的与范围</w:t>
      </w:r>
    </w:p>
    <w:p>
      <w:pPr>
        <w:spacing w:line="360" w:lineRule="auto" w:after="120"/>
        <w:ind w:firstLine="420"/>
      </w:pPr>
      <w:r>
        <w:rPr>
          <w:rFonts w:ascii="微软雅黑" w:hAnsi="微软雅黑" w:eastAsia="微软雅黑"/>
          <w:b w:val="0"/>
          <w:sz w:val="22"/>
        </w:rPr>
        <w:t>本估值报告旨在为天使轮投资决策提供独立、客观的定价参考。报告采用多重估值方法交叉验证，帮助投资人评估本轮融资定价的合理性和潜在回报空间。估值基准日为2026年6月10日，估值结论仅在该基准日有效。本报告不构成投资建议、要约或承诺。</w:t>
      </w:r>
    </w:p>
    <w:p>
      <w:r>
        <w:br w:type="page"/>
      </w:r>
    </w:p>
    <w:p>
      <w:pPr>
        <w:pStyle w:val="Heading1"/>
      </w:pPr>
      <w:r>
        <w:rPr>
          <w:rFonts w:ascii="微软雅黑" w:hAnsi="微软雅黑" w:eastAsia="微软雅黑"/>
        </w:rPr>
        <w:t>二、公司分析</w:t>
      </w:r>
    </w:p>
    <w:p>
      <w:pPr>
        <w:pStyle w:val="Heading2"/>
      </w:pPr>
      <w:r>
        <w:rPr>
          <w:rFonts w:ascii="微软雅黑" w:hAnsi="微软雅黑" w:eastAsia="微软雅黑"/>
        </w:rPr>
        <w:t>2.1 公司概况</w:t>
      </w:r>
    </w:p>
    <w:p>
      <w:pPr>
        <w:spacing w:line="360" w:lineRule="auto" w:after="120"/>
        <w:ind w:firstLine="420"/>
      </w:pPr>
      <w:r>
        <w:rPr>
          <w:rFonts w:ascii="微软雅黑" w:hAnsi="微软雅黑" w:eastAsia="微软雅黑"/>
          <w:b w:val="0"/>
          <w:sz w:val="22"/>
        </w:rPr>
        <w:t>岁锦科技（AgeTech）定位为AI × 智慧养老设备领域的'专业纯玩家'，通过自研AI大模型和多模态感知技术（毫米波雷达、生物传感器、视觉AI），打造软硬一体的全栈式智慧养老解决方案。公司核心团队来自阿里巴巴、腾讯、迈瑞医疗等头部企业，兼具AI算法、硬件工程、工业设计和医疗健康领域的复合能力。</w:t>
      </w:r>
    </w:p>
    <w:p>
      <w:pPr>
        <w:spacing w:line="360" w:lineRule="auto" w:after="120"/>
        <w:ind w:firstLine="420"/>
      </w:pPr>
      <w:r>
        <w:rPr>
          <w:rFonts w:ascii="微软雅黑" w:hAnsi="微软雅黑" w:eastAsia="微软雅黑"/>
          <w:b w:val="0"/>
          <w:sz w:val="22"/>
        </w:rPr>
        <w:t>公司的核心竞争力在于三大壁垒的相互强化：（1）AI算法自研 — 老年健康时序分析模型、步态分析、睡眠分期、心血管预警精度显著领先行业基线；（2）适老化硬件设计 — 针对老年生理特征（视力、听力、触觉、认知）深度优化的'银发设计规范'专有体系；（3）数据飞轮效应 — 用户健康数据积累→AI模型迭代→产品体验提升→更多用户的正向复利循环。</w:t>
      </w:r>
    </w:p>
    <w:p>
      <w:pPr>
        <w:pStyle w:val="Heading2"/>
      </w:pPr>
      <w:r>
        <w:rPr>
          <w:rFonts w:ascii="微软雅黑" w:hAnsi="微软雅黑" w:eastAsia="微软雅黑"/>
        </w:rPr>
        <w:t>2.2 产品矩阵</w:t>
      </w:r>
    </w:p>
    <w:p>
      <w:pPr>
        <w:spacing w:line="360" w:lineRule="auto" w:after="120"/>
        <w:ind w:firstLine="420"/>
      </w:pPr>
      <w:r>
        <w:rPr>
          <w:rFonts w:ascii="微软雅黑" w:hAnsi="微软雅黑" w:eastAsia="微软雅黑"/>
          <w:b w:val="0"/>
          <w:sz w:val="22"/>
        </w:rPr>
        <w:t>公司围绕'硬件+软件+服务'构建了四条产品线，覆盖个人端、家庭端和机构端三大场景，形成从数据采集（硬件）到数据分析（SaaS）到数据变现（增值服务）的完整商业闭环。</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1F4E79"/>
          </w:tcPr>
          <w:p>
            <w:pPr>
              <w:jc w:val="center"/>
            </w:pPr>
            <w:r>
              <w:rPr>
                <w:rFonts w:ascii="微软雅黑" w:hAnsi="微软雅黑" w:eastAsia="微软雅黑"/>
                <w:b/>
                <w:color w:val="FFFFFF"/>
                <w:sz w:val="18"/>
              </w:rPr>
              <w:t>产品名称</w:t>
            </w:r>
          </w:p>
        </w:tc>
        <w:tc>
          <w:tcPr>
            <w:tcW w:type="dxa" w:w="1587"/>
            <w:shd w:fill="1F4E79"/>
          </w:tcPr>
          <w:p>
            <w:pPr>
              <w:jc w:val="center"/>
            </w:pPr>
            <w:r>
              <w:rPr>
                <w:rFonts w:ascii="微软雅黑" w:hAnsi="微软雅黑" w:eastAsia="微软雅黑"/>
                <w:b/>
                <w:color w:val="FFFFFF"/>
                <w:sz w:val="18"/>
              </w:rPr>
              <w:t>产品形态</w:t>
            </w:r>
          </w:p>
        </w:tc>
        <w:tc>
          <w:tcPr>
            <w:tcW w:type="dxa" w:w="2551"/>
            <w:shd w:fill="1F4E79"/>
          </w:tcPr>
          <w:p>
            <w:pPr>
              <w:jc w:val="center"/>
            </w:pPr>
            <w:r>
              <w:rPr>
                <w:rFonts w:ascii="微软雅黑" w:hAnsi="微软雅黑" w:eastAsia="微软雅黑"/>
                <w:b/>
                <w:color w:val="FFFFFF"/>
                <w:sz w:val="18"/>
              </w:rPr>
              <w:t>核心功能</w:t>
            </w:r>
          </w:p>
        </w:tc>
        <w:tc>
          <w:tcPr>
            <w:tcW w:type="dxa" w:w="1984"/>
            <w:shd w:fill="1F4E79"/>
          </w:tcPr>
          <w:p>
            <w:pPr>
              <w:jc w:val="center"/>
            </w:pPr>
            <w:r>
              <w:rPr>
                <w:rFonts w:ascii="微软雅黑" w:hAnsi="微软雅黑" w:eastAsia="微软雅黑"/>
                <w:b/>
                <w:color w:val="FFFFFF"/>
                <w:sz w:val="18"/>
              </w:rPr>
              <w:t>商业模式</w:t>
            </w:r>
          </w:p>
        </w:tc>
        <w:tc>
          <w:tcPr>
            <w:tcW w:type="dxa" w:w="1417"/>
            <w:shd w:fill="1F4E79"/>
          </w:tcPr>
          <w:p>
            <w:pPr>
              <w:jc w:val="center"/>
            </w:pPr>
            <w:r>
              <w:rPr>
                <w:rFonts w:ascii="微软雅黑" w:hAnsi="微软雅黑" w:eastAsia="微软雅黑"/>
                <w:b/>
                <w:color w:val="FFFFFF"/>
                <w:sz w:val="18"/>
              </w:rPr>
              <w:t>定价区间</w:t>
            </w:r>
          </w:p>
        </w:tc>
      </w:tr>
      <w:tr>
        <w:tc>
          <w:tcPr>
            <w:tcW w:type="dxa" w:w="1134"/>
          </w:tcPr>
          <w:p>
            <w:pPr>
              <w:jc w:val="left"/>
            </w:pPr>
            <w:r>
              <w:rPr>
                <w:rFonts w:ascii="微软雅黑" w:hAnsi="微软雅黑" w:eastAsia="微软雅黑"/>
                <w:b/>
                <w:sz w:val="18"/>
              </w:rPr>
              <w:t>岁锦守护环</w:t>
            </w:r>
          </w:p>
        </w:tc>
        <w:tc>
          <w:tcPr>
            <w:tcW w:type="dxa" w:w="1587"/>
          </w:tcPr>
          <w:p>
            <w:pPr>
              <w:jc w:val="center"/>
            </w:pPr>
            <w:r>
              <w:rPr>
                <w:rFonts w:ascii="微软雅黑" w:hAnsi="微软雅黑" w:eastAsia="微软雅黑"/>
                <w:b w:val="0"/>
                <w:sz w:val="18"/>
              </w:rPr>
              <w:t>AI智能手环/腕表</w:t>
            </w:r>
          </w:p>
        </w:tc>
        <w:tc>
          <w:tcPr>
            <w:tcW w:type="dxa" w:w="2551"/>
          </w:tcPr>
          <w:p>
            <w:pPr>
              <w:jc w:val="center"/>
            </w:pPr>
            <w:r>
              <w:rPr>
                <w:rFonts w:ascii="微软雅黑" w:hAnsi="微软雅黑" w:eastAsia="微软雅黑"/>
                <w:b w:val="0"/>
                <w:sz w:val="18"/>
              </w:rPr>
              <w:t>多模态生命体征监测+大模型异常预警，适用于居家独居老人</w:t>
            </w:r>
          </w:p>
        </w:tc>
        <w:tc>
          <w:tcPr>
            <w:tcW w:type="dxa" w:w="1984"/>
          </w:tcPr>
          <w:p>
            <w:pPr>
              <w:jc w:val="center"/>
            </w:pPr>
            <w:r>
              <w:rPr>
                <w:rFonts w:ascii="微软雅黑" w:hAnsi="微软雅黑" w:eastAsia="微软雅黑"/>
                <w:b w:val="0"/>
                <w:sz w:val="18"/>
              </w:rPr>
              <w:t>硬件销售+数据订阅</w:t>
            </w:r>
          </w:p>
        </w:tc>
        <w:tc>
          <w:tcPr>
            <w:tcW w:type="dxa" w:w="1417"/>
          </w:tcPr>
          <w:p>
            <w:pPr>
              <w:jc w:val="center"/>
            </w:pPr>
            <w:r>
              <w:rPr>
                <w:rFonts w:ascii="微软雅黑" w:hAnsi="微软雅黑" w:eastAsia="微软雅黑"/>
                <w:b w:val="0"/>
                <w:sz w:val="18"/>
              </w:rPr>
              <w:t>500-2,000元</w:t>
            </w:r>
          </w:p>
        </w:tc>
      </w:tr>
      <w:tr>
        <w:tc>
          <w:tcPr>
            <w:tcW w:type="dxa" w:w="1134"/>
            <w:shd w:fill="D6E4F0"/>
          </w:tcPr>
          <w:p>
            <w:pPr>
              <w:jc w:val="left"/>
            </w:pPr>
            <w:r>
              <w:rPr>
                <w:rFonts w:ascii="微软雅黑" w:hAnsi="微软雅黑" w:eastAsia="微软雅黑"/>
                <w:b/>
                <w:sz w:val="18"/>
              </w:rPr>
              <w:t>岁锦卫士</w:t>
            </w:r>
          </w:p>
        </w:tc>
        <w:tc>
          <w:tcPr>
            <w:tcW w:type="dxa" w:w="1587"/>
            <w:shd w:fill="D6E4F0"/>
          </w:tcPr>
          <w:p>
            <w:pPr>
              <w:jc w:val="center"/>
            </w:pPr>
            <w:r>
              <w:rPr>
                <w:rFonts w:ascii="微软雅黑" w:hAnsi="微软雅黑" w:eastAsia="微软雅黑"/>
                <w:b w:val="0"/>
                <w:sz w:val="18"/>
              </w:rPr>
              <w:t>毫米波雷达跌倒探测仪</w:t>
            </w:r>
          </w:p>
        </w:tc>
        <w:tc>
          <w:tcPr>
            <w:tcW w:type="dxa" w:w="2551"/>
            <w:shd w:fill="D6E4F0"/>
          </w:tcPr>
          <w:p>
            <w:pPr>
              <w:jc w:val="center"/>
            </w:pPr>
            <w:r>
              <w:rPr>
                <w:rFonts w:ascii="微软雅黑" w:hAnsi="微软雅黑" w:eastAsia="微软雅黑"/>
                <w:b w:val="0"/>
                <w:sz w:val="18"/>
              </w:rPr>
              <w:t>非接触式跌倒识别，误报率&lt;3%，居家/机构通用</w:t>
            </w:r>
          </w:p>
        </w:tc>
        <w:tc>
          <w:tcPr>
            <w:tcW w:type="dxa" w:w="1984"/>
            <w:shd w:fill="D6E4F0"/>
          </w:tcPr>
          <w:p>
            <w:pPr>
              <w:jc w:val="center"/>
            </w:pPr>
            <w:r>
              <w:rPr>
                <w:rFonts w:ascii="微软雅黑" w:hAnsi="微软雅黑" w:eastAsia="微软雅黑"/>
                <w:b w:val="0"/>
                <w:sz w:val="18"/>
              </w:rPr>
              <w:t>设备销售+运维SaaS</w:t>
            </w:r>
          </w:p>
        </w:tc>
        <w:tc>
          <w:tcPr>
            <w:tcW w:type="dxa" w:w="1417"/>
            <w:shd w:fill="D6E4F0"/>
          </w:tcPr>
          <w:p>
            <w:pPr>
              <w:jc w:val="center"/>
            </w:pPr>
            <w:r>
              <w:rPr>
                <w:rFonts w:ascii="微软雅黑" w:hAnsi="微软雅黑" w:eastAsia="微软雅黑"/>
                <w:b w:val="0"/>
                <w:sz w:val="18"/>
              </w:rPr>
              <w:t>3,000-8,000元</w:t>
            </w:r>
          </w:p>
        </w:tc>
      </w:tr>
      <w:tr>
        <w:tc>
          <w:tcPr>
            <w:tcW w:type="dxa" w:w="1134"/>
          </w:tcPr>
          <w:p>
            <w:pPr>
              <w:jc w:val="left"/>
            </w:pPr>
            <w:r>
              <w:rPr>
                <w:rFonts w:ascii="微软雅黑" w:hAnsi="微软雅黑" w:eastAsia="微软雅黑"/>
                <w:b/>
                <w:sz w:val="18"/>
              </w:rPr>
              <w:t>岁锦陪伴屏</w:t>
            </w:r>
          </w:p>
        </w:tc>
        <w:tc>
          <w:tcPr>
            <w:tcW w:type="dxa" w:w="1587"/>
          </w:tcPr>
          <w:p>
            <w:pPr>
              <w:jc w:val="center"/>
            </w:pPr>
            <w:r>
              <w:rPr>
                <w:rFonts w:ascii="微软雅黑" w:hAnsi="微软雅黑" w:eastAsia="微软雅黑"/>
                <w:b w:val="0"/>
                <w:sz w:val="18"/>
              </w:rPr>
              <w:t>AI陪伴交互终端(10寸)</w:t>
            </w:r>
          </w:p>
        </w:tc>
        <w:tc>
          <w:tcPr>
            <w:tcW w:type="dxa" w:w="2551"/>
          </w:tcPr>
          <w:p>
            <w:pPr>
              <w:jc w:val="center"/>
            </w:pPr>
            <w:r>
              <w:rPr>
                <w:rFonts w:ascii="微软雅黑" w:hAnsi="微软雅黑" w:eastAsia="微软雅黑"/>
                <w:b w:val="0"/>
                <w:sz w:val="18"/>
              </w:rPr>
              <w:t>大模型情感对话+家庭连接，解决老年情感陪护需求</w:t>
            </w:r>
          </w:p>
        </w:tc>
        <w:tc>
          <w:tcPr>
            <w:tcW w:type="dxa" w:w="1984"/>
          </w:tcPr>
          <w:p>
            <w:pPr>
              <w:jc w:val="center"/>
            </w:pPr>
            <w:r>
              <w:rPr>
                <w:rFonts w:ascii="微软雅黑" w:hAnsi="微软雅黑" w:eastAsia="微软雅黑"/>
                <w:b w:val="0"/>
                <w:sz w:val="18"/>
              </w:rPr>
              <w:t>硬件+月订阅服务</w:t>
            </w:r>
          </w:p>
        </w:tc>
        <w:tc>
          <w:tcPr>
            <w:tcW w:type="dxa" w:w="1417"/>
          </w:tcPr>
          <w:p>
            <w:pPr>
              <w:jc w:val="center"/>
            </w:pPr>
            <w:r>
              <w:rPr>
                <w:rFonts w:ascii="微软雅黑" w:hAnsi="微软雅黑" w:eastAsia="微软雅黑"/>
                <w:b w:val="0"/>
                <w:sz w:val="18"/>
              </w:rPr>
              <w:t>1,500-3,000元</w:t>
            </w:r>
          </w:p>
        </w:tc>
      </w:tr>
      <w:tr>
        <w:tc>
          <w:tcPr>
            <w:tcW w:type="dxa" w:w="1134"/>
            <w:shd w:fill="D6E4F0"/>
          </w:tcPr>
          <w:p>
            <w:pPr>
              <w:jc w:val="left"/>
            </w:pPr>
            <w:r>
              <w:rPr>
                <w:rFonts w:ascii="微软雅黑" w:hAnsi="微软雅黑" w:eastAsia="微软雅黑"/>
                <w:b/>
                <w:sz w:val="18"/>
              </w:rPr>
              <w:t>岁锦云平台</w:t>
            </w:r>
          </w:p>
        </w:tc>
        <w:tc>
          <w:tcPr>
            <w:tcW w:type="dxa" w:w="1587"/>
            <w:shd w:fill="D6E4F0"/>
          </w:tcPr>
          <w:p>
            <w:pPr>
              <w:jc w:val="center"/>
            </w:pPr>
            <w:r>
              <w:rPr>
                <w:rFonts w:ascii="微软雅黑" w:hAnsi="微软雅黑" w:eastAsia="微软雅黑"/>
                <w:b w:val="0"/>
                <w:sz w:val="18"/>
              </w:rPr>
              <w:t>B2B SaaS管理系统</w:t>
            </w:r>
          </w:p>
        </w:tc>
        <w:tc>
          <w:tcPr>
            <w:tcW w:type="dxa" w:w="2551"/>
            <w:shd w:fill="D6E4F0"/>
          </w:tcPr>
          <w:p>
            <w:pPr>
              <w:jc w:val="center"/>
            </w:pPr>
            <w:r>
              <w:rPr>
                <w:rFonts w:ascii="微软雅黑" w:hAnsi="微软雅黑" w:eastAsia="微软雅黑"/>
                <w:b w:val="0"/>
                <w:sz w:val="18"/>
              </w:rPr>
              <w:t>数据汇聚、AI风险分级、家属端App，服务养老机构与社区</w:t>
            </w:r>
          </w:p>
        </w:tc>
        <w:tc>
          <w:tcPr>
            <w:tcW w:type="dxa" w:w="1984"/>
            <w:shd w:fill="D6E4F0"/>
          </w:tcPr>
          <w:p>
            <w:pPr>
              <w:jc w:val="center"/>
            </w:pPr>
            <w:r>
              <w:rPr>
                <w:rFonts w:ascii="微软雅黑" w:hAnsi="微软雅黑" w:eastAsia="微软雅黑"/>
                <w:b w:val="0"/>
                <w:sz w:val="18"/>
              </w:rPr>
              <w:t>年费订阅+API授权</w:t>
            </w:r>
          </w:p>
        </w:tc>
        <w:tc>
          <w:tcPr>
            <w:tcW w:type="dxa" w:w="1417"/>
            <w:shd w:fill="D6E4F0"/>
          </w:tcPr>
          <w:p>
            <w:pPr>
              <w:jc w:val="center"/>
            </w:pPr>
            <w:r>
              <w:rPr>
                <w:rFonts w:ascii="微软雅黑" w:hAnsi="微软雅黑" w:eastAsia="微软雅黑"/>
                <w:b w:val="0"/>
                <w:sz w:val="18"/>
              </w:rPr>
              <w:t>2-5万/年/机构</w:t>
            </w:r>
          </w:p>
        </w:tc>
      </w:tr>
    </w:tbl>
    <w:p/>
    <w:p>
      <w:pPr>
        <w:pStyle w:val="Heading2"/>
      </w:pPr>
      <w:r>
        <w:rPr>
          <w:rFonts w:ascii="微软雅黑" w:hAnsi="微软雅黑" w:eastAsia="微软雅黑"/>
        </w:rPr>
        <w:t>2.3 商业模式与收入结构</w:t>
      </w:r>
    </w:p>
    <w:p>
      <w:pPr>
        <w:spacing w:line="360" w:lineRule="auto" w:after="120"/>
        <w:ind w:firstLine="420"/>
      </w:pPr>
      <w:r>
        <w:rPr>
          <w:rFonts w:ascii="微软雅黑" w:hAnsi="微软雅黑" w:eastAsia="微软雅黑"/>
          <w:b w:val="0"/>
          <w:sz w:val="22"/>
        </w:rPr>
        <w:t>岁锦科技采用'硬件销售 + SaaS订阅 + 增值服务'三级变现模型，构建从一次性收入到经常性收入（ARR）再到高毛利增值服务的递进式收入结构。硬件产品（手环、跌倒探测仪、陪伴屏）产生一次性销售收入，SaaS云平台按年费/月费产生经常性收入，API授权和数据分析服务贡献高毛利增值收入。公司BP预计到2030年，订阅及服务收入占比将超过40%。</w:t>
      </w:r>
    </w:p>
    <w:p>
      <w:pPr>
        <w:spacing w:line="360" w:lineRule="auto" w:after="120"/>
        <w:ind w:firstLine="420"/>
      </w:pPr>
      <w:r>
        <w:rPr>
          <w:rFonts w:ascii="微软雅黑" w:hAnsi="微软雅黑" w:eastAsia="微软雅黑"/>
          <w:b w:val="0"/>
          <w:sz w:val="22"/>
        </w:rPr>
        <w:t>该商业模式的三大核心优势：（1）NWC仅占7%（订阅预收款改善现金流），显著优于纯硬件公司；（2）机构SaaS毛利率达70%+，随规模扩大摊薄固定成本，综合毛利率有望持续改善；（3）设备数据与云平台深度绑定形成客户锁定效应，迁移成本高，续约率天然有保障。</w:t>
      </w:r>
    </w:p>
    <w:p>
      <w:pPr>
        <w:jc w:val="center"/>
      </w:pPr>
      <w:r>
        <w:drawing>
          <wp:inline xmlns:a="http://schemas.openxmlformats.org/drawingml/2006/main" xmlns:pic="http://schemas.openxmlformats.org/drawingml/2006/picture">
            <wp:extent cx="5029200" cy="4640845"/>
            <wp:docPr id="3" name="Picture 3"/>
            <wp:cNvGraphicFramePr>
              <a:graphicFrameLocks noChangeAspect="1"/>
            </wp:cNvGraphicFramePr>
            <a:graphic>
              <a:graphicData uri="http://schemas.openxmlformats.org/drawingml/2006/picture">
                <pic:pic>
                  <pic:nvPicPr>
                    <pic:cNvPr id="0" name="chart10_revenue_mix.png"/>
                    <pic:cNvPicPr/>
                  </pic:nvPicPr>
                  <pic:blipFill>
                    <a:blip r:embed="rId11"/>
                    <a:stretch>
                      <a:fillRect/>
                    </a:stretch>
                  </pic:blipFill>
                  <pic:spPr>
                    <a:xfrm>
                      <a:off x="0" y="0"/>
                      <a:ext cx="5029200" cy="4640845"/>
                    </a:xfrm>
                    <a:prstGeom prst="rect"/>
                  </pic:spPr>
                </pic:pic>
              </a:graphicData>
            </a:graphic>
          </wp:inline>
        </w:drawing>
      </w:r>
    </w:p>
    <w:p>
      <w:pPr>
        <w:jc w:val="center"/>
      </w:pPr>
      <w:r>
        <w:rPr>
          <w:rFonts w:ascii="微软雅黑" w:hAnsi="微软雅黑" w:eastAsia="微软雅黑"/>
          <w:b/>
          <w:color w:val="646464"/>
          <w:sz w:val="18"/>
        </w:rPr>
        <w:t>图3：预期收入结构（2030E）</w:t>
      </w:r>
    </w:p>
    <w:p>
      <w:pPr>
        <w:pStyle w:val="Heading2"/>
      </w:pPr>
      <w:r>
        <w:rPr>
          <w:rFonts w:ascii="微软雅黑" w:hAnsi="微软雅黑" w:eastAsia="微软雅黑"/>
        </w:rPr>
        <w:t>2.4 竞争壁垒</w:t>
      </w:r>
    </w:p>
    <w:p>
      <w:pPr>
        <w:spacing w:line="360" w:lineRule="auto" w:after="120"/>
        <w:ind w:firstLine="420"/>
      </w:pPr>
      <w:r>
        <w:rPr>
          <w:rFonts w:ascii="微软雅黑" w:hAnsi="微软雅黑" w:eastAsia="微软雅黑"/>
          <w:b w:val="0"/>
          <w:sz w:val="22"/>
        </w:rPr>
        <w:t>• 数据飞轮效应：积累的老年人健康行为数据越多，AI模型预警精度越高，产品竞争力越强，形成'感知→算法→体验'的正向复利循环，先发者优势随时间推移加速放大。</w:t>
      </w:r>
    </w:p>
    <w:p>
      <w:pPr>
        <w:spacing w:line="360" w:lineRule="auto" w:after="120"/>
        <w:ind w:firstLine="420"/>
      </w:pPr>
      <w:r>
        <w:rPr>
          <w:rFonts w:ascii="微软雅黑" w:hAnsi="微软雅黑" w:eastAsia="微软雅黑"/>
          <w:b w:val="0"/>
          <w:sz w:val="22"/>
        </w:rPr>
        <w:t>• 软硬一体全栈整合：自研硬件（传感器选型、结构设计） + 自研AI模型（时序分析、大模型推理），竞品难以快速复制全栈体验，纯软件公司或纯硬件公司均无法在短期内达到同等产品成熟度。</w:t>
      </w:r>
    </w:p>
    <w:p>
      <w:pPr>
        <w:spacing w:line="360" w:lineRule="auto" w:after="120"/>
        <w:ind w:firstLine="420"/>
      </w:pPr>
      <w:r>
        <w:rPr>
          <w:rFonts w:ascii="微软雅黑" w:hAnsi="微软雅黑" w:eastAsia="微软雅黑"/>
          <w:b w:val="0"/>
          <w:sz w:val="22"/>
        </w:rPr>
        <w:t>• 先发渠道优势：率先建立养老机构合作关系，形成转换成本（数据迁移、员工培训、系统集成）。养老机构的采购决策周期长（6-12个月），一旦接入，替换成本极高。</w:t>
      </w:r>
    </w:p>
    <w:p>
      <w:pPr>
        <w:spacing w:line="360" w:lineRule="auto" w:after="120"/>
        <w:ind w:firstLine="420"/>
      </w:pPr>
      <w:r>
        <w:rPr>
          <w:rFonts w:ascii="微软雅黑" w:hAnsi="微软雅黑" w:eastAsia="微软雅黑"/>
          <w:b w:val="0"/>
          <w:sz w:val="22"/>
        </w:rPr>
        <w:t>• 合规认证壁垒：涉及生命体征监测和跌倒预警的产品需要医疗器械注册证/备案，审批周期通常6-18个月，先取证者享有宝贵的市场独占时间窗口。</w:t>
      </w:r>
    </w:p>
    <w:p>
      <w:pPr>
        <w:pStyle w:val="Heading2"/>
      </w:pPr>
      <w:r>
        <w:rPr>
          <w:rFonts w:ascii="微软雅黑" w:hAnsi="微软雅黑" w:eastAsia="微软雅黑"/>
        </w:rPr>
        <w:t>2.5 核心团队</w:t>
      </w:r>
    </w:p>
    <w:p>
      <w:pPr>
        <w:spacing w:line="360" w:lineRule="auto" w:after="120"/>
        <w:ind w:firstLine="420"/>
      </w:pPr>
      <w:r>
        <w:rPr>
          <w:rFonts w:ascii="微软雅黑" w:hAnsi="微软雅黑" w:eastAsia="微软雅黑"/>
          <w:b w:val="0"/>
          <w:sz w:val="22"/>
        </w:rPr>
        <w:t>公司核心管理团队5人，来自医疗AI、AI大厂、消费电子和养老运营领域的交叉背景：CEO为医疗AI连续创业者，前顶级医疗器械公司产品副总裁；CTO为前头部AI大厂算法专家，医疗时序数据方向博士；CPO为前消费电子工业设计总监，适老化设计专家；COO为前养老集团运营总监，拥有丰富的机构资源网络；CFO为前VC合伙人，医疗健康赛道投融资经验丰富。三大领域（AI算法+硬件工程+养老运营）交叉覆盖，团队配置在天使轮阶段较为完整。</w:t>
      </w:r>
    </w:p>
    <w:p>
      <w:r>
        <w:br w:type="page"/>
      </w:r>
    </w:p>
    <w:p>
      <w:pPr>
        <w:pStyle w:val="Heading1"/>
      </w:pPr>
      <w:r>
        <w:rPr>
          <w:rFonts w:ascii="微软雅黑" w:hAnsi="微软雅黑" w:eastAsia="微软雅黑"/>
        </w:rPr>
        <w:t>三、行业与市场分析</w:t>
      </w:r>
    </w:p>
    <w:p>
      <w:pPr>
        <w:pStyle w:val="Heading2"/>
      </w:pPr>
      <w:r>
        <w:rPr>
          <w:rFonts w:ascii="微软雅黑" w:hAnsi="微软雅黑" w:eastAsia="微软雅黑"/>
        </w:rPr>
        <w:t>3.1 不可逆的老龄化浪潮</w:t>
      </w:r>
    </w:p>
    <w:p>
      <w:pPr>
        <w:spacing w:line="360" w:lineRule="auto" w:after="120"/>
        <w:ind w:firstLine="420"/>
      </w:pPr>
      <w:r>
        <w:rPr>
          <w:rFonts w:ascii="微软雅黑" w:hAnsi="微软雅黑" w:eastAsia="微软雅黑"/>
          <w:b w:val="0"/>
          <w:sz w:val="22"/>
        </w:rPr>
        <w:t>截至2025年底，中国60岁以上人口已突破3亿，占总人口比例超过21%。其中失能/半失能老年人约4,000万，护理缺口极为突出。预计到2035年，中国将进入重度老龄化社会，60岁以上人口将超过4亿。到2050年，老年人口占总人口比例预计超过30%。老龄化是中国未来30年最确定的结构性趋势之一，智慧养老需求兼具'刚需+政策驱动+消费升级'三重属性。</w:t>
      </w:r>
    </w:p>
    <w:p>
      <w:pPr>
        <w:spacing w:line="360" w:lineRule="auto" w:after="120"/>
        <w:ind w:firstLine="420"/>
      </w:pPr>
      <w:r>
        <w:rPr>
          <w:rFonts w:ascii="微软雅黑" w:hAnsi="微软雅黑" w:eastAsia="微软雅黑"/>
          <w:b w:val="0"/>
          <w:sz w:val="22"/>
        </w:rPr>
        <w:t>中国采用'9073'养老模式——90%居家养老、7%社区养老、3%机构养老。这意味着居家和社区是AI养老设备渗透的主战场，个人和家庭端的智能设备需求远大于机构端。85%的子女表示愿意为父母购买智能养老设备，'数字反哺'现象普遍存在，子女主动为父母采购的行为推动了C端增长。</w:t>
      </w:r>
    </w:p>
    <w:p>
      <w:pPr>
        <w:pStyle w:val="Heading2"/>
      </w:pPr>
      <w:r>
        <w:rPr>
          <w:rFonts w:ascii="微软雅黑" w:hAnsi="微软雅黑" w:eastAsia="微软雅黑"/>
        </w:rPr>
        <w:t>3.2 智慧养老市场规模</w:t>
      </w:r>
    </w:p>
    <w:p>
      <w:pPr>
        <w:spacing w:line="360" w:lineRule="auto" w:after="120"/>
        <w:ind w:firstLine="420"/>
      </w:pPr>
      <w:r>
        <w:rPr>
          <w:rFonts w:ascii="微软雅黑" w:hAnsi="微软雅黑" w:eastAsia="微软雅黑"/>
          <w:b w:val="0"/>
          <w:sz w:val="22"/>
        </w:rPr>
        <w:t>中国智慧养老市场正处于高速增长期。2025年整体市场规模约7.21万亿元，年复合增长率12.34%。岁锦科技主攻的智慧养老模式（平台整合型）子赛道年复合增长率高达41%，是三大场景中增速最快的。AI养老设备制造市场2029年预计达4,700亿元（CAGR 25%），养老机器人市场2025年预计达500亿元（CAGR 30%+）。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F4E79"/>
          </w:tcPr>
          <w:p>
            <w:pPr>
              <w:jc w:val="center"/>
            </w:pPr>
            <w:r>
              <w:rPr>
                <w:rFonts w:ascii="微软雅黑" w:hAnsi="微软雅黑" w:eastAsia="微软雅黑"/>
                <w:b/>
                <w:color w:val="FFFFFF"/>
                <w:sz w:val="18"/>
              </w:rPr>
              <w:t>年份</w:t>
            </w:r>
          </w:p>
        </w:tc>
        <w:tc>
          <w:tcPr>
            <w:tcW w:type="dxa" w:w="2835"/>
            <w:shd w:fill="1F4E79"/>
          </w:tcPr>
          <w:p>
            <w:pPr>
              <w:jc w:val="center"/>
            </w:pPr>
            <w:r>
              <w:rPr>
                <w:rFonts w:ascii="微软雅黑" w:hAnsi="微软雅黑" w:eastAsia="微软雅黑"/>
                <w:b/>
                <w:color w:val="FFFFFF"/>
                <w:sz w:val="18"/>
              </w:rPr>
              <w:t>市场规模（万亿元）</w:t>
            </w:r>
          </w:p>
        </w:tc>
        <w:tc>
          <w:tcPr>
            <w:tcW w:type="dxa" w:w="2268"/>
            <w:shd w:fill="1F4E79"/>
          </w:tcPr>
          <w:p>
            <w:pPr>
              <w:jc w:val="center"/>
            </w:pPr>
            <w:r>
              <w:rPr>
                <w:rFonts w:ascii="微软雅黑" w:hAnsi="微软雅黑" w:eastAsia="微软雅黑"/>
                <w:b/>
                <w:color w:val="FFFFFF"/>
                <w:sz w:val="18"/>
              </w:rPr>
              <w:t>同比增速</w:t>
            </w:r>
          </w:p>
        </w:tc>
        <w:tc>
          <w:tcPr>
            <w:tcW w:type="dxa" w:w="2268"/>
            <w:shd w:fill="1F4E79"/>
          </w:tcPr>
          <w:p>
            <w:pPr>
              <w:jc w:val="center"/>
            </w:pPr>
            <w:r>
              <w:rPr>
                <w:rFonts w:ascii="微软雅黑" w:hAnsi="微软雅黑" w:eastAsia="微软雅黑"/>
                <w:b/>
                <w:color w:val="FFFFFF"/>
                <w:sz w:val="18"/>
              </w:rPr>
              <w:t>数据类型</w:t>
            </w:r>
          </w:p>
        </w:tc>
      </w:tr>
      <w:tr>
        <w:tc>
          <w:tcPr>
            <w:tcW w:type="dxa" w:w="1701"/>
          </w:tcPr>
          <w:p>
            <w:pPr>
              <w:jc w:val="left"/>
            </w:pPr>
            <w:r>
              <w:rPr>
                <w:rFonts w:ascii="微软雅黑" w:hAnsi="微软雅黑" w:eastAsia="微软雅黑"/>
                <w:b/>
                <w:sz w:val="18"/>
              </w:rPr>
              <w:t>2023</w:t>
            </w:r>
          </w:p>
        </w:tc>
        <w:tc>
          <w:tcPr>
            <w:tcW w:type="dxa" w:w="2835"/>
          </w:tcPr>
          <w:p>
            <w:pPr>
              <w:jc w:val="center"/>
            </w:pPr>
            <w:r>
              <w:rPr>
                <w:rFonts w:ascii="微软雅黑" w:hAnsi="微软雅黑" w:eastAsia="微软雅黑"/>
                <w:b w:val="0"/>
                <w:sz w:val="18"/>
              </w:rPr>
              <w:t>5.5</w:t>
            </w:r>
          </w:p>
        </w:tc>
        <w:tc>
          <w:tcPr>
            <w:tcW w:type="dxa" w:w="2268"/>
          </w:tcPr>
          <w:p>
            <w:pPr>
              <w:jc w:val="center"/>
            </w:pPr>
            <w:r>
              <w:rPr>
                <w:rFonts w:ascii="微软雅黑" w:hAnsi="微软雅黑" w:eastAsia="微软雅黑"/>
                <w:b w:val="0"/>
                <w:sz w:val="18"/>
              </w:rPr>
              <w:t>-</w:t>
            </w:r>
          </w:p>
        </w:tc>
        <w:tc>
          <w:tcPr>
            <w:tcW w:type="dxa" w:w="2268"/>
          </w:tcPr>
          <w:p>
            <w:pPr>
              <w:jc w:val="center"/>
            </w:pPr>
            <w:r>
              <w:rPr>
                <w:rFonts w:ascii="微软雅黑" w:hAnsi="微软雅黑" w:eastAsia="微软雅黑"/>
                <w:b w:val="0"/>
                <w:sz w:val="18"/>
              </w:rPr>
              <w:t>历史</w:t>
            </w:r>
          </w:p>
        </w:tc>
      </w:tr>
      <w:tr>
        <w:tc>
          <w:tcPr>
            <w:tcW w:type="dxa" w:w="1701"/>
            <w:shd w:fill="D6E4F0"/>
          </w:tcPr>
          <w:p>
            <w:pPr>
              <w:jc w:val="left"/>
            </w:pPr>
            <w:r>
              <w:rPr>
                <w:rFonts w:ascii="微软雅黑" w:hAnsi="微软雅黑" w:eastAsia="微软雅黑"/>
                <w:b/>
                <w:sz w:val="18"/>
              </w:rPr>
              <w:t>2024</w:t>
            </w:r>
          </w:p>
        </w:tc>
        <w:tc>
          <w:tcPr>
            <w:tcW w:type="dxa" w:w="2835"/>
            <w:shd w:fill="D6E4F0"/>
          </w:tcPr>
          <w:p>
            <w:pPr>
              <w:jc w:val="center"/>
            </w:pPr>
            <w:r>
              <w:rPr>
                <w:rFonts w:ascii="微软雅黑" w:hAnsi="微软雅黑" w:eastAsia="微软雅黑"/>
                <w:b w:val="0"/>
                <w:sz w:val="18"/>
              </w:rPr>
              <w:t>6.3</w:t>
            </w:r>
          </w:p>
        </w:tc>
        <w:tc>
          <w:tcPr>
            <w:tcW w:type="dxa" w:w="2268"/>
            <w:shd w:fill="D6E4F0"/>
          </w:tcPr>
          <w:p>
            <w:pPr>
              <w:jc w:val="center"/>
            </w:pPr>
            <w:r>
              <w:rPr>
                <w:rFonts w:ascii="微软雅黑" w:hAnsi="微软雅黑" w:eastAsia="微软雅黑"/>
                <w:b w:val="0"/>
                <w:sz w:val="18"/>
              </w:rPr>
              <w:t>+14.5%</w:t>
            </w:r>
          </w:p>
        </w:tc>
        <w:tc>
          <w:tcPr>
            <w:tcW w:type="dxa" w:w="2268"/>
            <w:shd w:fill="D6E4F0"/>
          </w:tcPr>
          <w:p>
            <w:pPr>
              <w:jc w:val="center"/>
            </w:pPr>
            <w:r>
              <w:rPr>
                <w:rFonts w:ascii="微软雅黑" w:hAnsi="微软雅黑" w:eastAsia="微软雅黑"/>
                <w:b w:val="0"/>
                <w:sz w:val="18"/>
              </w:rPr>
              <w:t>历史</w:t>
            </w:r>
          </w:p>
        </w:tc>
      </w:tr>
      <w:tr>
        <w:tc>
          <w:tcPr>
            <w:tcW w:type="dxa" w:w="1701"/>
          </w:tcPr>
          <w:p>
            <w:pPr>
              <w:jc w:val="left"/>
            </w:pPr>
            <w:r>
              <w:rPr>
                <w:rFonts w:ascii="微软雅黑" w:hAnsi="微软雅黑" w:eastAsia="微软雅黑"/>
                <w:b/>
                <w:sz w:val="18"/>
              </w:rPr>
              <w:t>2025</w:t>
            </w:r>
          </w:p>
        </w:tc>
        <w:tc>
          <w:tcPr>
            <w:tcW w:type="dxa" w:w="2835"/>
          </w:tcPr>
          <w:p>
            <w:pPr>
              <w:jc w:val="center"/>
            </w:pPr>
            <w:r>
              <w:rPr>
                <w:rFonts w:ascii="微软雅黑" w:hAnsi="微软雅黑" w:eastAsia="微软雅黑"/>
                <w:b w:val="0"/>
                <w:sz w:val="18"/>
              </w:rPr>
              <w:t>7.2</w:t>
            </w:r>
          </w:p>
        </w:tc>
        <w:tc>
          <w:tcPr>
            <w:tcW w:type="dxa" w:w="2268"/>
          </w:tcPr>
          <w:p>
            <w:pPr>
              <w:jc w:val="center"/>
            </w:pPr>
            <w:r>
              <w:rPr>
                <w:rFonts w:ascii="微软雅黑" w:hAnsi="微软雅黑" w:eastAsia="微软雅黑"/>
                <w:b w:val="0"/>
                <w:sz w:val="18"/>
              </w:rPr>
              <w:t>+14.3%</w:t>
            </w:r>
          </w:p>
        </w:tc>
        <w:tc>
          <w:tcPr>
            <w:tcW w:type="dxa" w:w="2268"/>
          </w:tcPr>
          <w:p>
            <w:pPr>
              <w:jc w:val="center"/>
            </w:pPr>
            <w:r>
              <w:rPr>
                <w:rFonts w:ascii="微软雅黑" w:hAnsi="微软雅黑" w:eastAsia="微软雅黑"/>
                <w:b w:val="0"/>
                <w:sz w:val="18"/>
              </w:rPr>
              <w:t>历史</w:t>
            </w:r>
          </w:p>
        </w:tc>
      </w:tr>
      <w:tr>
        <w:tc>
          <w:tcPr>
            <w:tcW w:type="dxa" w:w="1701"/>
            <w:shd w:fill="D6E4F0"/>
          </w:tcPr>
          <w:p>
            <w:pPr>
              <w:jc w:val="left"/>
            </w:pPr>
            <w:r>
              <w:rPr>
                <w:rFonts w:ascii="微软雅黑" w:hAnsi="微软雅黑" w:eastAsia="微软雅黑"/>
                <w:b/>
                <w:sz w:val="18"/>
              </w:rPr>
              <w:t>2026</w:t>
            </w:r>
          </w:p>
        </w:tc>
        <w:tc>
          <w:tcPr>
            <w:tcW w:type="dxa" w:w="2835"/>
            <w:shd w:fill="D6E4F0"/>
          </w:tcPr>
          <w:p>
            <w:pPr>
              <w:jc w:val="center"/>
            </w:pPr>
            <w:r>
              <w:rPr>
                <w:rFonts w:ascii="微软雅黑" w:hAnsi="微软雅黑" w:eastAsia="微软雅黑"/>
                <w:b w:val="0"/>
                <w:sz w:val="18"/>
              </w:rPr>
              <w:t>8.2</w:t>
            </w:r>
          </w:p>
        </w:tc>
        <w:tc>
          <w:tcPr>
            <w:tcW w:type="dxa" w:w="2268"/>
            <w:shd w:fill="D6E4F0"/>
          </w:tcPr>
          <w:p>
            <w:pPr>
              <w:jc w:val="center"/>
            </w:pPr>
            <w:r>
              <w:rPr>
                <w:rFonts w:ascii="微软雅黑" w:hAnsi="微软雅黑" w:eastAsia="微软雅黑"/>
                <w:b w:val="0"/>
                <w:sz w:val="18"/>
              </w:rPr>
              <w:t>+13.9%</w:t>
            </w:r>
          </w:p>
        </w:tc>
        <w:tc>
          <w:tcPr>
            <w:tcW w:type="dxa" w:w="2268"/>
            <w:shd w:fill="D6E4F0"/>
          </w:tcPr>
          <w:p>
            <w:pPr>
              <w:jc w:val="center"/>
            </w:pPr>
            <w:r>
              <w:rPr>
                <w:rFonts w:ascii="微软雅黑" w:hAnsi="微软雅黑" w:eastAsia="微软雅黑"/>
                <w:b w:val="0"/>
                <w:sz w:val="18"/>
              </w:rPr>
              <w:t>预测</w:t>
            </w:r>
          </w:p>
        </w:tc>
      </w:tr>
      <w:tr>
        <w:tc>
          <w:tcPr>
            <w:tcW w:type="dxa" w:w="1701"/>
          </w:tcPr>
          <w:p>
            <w:pPr>
              <w:jc w:val="left"/>
            </w:pPr>
            <w:r>
              <w:rPr>
                <w:rFonts w:ascii="微软雅黑" w:hAnsi="微软雅黑" w:eastAsia="微软雅黑"/>
                <w:b/>
                <w:sz w:val="18"/>
              </w:rPr>
              <w:t>2027</w:t>
            </w:r>
          </w:p>
        </w:tc>
        <w:tc>
          <w:tcPr>
            <w:tcW w:type="dxa" w:w="2835"/>
          </w:tcPr>
          <w:p>
            <w:pPr>
              <w:jc w:val="center"/>
            </w:pPr>
            <w:r>
              <w:rPr>
                <w:rFonts w:ascii="微软雅黑" w:hAnsi="微软雅黑" w:eastAsia="微软雅黑"/>
                <w:b w:val="0"/>
                <w:sz w:val="18"/>
              </w:rPr>
              <w:t>9.5</w:t>
            </w:r>
          </w:p>
        </w:tc>
        <w:tc>
          <w:tcPr>
            <w:tcW w:type="dxa" w:w="2268"/>
          </w:tcPr>
          <w:p>
            <w:pPr>
              <w:jc w:val="center"/>
            </w:pPr>
            <w:r>
              <w:rPr>
                <w:rFonts w:ascii="微软雅黑" w:hAnsi="微软雅黑" w:eastAsia="微软雅黑"/>
                <w:b w:val="0"/>
                <w:sz w:val="18"/>
              </w:rPr>
              <w:t>+15.9%</w:t>
            </w:r>
          </w:p>
        </w:tc>
        <w:tc>
          <w:tcPr>
            <w:tcW w:type="dxa" w:w="2268"/>
          </w:tcPr>
          <w:p>
            <w:pPr>
              <w:jc w:val="center"/>
            </w:pPr>
            <w:r>
              <w:rPr>
                <w:rFonts w:ascii="微软雅黑" w:hAnsi="微软雅黑" w:eastAsia="微软雅黑"/>
                <w:b w:val="0"/>
                <w:sz w:val="18"/>
              </w:rPr>
              <w:t>预测</w:t>
            </w:r>
          </w:p>
        </w:tc>
      </w:tr>
      <w:tr>
        <w:tc>
          <w:tcPr>
            <w:tcW w:type="dxa" w:w="1701"/>
            <w:shd w:fill="D6E4F0"/>
          </w:tcPr>
          <w:p>
            <w:pPr>
              <w:jc w:val="left"/>
            </w:pPr>
            <w:r>
              <w:rPr>
                <w:rFonts w:ascii="微软雅黑" w:hAnsi="微软雅黑" w:eastAsia="微软雅黑"/>
                <w:b/>
                <w:sz w:val="18"/>
              </w:rPr>
              <w:t>2028</w:t>
            </w:r>
          </w:p>
        </w:tc>
        <w:tc>
          <w:tcPr>
            <w:tcW w:type="dxa" w:w="2835"/>
            <w:shd w:fill="D6E4F0"/>
          </w:tcPr>
          <w:p>
            <w:pPr>
              <w:jc w:val="center"/>
            </w:pPr>
            <w:r>
              <w:rPr>
                <w:rFonts w:ascii="微软雅黑" w:hAnsi="微软雅黑" w:eastAsia="微软雅黑"/>
                <w:b w:val="0"/>
                <w:sz w:val="18"/>
              </w:rPr>
              <w:t>11.0</w:t>
            </w:r>
          </w:p>
        </w:tc>
        <w:tc>
          <w:tcPr>
            <w:tcW w:type="dxa" w:w="2268"/>
            <w:shd w:fill="D6E4F0"/>
          </w:tcPr>
          <w:p>
            <w:pPr>
              <w:jc w:val="center"/>
            </w:pPr>
            <w:r>
              <w:rPr>
                <w:rFonts w:ascii="微软雅黑" w:hAnsi="微软雅黑" w:eastAsia="微软雅黑"/>
                <w:b w:val="0"/>
                <w:sz w:val="18"/>
              </w:rPr>
              <w:t>+15.8%</w:t>
            </w:r>
          </w:p>
        </w:tc>
        <w:tc>
          <w:tcPr>
            <w:tcW w:type="dxa" w:w="2268"/>
            <w:shd w:fill="D6E4F0"/>
          </w:tcPr>
          <w:p>
            <w:pPr>
              <w:jc w:val="center"/>
            </w:pPr>
            <w:r>
              <w:rPr>
                <w:rFonts w:ascii="微软雅黑" w:hAnsi="微软雅黑" w:eastAsia="微软雅黑"/>
                <w:b w:val="0"/>
                <w:sz w:val="18"/>
              </w:rPr>
              <w:t>预测</w:t>
            </w:r>
          </w:p>
        </w:tc>
      </w:tr>
      <w:tr>
        <w:tc>
          <w:tcPr>
            <w:tcW w:type="dxa" w:w="1701"/>
          </w:tcPr>
          <w:p>
            <w:pPr>
              <w:jc w:val="left"/>
            </w:pPr>
            <w:r>
              <w:rPr>
                <w:rFonts w:ascii="微软雅黑" w:hAnsi="微软雅黑" w:eastAsia="微软雅黑"/>
                <w:b/>
                <w:sz w:val="18"/>
              </w:rPr>
              <w:t>2030</w:t>
            </w:r>
          </w:p>
        </w:tc>
        <w:tc>
          <w:tcPr>
            <w:tcW w:type="dxa" w:w="2835"/>
          </w:tcPr>
          <w:p>
            <w:pPr>
              <w:jc w:val="center"/>
            </w:pPr>
            <w:r>
              <w:rPr>
                <w:rFonts w:ascii="微软雅黑" w:hAnsi="微软雅黑" w:eastAsia="微软雅黑"/>
                <w:b w:val="0"/>
                <w:sz w:val="18"/>
              </w:rPr>
              <w:t>14.5</w:t>
            </w:r>
          </w:p>
        </w:tc>
        <w:tc>
          <w:tcPr>
            <w:tcW w:type="dxa" w:w="2268"/>
          </w:tcPr>
          <w:p>
            <w:pPr>
              <w:jc w:val="center"/>
            </w:pPr>
            <w:r>
              <w:rPr>
                <w:rFonts w:ascii="微软雅黑" w:hAnsi="微软雅黑" w:eastAsia="微软雅黑"/>
                <w:b w:val="0"/>
                <w:sz w:val="18"/>
              </w:rPr>
              <w:t>+14.8%</w:t>
            </w:r>
          </w:p>
        </w:tc>
        <w:tc>
          <w:tcPr>
            <w:tcW w:type="dxa" w:w="2268"/>
          </w:tcPr>
          <w:p>
            <w:pPr>
              <w:jc w:val="center"/>
            </w:pPr>
            <w:r>
              <w:rPr>
                <w:rFonts w:ascii="微软雅黑" w:hAnsi="微软雅黑" w:eastAsia="微软雅黑"/>
                <w:b w:val="0"/>
                <w:sz w:val="18"/>
              </w:rPr>
              <w:t>预测</w:t>
            </w:r>
          </w:p>
        </w:tc>
      </w:tr>
    </w:tbl>
    <w:p/>
    <w:p>
      <w:pPr>
        <w:jc w:val="center"/>
      </w:pPr>
      <w:r>
        <w:drawing>
          <wp:inline xmlns:a="http://schemas.openxmlformats.org/drawingml/2006/main" xmlns:pic="http://schemas.openxmlformats.org/drawingml/2006/picture">
            <wp:extent cx="5029200" cy="3014712"/>
            <wp:docPr id="4" name="Picture 4"/>
            <wp:cNvGraphicFramePr>
              <a:graphicFrameLocks noChangeAspect="1"/>
            </wp:cNvGraphicFramePr>
            <a:graphic>
              <a:graphicData uri="http://schemas.openxmlformats.org/drawingml/2006/picture">
                <pic:pic>
                  <pic:nvPicPr>
                    <pic:cNvPr id="0" name="chart06_market_size.png"/>
                    <pic:cNvPicPr/>
                  </pic:nvPicPr>
                  <pic:blipFill>
                    <a:blip r:embed="rId12"/>
                    <a:stretch>
                      <a:fillRect/>
                    </a:stretch>
                  </pic:blipFill>
                  <pic:spPr>
                    <a:xfrm>
                      <a:off x="0" y="0"/>
                      <a:ext cx="5029200" cy="3014712"/>
                    </a:xfrm>
                    <a:prstGeom prst="rect"/>
                  </pic:spPr>
                </pic:pic>
              </a:graphicData>
            </a:graphic>
          </wp:inline>
        </w:drawing>
      </w:r>
    </w:p>
    <w:p>
      <w:pPr>
        <w:jc w:val="center"/>
      </w:pPr>
      <w:r>
        <w:rPr>
          <w:rFonts w:ascii="微软雅黑" w:hAnsi="微软雅黑" w:eastAsia="微软雅黑"/>
          <w:b/>
          <w:color w:val="646464"/>
          <w:sz w:val="18"/>
        </w:rPr>
        <w:t>图4：中国智慧养老市场规模（2023-2030E）</w:t>
      </w:r>
    </w:p>
    <w:p>
      <w:pPr>
        <w:pStyle w:val="Heading2"/>
      </w:pPr>
      <w:r>
        <w:rPr>
          <w:rFonts w:ascii="微软雅黑" w:hAnsi="微软雅黑" w:eastAsia="微软雅黑"/>
        </w:rPr>
        <w:t>3.3 政策环境与红利</w:t>
      </w:r>
    </w:p>
    <w:p>
      <w:pPr>
        <w:spacing w:line="360" w:lineRule="auto" w:after="120"/>
        <w:ind w:firstLine="420"/>
      </w:pPr>
      <w:r>
        <w:rPr>
          <w:rFonts w:ascii="微软雅黑" w:hAnsi="微软雅黑" w:eastAsia="微软雅黑"/>
          <w:b w:val="0"/>
          <w:sz w:val="22"/>
        </w:rPr>
        <w:t>近年来国家密集出台养老产业支持政策，形成了'顶层设计→产业规划→财税激励'的完整政策体系。2025年，智慧养老首次被列入国家'新质生产力'范畴，上升为国家老龄化应对战略基础设施，标志着行业从'可选消费'向'战略刚需'的定位升级。</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1F4E79"/>
          </w:tcPr>
          <w:p>
            <w:pPr>
              <w:jc w:val="center"/>
            </w:pPr>
            <w:r>
              <w:rPr>
                <w:rFonts w:ascii="微软雅黑" w:hAnsi="微软雅黑" w:eastAsia="微软雅黑"/>
                <w:b/>
                <w:color w:val="FFFFFF"/>
                <w:sz w:val="18"/>
              </w:rPr>
              <w:t>政策文件</w:t>
            </w:r>
          </w:p>
        </w:tc>
        <w:tc>
          <w:tcPr>
            <w:tcW w:type="dxa" w:w="1984"/>
            <w:shd w:fill="1F4E79"/>
          </w:tcPr>
          <w:p>
            <w:pPr>
              <w:jc w:val="center"/>
            </w:pPr>
            <w:r>
              <w:rPr>
                <w:rFonts w:ascii="微软雅黑" w:hAnsi="微软雅黑" w:eastAsia="微软雅黑"/>
                <w:b/>
                <w:color w:val="FFFFFF"/>
                <w:sz w:val="18"/>
              </w:rPr>
              <w:t>发布机构</w:t>
            </w:r>
          </w:p>
        </w:tc>
        <w:tc>
          <w:tcPr>
            <w:tcW w:type="dxa" w:w="850"/>
            <w:shd w:fill="1F4E79"/>
          </w:tcPr>
          <w:p>
            <w:pPr>
              <w:jc w:val="center"/>
            </w:pPr>
            <w:r>
              <w:rPr>
                <w:rFonts w:ascii="微软雅黑" w:hAnsi="微软雅黑" w:eastAsia="微软雅黑"/>
                <w:b/>
                <w:color w:val="FFFFFF"/>
                <w:sz w:val="18"/>
              </w:rPr>
              <w:t>时间</w:t>
            </w:r>
          </w:p>
        </w:tc>
        <w:tc>
          <w:tcPr>
            <w:tcW w:type="dxa" w:w="3402"/>
            <w:shd w:fill="1F4E79"/>
          </w:tcPr>
          <w:p>
            <w:pPr>
              <w:jc w:val="center"/>
            </w:pPr>
            <w:r>
              <w:rPr>
                <w:rFonts w:ascii="微软雅黑" w:hAnsi="微软雅黑" w:eastAsia="微软雅黑"/>
                <w:b/>
                <w:color w:val="FFFFFF"/>
                <w:sz w:val="18"/>
              </w:rPr>
              <w:t>核心内容</w:t>
            </w:r>
          </w:p>
        </w:tc>
      </w:tr>
      <w:tr>
        <w:tc>
          <w:tcPr>
            <w:tcW w:type="dxa" w:w="2835"/>
          </w:tcPr>
          <w:p>
            <w:pPr>
              <w:jc w:val="left"/>
            </w:pPr>
            <w:r>
              <w:rPr>
                <w:rFonts w:ascii="微软雅黑" w:hAnsi="微软雅黑" w:eastAsia="微软雅黑"/>
                <w:b/>
                <w:sz w:val="18"/>
              </w:rPr>
              <w:t>《关于发展银发经济增进老年人福祉的意见》</w:t>
            </w:r>
          </w:p>
        </w:tc>
        <w:tc>
          <w:tcPr>
            <w:tcW w:type="dxa" w:w="1984"/>
          </w:tcPr>
          <w:p>
            <w:pPr>
              <w:jc w:val="center"/>
            </w:pPr>
            <w:r>
              <w:rPr>
                <w:rFonts w:ascii="微软雅黑" w:hAnsi="微软雅黑" w:eastAsia="微软雅黑"/>
                <w:b w:val="0"/>
                <w:sz w:val="18"/>
              </w:rPr>
              <w:t>国务院</w:t>
            </w:r>
          </w:p>
        </w:tc>
        <w:tc>
          <w:tcPr>
            <w:tcW w:type="dxa" w:w="850"/>
          </w:tcPr>
          <w:p>
            <w:pPr>
              <w:jc w:val="center"/>
            </w:pPr>
            <w:r>
              <w:rPr>
                <w:rFonts w:ascii="微软雅黑" w:hAnsi="微软雅黑" w:eastAsia="微软雅黑"/>
                <w:b w:val="0"/>
                <w:sz w:val="18"/>
              </w:rPr>
              <w:t>2024年</w:t>
            </w:r>
          </w:p>
        </w:tc>
        <w:tc>
          <w:tcPr>
            <w:tcW w:type="dxa" w:w="3402"/>
          </w:tcPr>
          <w:p>
            <w:pPr>
              <w:jc w:val="center"/>
            </w:pPr>
            <w:r>
              <w:rPr>
                <w:rFonts w:ascii="微软雅黑" w:hAnsi="微软雅黑" w:eastAsia="微软雅黑"/>
                <w:b w:val="0"/>
                <w:sz w:val="18"/>
              </w:rPr>
              <w:t>顶层设计，明确银发经济为国家战略方向</w:t>
            </w:r>
          </w:p>
        </w:tc>
      </w:tr>
      <w:tr>
        <w:tc>
          <w:tcPr>
            <w:tcW w:type="dxa" w:w="2835"/>
            <w:shd w:fill="D6E4F0"/>
          </w:tcPr>
          <w:p>
            <w:pPr>
              <w:jc w:val="left"/>
            </w:pPr>
            <w:r>
              <w:rPr>
                <w:rFonts w:ascii="微软雅黑" w:hAnsi="微软雅黑" w:eastAsia="微软雅黑"/>
                <w:b/>
                <w:sz w:val="18"/>
              </w:rPr>
              <w:t>《智慧健康养老产业发展行动计划（2025-2030）》</w:t>
            </w:r>
          </w:p>
        </w:tc>
        <w:tc>
          <w:tcPr>
            <w:tcW w:type="dxa" w:w="1984"/>
            <w:shd w:fill="D6E4F0"/>
          </w:tcPr>
          <w:p>
            <w:pPr>
              <w:jc w:val="center"/>
            </w:pPr>
            <w:r>
              <w:rPr>
                <w:rFonts w:ascii="微软雅黑" w:hAnsi="微软雅黑" w:eastAsia="微软雅黑"/>
                <w:b w:val="0"/>
                <w:sz w:val="18"/>
              </w:rPr>
              <w:t>工信部/民政部/卫健委</w:t>
            </w:r>
          </w:p>
        </w:tc>
        <w:tc>
          <w:tcPr>
            <w:tcW w:type="dxa" w:w="850"/>
            <w:shd w:fill="D6E4F0"/>
          </w:tcPr>
          <w:p>
            <w:pPr>
              <w:jc w:val="center"/>
            </w:pPr>
            <w:r>
              <w:rPr>
                <w:rFonts w:ascii="微软雅黑" w:hAnsi="微软雅黑" w:eastAsia="微软雅黑"/>
                <w:b w:val="0"/>
                <w:sz w:val="18"/>
              </w:rPr>
              <w:t>2025年</w:t>
            </w:r>
          </w:p>
        </w:tc>
        <w:tc>
          <w:tcPr>
            <w:tcW w:type="dxa" w:w="3402"/>
            <w:shd w:fill="D6E4F0"/>
          </w:tcPr>
          <w:p>
            <w:pPr>
              <w:jc w:val="center"/>
            </w:pPr>
            <w:r>
              <w:rPr>
                <w:rFonts w:ascii="微软雅黑" w:hAnsi="微软雅黑" w:eastAsia="微软雅黑"/>
                <w:b w:val="0"/>
                <w:sz w:val="18"/>
              </w:rPr>
              <w:t>量化目标：城市渗透率80%，农村40%，覆盖1.2亿老年人</w:t>
            </w:r>
          </w:p>
        </w:tc>
      </w:tr>
      <w:tr>
        <w:tc>
          <w:tcPr>
            <w:tcW w:type="dxa" w:w="2835"/>
          </w:tcPr>
          <w:p>
            <w:pPr>
              <w:jc w:val="left"/>
            </w:pPr>
            <w:r>
              <w:rPr>
                <w:rFonts w:ascii="微软雅黑" w:hAnsi="微软雅黑" w:eastAsia="微软雅黑"/>
                <w:b/>
                <w:sz w:val="18"/>
              </w:rPr>
              <w:t>《十四五国家老龄事业发展和养老服务体系规划》</w:t>
            </w:r>
          </w:p>
        </w:tc>
        <w:tc>
          <w:tcPr>
            <w:tcW w:type="dxa" w:w="1984"/>
          </w:tcPr>
          <w:p>
            <w:pPr>
              <w:jc w:val="center"/>
            </w:pPr>
            <w:r>
              <w:rPr>
                <w:rFonts w:ascii="微软雅黑" w:hAnsi="微软雅黑" w:eastAsia="微软雅黑"/>
                <w:b w:val="0"/>
                <w:sz w:val="18"/>
              </w:rPr>
              <w:t>国务院</w:t>
            </w:r>
          </w:p>
        </w:tc>
        <w:tc>
          <w:tcPr>
            <w:tcW w:type="dxa" w:w="850"/>
          </w:tcPr>
          <w:p>
            <w:pPr>
              <w:jc w:val="center"/>
            </w:pPr>
            <w:r>
              <w:rPr>
                <w:rFonts w:ascii="微软雅黑" w:hAnsi="微软雅黑" w:eastAsia="微软雅黑"/>
                <w:b w:val="0"/>
                <w:sz w:val="18"/>
              </w:rPr>
              <w:t>2022年</w:t>
            </w:r>
          </w:p>
        </w:tc>
        <w:tc>
          <w:tcPr>
            <w:tcW w:type="dxa" w:w="3402"/>
          </w:tcPr>
          <w:p>
            <w:pPr>
              <w:jc w:val="center"/>
            </w:pPr>
            <w:r>
              <w:rPr>
                <w:rFonts w:ascii="微软雅黑" w:hAnsi="微软雅黑" w:eastAsia="微软雅黑"/>
                <w:b w:val="0"/>
                <w:sz w:val="18"/>
              </w:rPr>
              <w:t>远程医疗纳入医保，新建养老机构强制配备智能设备</w:t>
            </w:r>
          </w:p>
        </w:tc>
      </w:tr>
      <w:tr>
        <w:tc>
          <w:tcPr>
            <w:tcW w:type="dxa" w:w="2835"/>
            <w:shd w:fill="D6E4F0"/>
          </w:tcPr>
          <w:p>
            <w:pPr>
              <w:jc w:val="left"/>
            </w:pPr>
            <w:r>
              <w:rPr>
                <w:rFonts w:ascii="微软雅黑" w:hAnsi="微软雅黑" w:eastAsia="微软雅黑"/>
                <w:b/>
                <w:sz w:val="18"/>
              </w:rPr>
              <w:t>高新技术企业认定</w:t>
            </w:r>
          </w:p>
        </w:tc>
        <w:tc>
          <w:tcPr>
            <w:tcW w:type="dxa" w:w="1984"/>
            <w:shd w:fill="D6E4F0"/>
          </w:tcPr>
          <w:p>
            <w:pPr>
              <w:jc w:val="center"/>
            </w:pPr>
            <w:r>
              <w:rPr>
                <w:rFonts w:ascii="微软雅黑" w:hAnsi="微软雅黑" w:eastAsia="微软雅黑"/>
                <w:b w:val="0"/>
                <w:sz w:val="18"/>
              </w:rPr>
              <w:t>科技部/财政部/税务总局</w:t>
            </w:r>
          </w:p>
        </w:tc>
        <w:tc>
          <w:tcPr>
            <w:tcW w:type="dxa" w:w="850"/>
            <w:shd w:fill="D6E4F0"/>
          </w:tcPr>
          <w:p>
            <w:pPr>
              <w:jc w:val="center"/>
            </w:pPr>
            <w:r>
              <w:rPr>
                <w:rFonts w:ascii="微软雅黑" w:hAnsi="微软雅黑" w:eastAsia="微软雅黑"/>
                <w:b w:val="0"/>
                <w:sz w:val="18"/>
              </w:rPr>
              <w:t>-</w:t>
            </w:r>
          </w:p>
        </w:tc>
        <w:tc>
          <w:tcPr>
            <w:tcW w:type="dxa" w:w="3402"/>
            <w:shd w:fill="D6E4F0"/>
          </w:tcPr>
          <w:p>
            <w:pPr>
              <w:jc w:val="center"/>
            </w:pPr>
            <w:r>
              <w:rPr>
                <w:rFonts w:ascii="微软雅黑" w:hAnsi="微软雅黑" w:eastAsia="微软雅黑"/>
                <w:b w:val="0"/>
                <w:sz w:val="18"/>
              </w:rPr>
              <w:t>15%企业所得税优惠税率（较标准税率25%节省约40%税负）</w:t>
            </w:r>
          </w:p>
        </w:tc>
      </w:tr>
    </w:tbl>
    <w:p/>
    <w:p>
      <w:pPr>
        <w:pStyle w:val="Heading2"/>
      </w:pPr>
      <w:r>
        <w:rPr>
          <w:rFonts w:ascii="微软雅黑" w:hAnsi="微软雅黑" w:eastAsia="微软雅黑"/>
        </w:rPr>
        <w:t>3.4 竞争格局分析</w:t>
      </w:r>
    </w:p>
    <w:p>
      <w:pPr>
        <w:spacing w:line="360" w:lineRule="auto" w:after="120"/>
        <w:ind w:firstLine="420"/>
      </w:pPr>
      <w:r>
        <w:rPr>
          <w:rFonts w:ascii="微软雅黑" w:hAnsi="微软雅黑" w:eastAsia="微软雅黑"/>
          <w:b w:val="0"/>
          <w:sz w:val="22"/>
        </w:rPr>
        <w:t>AI智慧养老设备市场目前呈现'三足鼎立'格局，但尚未出现绝对龙头。互联网巨头（百度小度、阿里、腾讯）拥有流量入口和品牌优势，但AI养老算法深度不足、适老化设计薄弱。传统医疗器械商（迈瑞医疗、鱼跃医疗、乐普医疗）拥有成熟的医疗渠道和认证资质，但AI化转型滞后、产品迭代慢。垂直初创企业（迈德斯特、卡本医疗等）专注度高，但品牌弱、渠道有限、融资能力受限。</w:t>
      </w:r>
    </w:p>
    <w:p>
      <w:pPr>
        <w:spacing w:line="360" w:lineRule="auto" w:after="120"/>
        <w:ind w:firstLine="420"/>
      </w:pPr>
      <w:r>
        <w:rPr>
          <w:rFonts w:ascii="微软雅黑" w:hAnsi="微软雅黑" w:eastAsia="微软雅黑"/>
          <w:b w:val="0"/>
          <w:sz w:val="22"/>
        </w:rPr>
        <w:t>岁锦科技的差异化定位在于：AI算法自研 + 适老化硬件 + 软件订阅三合一，精准卡位'专业纯玩家'的竞争真空地带。平台整合型智慧养老模式年复合增长率高达41%，是增速最快的子赛道，印证了岁锦产品方向选择的正确性。</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1F4E79"/>
          </w:tcPr>
          <w:p>
            <w:pPr>
              <w:jc w:val="center"/>
            </w:pPr>
            <w:r>
              <w:rPr>
                <w:rFonts w:ascii="微软雅黑" w:hAnsi="微软雅黑" w:eastAsia="微软雅黑"/>
                <w:b/>
                <w:color w:val="FFFFFF"/>
                <w:sz w:val="18"/>
              </w:rPr>
              <w:t>竞争类型</w:t>
            </w:r>
          </w:p>
        </w:tc>
        <w:tc>
          <w:tcPr>
            <w:tcW w:type="dxa" w:w="2268"/>
            <w:shd w:fill="1F4E79"/>
          </w:tcPr>
          <w:p>
            <w:pPr>
              <w:jc w:val="center"/>
            </w:pPr>
            <w:r>
              <w:rPr>
                <w:rFonts w:ascii="微软雅黑" w:hAnsi="微软雅黑" w:eastAsia="微软雅黑"/>
                <w:b/>
                <w:color w:val="FFFFFF"/>
                <w:sz w:val="18"/>
              </w:rPr>
              <w:t>代表企业</w:t>
            </w:r>
          </w:p>
        </w:tc>
        <w:tc>
          <w:tcPr>
            <w:tcW w:type="dxa" w:w="2835"/>
            <w:shd w:fill="1F4E79"/>
          </w:tcPr>
          <w:p>
            <w:pPr>
              <w:jc w:val="center"/>
            </w:pPr>
            <w:r>
              <w:rPr>
                <w:rFonts w:ascii="微软雅黑" w:hAnsi="微软雅黑" w:eastAsia="微软雅黑"/>
                <w:b/>
                <w:color w:val="FFFFFF"/>
                <w:sz w:val="18"/>
              </w:rPr>
              <w:t>核心优势</w:t>
            </w:r>
          </w:p>
        </w:tc>
        <w:tc>
          <w:tcPr>
            <w:tcW w:type="dxa" w:w="2551"/>
            <w:shd w:fill="1F4E79"/>
          </w:tcPr>
          <w:p>
            <w:pPr>
              <w:jc w:val="center"/>
            </w:pPr>
            <w:r>
              <w:rPr>
                <w:rFonts w:ascii="微软雅黑" w:hAnsi="微软雅黑" w:eastAsia="微软雅黑"/>
                <w:b/>
                <w:color w:val="FFFFFF"/>
                <w:sz w:val="18"/>
              </w:rPr>
              <w:t>主要短板</w:t>
            </w:r>
          </w:p>
        </w:tc>
      </w:tr>
      <w:tr>
        <w:tc>
          <w:tcPr>
            <w:tcW w:type="dxa" w:w="1417"/>
          </w:tcPr>
          <w:p>
            <w:pPr>
              <w:jc w:val="left"/>
            </w:pPr>
            <w:r>
              <w:rPr>
                <w:rFonts w:ascii="微软雅黑" w:hAnsi="微软雅黑" w:eastAsia="微软雅黑"/>
                <w:b/>
                <w:sz w:val="18"/>
              </w:rPr>
              <w:t>互联网巨头</w:t>
            </w:r>
          </w:p>
        </w:tc>
        <w:tc>
          <w:tcPr>
            <w:tcW w:type="dxa" w:w="2268"/>
          </w:tcPr>
          <w:p>
            <w:pPr>
              <w:jc w:val="center"/>
            </w:pPr>
            <w:r>
              <w:rPr>
                <w:rFonts w:ascii="微软雅黑" w:hAnsi="微软雅黑" w:eastAsia="微软雅黑"/>
                <w:b w:val="0"/>
                <w:sz w:val="18"/>
              </w:rPr>
              <w:t>百度小度、阿里、腾讯</w:t>
            </w:r>
          </w:p>
        </w:tc>
        <w:tc>
          <w:tcPr>
            <w:tcW w:type="dxa" w:w="2835"/>
          </w:tcPr>
          <w:p>
            <w:pPr>
              <w:jc w:val="center"/>
            </w:pPr>
            <w:r>
              <w:rPr>
                <w:rFonts w:ascii="微软雅黑" w:hAnsi="微软雅黑" w:eastAsia="微软雅黑"/>
                <w:b w:val="0"/>
                <w:sz w:val="18"/>
              </w:rPr>
              <w:t>流量入口、数据资源、品牌</w:t>
            </w:r>
          </w:p>
        </w:tc>
        <w:tc>
          <w:tcPr>
            <w:tcW w:type="dxa" w:w="2551"/>
          </w:tcPr>
          <w:p>
            <w:pPr>
              <w:jc w:val="center"/>
            </w:pPr>
            <w:r>
              <w:rPr>
                <w:rFonts w:ascii="微软雅黑" w:hAnsi="微软雅黑" w:eastAsia="微软雅黑"/>
                <w:b w:val="0"/>
                <w:sz w:val="18"/>
              </w:rPr>
              <w:t>AI养老算法深度不足，适老化设计薄弱</w:t>
            </w:r>
          </w:p>
        </w:tc>
      </w:tr>
      <w:tr>
        <w:tc>
          <w:tcPr>
            <w:tcW w:type="dxa" w:w="1417"/>
            <w:shd w:fill="D6E4F0"/>
          </w:tcPr>
          <w:p>
            <w:pPr>
              <w:jc w:val="left"/>
            </w:pPr>
            <w:r>
              <w:rPr>
                <w:rFonts w:ascii="微软雅黑" w:hAnsi="微软雅黑" w:eastAsia="微软雅黑"/>
                <w:b/>
                <w:sz w:val="18"/>
              </w:rPr>
              <w:t>传统医疗设备商</w:t>
            </w:r>
          </w:p>
        </w:tc>
        <w:tc>
          <w:tcPr>
            <w:tcW w:type="dxa" w:w="2268"/>
            <w:shd w:fill="D6E4F0"/>
          </w:tcPr>
          <w:p>
            <w:pPr>
              <w:jc w:val="center"/>
            </w:pPr>
            <w:r>
              <w:rPr>
                <w:rFonts w:ascii="微软雅黑" w:hAnsi="微软雅黑" w:eastAsia="微软雅黑"/>
                <w:b w:val="0"/>
                <w:sz w:val="18"/>
              </w:rPr>
              <w:t>迈瑞医疗、东软集团、乐普医疗</w:t>
            </w:r>
          </w:p>
        </w:tc>
        <w:tc>
          <w:tcPr>
            <w:tcW w:type="dxa" w:w="2835"/>
            <w:shd w:fill="D6E4F0"/>
          </w:tcPr>
          <w:p>
            <w:pPr>
              <w:jc w:val="center"/>
            </w:pPr>
            <w:r>
              <w:rPr>
                <w:rFonts w:ascii="微软雅黑" w:hAnsi="微软雅黑" w:eastAsia="微软雅黑"/>
                <w:b w:val="0"/>
                <w:sz w:val="18"/>
              </w:rPr>
              <w:t>医疗渠道、认证资质、品牌公信</w:t>
            </w:r>
          </w:p>
        </w:tc>
        <w:tc>
          <w:tcPr>
            <w:tcW w:type="dxa" w:w="2551"/>
            <w:shd w:fill="D6E4F0"/>
          </w:tcPr>
          <w:p>
            <w:pPr>
              <w:jc w:val="center"/>
            </w:pPr>
            <w:r>
              <w:rPr>
                <w:rFonts w:ascii="微软雅黑" w:hAnsi="微软雅黑" w:eastAsia="微软雅黑"/>
                <w:b w:val="0"/>
                <w:sz w:val="18"/>
              </w:rPr>
              <w:t>AI化转型滞后，产品迭代慢</w:t>
            </w:r>
          </w:p>
        </w:tc>
      </w:tr>
      <w:tr>
        <w:tc>
          <w:tcPr>
            <w:tcW w:type="dxa" w:w="1417"/>
          </w:tcPr>
          <w:p>
            <w:pPr>
              <w:jc w:val="left"/>
            </w:pPr>
            <w:r>
              <w:rPr>
                <w:rFonts w:ascii="微软雅黑" w:hAnsi="微软雅黑" w:eastAsia="微软雅黑"/>
                <w:b/>
                <w:sz w:val="18"/>
              </w:rPr>
              <w:t>垂直初创企业</w:t>
            </w:r>
          </w:p>
        </w:tc>
        <w:tc>
          <w:tcPr>
            <w:tcW w:type="dxa" w:w="2268"/>
          </w:tcPr>
          <w:p>
            <w:pPr>
              <w:jc w:val="center"/>
            </w:pPr>
            <w:r>
              <w:rPr>
                <w:rFonts w:ascii="微软雅黑" w:hAnsi="微软雅黑" w:eastAsia="微软雅黑"/>
                <w:b w:val="0"/>
                <w:sz w:val="18"/>
              </w:rPr>
              <w:t>迈德斯特、卡本医疗、小橙长护</w:t>
            </w:r>
          </w:p>
        </w:tc>
        <w:tc>
          <w:tcPr>
            <w:tcW w:type="dxa" w:w="2835"/>
          </w:tcPr>
          <w:p>
            <w:pPr>
              <w:jc w:val="center"/>
            </w:pPr>
            <w:r>
              <w:rPr>
                <w:rFonts w:ascii="微软雅黑" w:hAnsi="微软雅黑" w:eastAsia="微软雅黑"/>
                <w:b w:val="0"/>
                <w:sz w:val="18"/>
              </w:rPr>
              <w:t>专注度高、产品深度</w:t>
            </w:r>
          </w:p>
        </w:tc>
        <w:tc>
          <w:tcPr>
            <w:tcW w:type="dxa" w:w="2551"/>
          </w:tcPr>
          <w:p>
            <w:pPr>
              <w:jc w:val="center"/>
            </w:pPr>
            <w:r>
              <w:rPr>
                <w:rFonts w:ascii="微软雅黑" w:hAnsi="微软雅黑" w:eastAsia="微软雅黑"/>
                <w:b w:val="0"/>
                <w:sz w:val="18"/>
              </w:rPr>
              <w:t>品牌弱、渠道有限、融资能力受限</w:t>
            </w:r>
          </w:p>
        </w:tc>
      </w:tr>
      <w:tr>
        <w:tc>
          <w:tcPr>
            <w:tcW w:type="dxa" w:w="1417"/>
            <w:shd w:fill="D6E4F0"/>
          </w:tcPr>
          <w:p>
            <w:pPr>
              <w:jc w:val="left"/>
            </w:pPr>
            <w:r>
              <w:rPr>
                <w:rFonts w:ascii="微软雅黑" w:hAnsi="微软雅黑" w:eastAsia="微软雅黑"/>
                <w:b/>
                <w:sz w:val="18"/>
              </w:rPr>
              <w:t>岁锦科技（标的）</w:t>
            </w:r>
          </w:p>
        </w:tc>
        <w:tc>
          <w:tcPr>
            <w:tcW w:type="dxa" w:w="2268"/>
            <w:shd w:fill="D6E4F0"/>
          </w:tcPr>
          <w:p>
            <w:pPr>
              <w:jc w:val="center"/>
            </w:pPr>
            <w:r>
              <w:rPr>
                <w:rFonts w:ascii="微软雅黑" w:hAnsi="微软雅黑" w:eastAsia="微软雅黑"/>
                <w:b w:val="0"/>
                <w:sz w:val="18"/>
              </w:rPr>
              <w:t>-</w:t>
            </w:r>
          </w:p>
        </w:tc>
        <w:tc>
          <w:tcPr>
            <w:tcW w:type="dxa" w:w="2835"/>
            <w:shd w:fill="D6E4F0"/>
          </w:tcPr>
          <w:p>
            <w:pPr>
              <w:jc w:val="center"/>
            </w:pPr>
            <w:r>
              <w:rPr>
                <w:rFonts w:ascii="微软雅黑" w:hAnsi="微软雅黑" w:eastAsia="微软雅黑"/>
                <w:b w:val="0"/>
                <w:sz w:val="18"/>
              </w:rPr>
              <w:t>AI算法自研 + 适老化硬件 + SaaS订阅三合一，精准卡位专业纯玩家真空地带</w:t>
            </w:r>
          </w:p>
        </w:tc>
        <w:tc>
          <w:tcPr>
            <w:tcW w:type="dxa" w:w="2551"/>
            <w:shd w:fill="D6E4F0"/>
          </w:tcPr>
          <w:p>
            <w:pPr>
              <w:jc w:val="center"/>
            </w:pPr>
            <w:r>
              <w:rPr>
                <w:rFonts w:ascii="微软雅黑" w:hAnsi="微软雅黑" w:eastAsia="微软雅黑"/>
                <w:b w:val="0"/>
                <w:sz w:val="18"/>
              </w:rPr>
            </w:r>
          </w:p>
        </w:tc>
      </w:tr>
    </w:tbl>
    <w:p/>
    <w:p>
      <w:r>
        <w:br w:type="page"/>
      </w:r>
    </w:p>
    <w:p>
      <w:pPr>
        <w:pStyle w:val="Heading1"/>
      </w:pPr>
      <w:r>
        <w:rPr>
          <w:rFonts w:ascii="微软雅黑" w:hAnsi="微软雅黑" w:eastAsia="微软雅黑"/>
        </w:rPr>
        <w:t>四、财务预测分析</w:t>
      </w:r>
    </w:p>
    <w:p>
      <w:pPr>
        <w:spacing w:line="360" w:lineRule="auto" w:after="120"/>
        <w:ind w:firstLine="420"/>
      </w:pPr>
      <w:r>
        <w:rPr>
          <w:rFonts w:ascii="微软雅黑" w:hAnsi="微软雅黑" w:eastAsia="微软雅黑"/>
          <w:b/>
          <w:sz w:val="22"/>
        </w:rPr>
        <w:t>⚠ 重要前提：以下财务分析完全基于公司商业计划书（BP）提供的预测数据。天使轮公司没有历史财务数据可供参考，BP预测的高度不确定性是本阶段投资的固有特征。以下分析旨在理解公司管理层的业务规划和增长逻辑，不构成对实际经营结果的预测或保证。</w:t>
      </w:r>
    </w:p>
    <w:p>
      <w:pPr>
        <w:pStyle w:val="Heading2"/>
      </w:pPr>
      <w:r>
        <w:rPr>
          <w:rFonts w:ascii="微软雅黑" w:hAnsi="微软雅黑" w:eastAsia="微软雅黑"/>
        </w:rPr>
        <w:t>4.1 BP财务预测概览</w:t>
      </w:r>
    </w:p>
    <w:p>
      <w:pPr>
        <w:spacing w:line="360" w:lineRule="auto" w:after="120"/>
        <w:ind w:firstLine="420"/>
      </w:pPr>
      <w:r>
        <w:rPr>
          <w:rFonts w:ascii="微软雅黑" w:hAnsi="微软雅黑" w:eastAsia="微软雅黑"/>
          <w:b w:val="0"/>
          <w:sz w:val="22"/>
        </w:rPr>
        <w:t>根据公司商业计划书，2026-2030年五年财务预测呈现高速增长态势：营收从2,000万元增长至20亿元，五年CAGR高达216%。从发展阶段来看，2026年为产品研发期（MVP上线、5家机构试点），2027年为商业验证期（月活5,000、30家机构），2028-2029年为快速成长和规模扩张期，2030年进入成熟盈利期（营收20亿、净利润4.58亿、启动IPO评估）。</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680"/>
            <w:shd w:fill="1F4E79"/>
          </w:tcPr>
          <w:p>
            <w:pPr>
              <w:jc w:val="center"/>
            </w:pPr>
            <w:r>
              <w:rPr>
                <w:rFonts w:ascii="微软雅黑" w:hAnsi="微软雅黑" w:eastAsia="微软雅黑"/>
                <w:b/>
                <w:color w:val="FFFFFF"/>
                <w:sz w:val="18"/>
              </w:rPr>
              <w:t>年份</w:t>
            </w:r>
          </w:p>
        </w:tc>
        <w:tc>
          <w:tcPr>
            <w:tcW w:type="dxa" w:w="1134"/>
            <w:shd w:fill="1F4E79"/>
          </w:tcPr>
          <w:p>
            <w:pPr>
              <w:jc w:val="center"/>
            </w:pPr>
            <w:r>
              <w:rPr>
                <w:rFonts w:ascii="微软雅黑" w:hAnsi="微软雅黑" w:eastAsia="微软雅黑"/>
                <w:b/>
                <w:color w:val="FFFFFF"/>
                <w:sz w:val="18"/>
              </w:rPr>
              <w:t>营收（万元）</w:t>
            </w:r>
          </w:p>
        </w:tc>
        <w:tc>
          <w:tcPr>
            <w:tcW w:type="dxa" w:w="1134"/>
            <w:shd w:fill="1F4E79"/>
          </w:tcPr>
          <w:p>
            <w:pPr>
              <w:jc w:val="center"/>
            </w:pPr>
            <w:r>
              <w:rPr>
                <w:rFonts w:ascii="微软雅黑" w:hAnsi="微软雅黑" w:eastAsia="微软雅黑"/>
                <w:b/>
                <w:color w:val="FFFFFF"/>
                <w:sz w:val="18"/>
              </w:rPr>
              <w:t>同比增速</w:t>
            </w:r>
          </w:p>
        </w:tc>
        <w:tc>
          <w:tcPr>
            <w:tcW w:type="dxa" w:w="850"/>
            <w:shd w:fill="1F4E79"/>
          </w:tcPr>
          <w:p>
            <w:pPr>
              <w:jc w:val="center"/>
            </w:pPr>
            <w:r>
              <w:rPr>
                <w:rFonts w:ascii="微软雅黑" w:hAnsi="微软雅黑" w:eastAsia="微软雅黑"/>
                <w:b/>
                <w:color w:val="FFFFFF"/>
                <w:sz w:val="18"/>
              </w:rPr>
              <w:t>毛利率</w:t>
            </w:r>
          </w:p>
        </w:tc>
        <w:tc>
          <w:tcPr>
            <w:tcW w:type="dxa" w:w="850"/>
            <w:shd w:fill="1F4E79"/>
          </w:tcPr>
          <w:p>
            <w:pPr>
              <w:jc w:val="center"/>
            </w:pPr>
            <w:r>
              <w:rPr>
                <w:rFonts w:ascii="微软雅黑" w:hAnsi="微软雅黑" w:eastAsia="微软雅黑"/>
                <w:b/>
                <w:color w:val="FFFFFF"/>
                <w:sz w:val="18"/>
              </w:rPr>
              <w:t>净利率</w:t>
            </w:r>
          </w:p>
        </w:tc>
        <w:tc>
          <w:tcPr>
            <w:tcW w:type="dxa" w:w="2835"/>
            <w:shd w:fill="1F4E79"/>
          </w:tcPr>
          <w:p>
            <w:pPr>
              <w:jc w:val="center"/>
            </w:pPr>
            <w:r>
              <w:rPr>
                <w:rFonts w:ascii="微软雅黑" w:hAnsi="微软雅黑" w:eastAsia="微软雅黑"/>
                <w:b/>
                <w:color w:val="FFFFFF"/>
                <w:sz w:val="18"/>
              </w:rPr>
              <w:t>关键里程碑</w:t>
            </w:r>
          </w:p>
        </w:tc>
        <w:tc>
          <w:tcPr>
            <w:tcW w:type="dxa" w:w="1417"/>
            <w:shd w:fill="1F4E79"/>
          </w:tcPr>
          <w:p>
            <w:pPr>
              <w:jc w:val="center"/>
            </w:pPr>
            <w:r>
              <w:rPr>
                <w:rFonts w:ascii="微软雅黑" w:hAnsi="微软雅黑" w:eastAsia="微软雅黑"/>
                <w:b/>
                <w:color w:val="FFFFFF"/>
                <w:sz w:val="18"/>
              </w:rPr>
              <w:t>发展阶段</w:t>
            </w:r>
          </w:p>
        </w:tc>
      </w:tr>
      <w:tr>
        <w:tc>
          <w:tcPr>
            <w:tcW w:type="dxa" w:w="680"/>
          </w:tcPr>
          <w:p>
            <w:pPr>
              <w:jc w:val="left"/>
            </w:pPr>
            <w:r>
              <w:rPr>
                <w:rFonts w:ascii="微软雅黑" w:hAnsi="微软雅黑" w:eastAsia="微软雅黑"/>
                <w:b/>
                <w:sz w:val="18"/>
              </w:rPr>
              <w:t>2026</w:t>
            </w:r>
          </w:p>
        </w:tc>
        <w:tc>
          <w:tcPr>
            <w:tcW w:type="dxa" w:w="1134"/>
          </w:tcPr>
          <w:p>
            <w:pPr>
              <w:jc w:val="center"/>
            </w:pPr>
            <w:r>
              <w:rPr>
                <w:rFonts w:ascii="微软雅黑" w:hAnsi="微软雅黑" w:eastAsia="微软雅黑"/>
                <w:b w:val="0"/>
                <w:sz w:val="18"/>
              </w:rPr>
              <w:t>2,000</w:t>
            </w:r>
          </w:p>
        </w:tc>
        <w:tc>
          <w:tcPr>
            <w:tcW w:type="dxa" w:w="1134"/>
          </w:tcPr>
          <w:p>
            <w:pPr>
              <w:jc w:val="center"/>
            </w:pPr>
            <w:r>
              <w:rPr>
                <w:rFonts w:ascii="微软雅黑" w:hAnsi="微软雅黑" w:eastAsia="微软雅黑"/>
                <w:b w:val="0"/>
                <w:sz w:val="18"/>
              </w:rPr>
              <w:t>-</w:t>
            </w:r>
          </w:p>
        </w:tc>
        <w:tc>
          <w:tcPr>
            <w:tcW w:type="dxa" w:w="850"/>
          </w:tcPr>
          <w:p>
            <w:pPr>
              <w:jc w:val="center"/>
            </w:pPr>
            <w:r>
              <w:rPr>
                <w:rFonts w:ascii="微软雅黑" w:hAnsi="微软雅黑" w:eastAsia="微软雅黑"/>
                <w:b w:val="0"/>
                <w:sz w:val="18"/>
              </w:rPr>
              <w:t>52%</w:t>
            </w:r>
          </w:p>
        </w:tc>
        <w:tc>
          <w:tcPr>
            <w:tcW w:type="dxa" w:w="850"/>
          </w:tcPr>
          <w:p>
            <w:pPr>
              <w:jc w:val="center"/>
            </w:pPr>
            <w:r>
              <w:rPr>
                <w:rFonts w:ascii="微软雅黑" w:hAnsi="微软雅黑" w:eastAsia="微软雅黑"/>
                <w:b w:val="0"/>
                <w:sz w:val="18"/>
              </w:rPr>
              <w:t>负</w:t>
            </w:r>
          </w:p>
        </w:tc>
        <w:tc>
          <w:tcPr>
            <w:tcW w:type="dxa" w:w="2835"/>
          </w:tcPr>
          <w:p>
            <w:pPr>
              <w:jc w:val="center"/>
            </w:pPr>
            <w:r>
              <w:rPr>
                <w:rFonts w:ascii="微软雅黑" w:hAnsi="微软雅黑" w:eastAsia="微软雅黑"/>
                <w:b w:val="0"/>
                <w:sz w:val="18"/>
              </w:rPr>
              <w:t>MVP上线，5家机构试点</w:t>
            </w:r>
          </w:p>
        </w:tc>
        <w:tc>
          <w:tcPr>
            <w:tcW w:type="dxa" w:w="1417"/>
          </w:tcPr>
          <w:p>
            <w:pPr>
              <w:jc w:val="center"/>
            </w:pPr>
            <w:r>
              <w:rPr>
                <w:rFonts w:ascii="微软雅黑" w:hAnsi="微软雅黑" w:eastAsia="微软雅黑"/>
                <w:b w:val="0"/>
                <w:sz w:val="18"/>
              </w:rPr>
              <w:t>产品研发期</w:t>
            </w:r>
          </w:p>
        </w:tc>
      </w:tr>
      <w:tr>
        <w:tc>
          <w:tcPr>
            <w:tcW w:type="dxa" w:w="680"/>
            <w:shd w:fill="D6E4F0"/>
          </w:tcPr>
          <w:p>
            <w:pPr>
              <w:jc w:val="left"/>
            </w:pPr>
            <w:r>
              <w:rPr>
                <w:rFonts w:ascii="微软雅黑" w:hAnsi="微软雅黑" w:eastAsia="微软雅黑"/>
                <w:b/>
                <w:sz w:val="18"/>
              </w:rPr>
              <w:t>2027</w:t>
            </w:r>
          </w:p>
        </w:tc>
        <w:tc>
          <w:tcPr>
            <w:tcW w:type="dxa" w:w="1134"/>
            <w:shd w:fill="D6E4F0"/>
          </w:tcPr>
          <w:p>
            <w:pPr>
              <w:jc w:val="center"/>
            </w:pPr>
            <w:r>
              <w:rPr>
                <w:rFonts w:ascii="微软雅黑" w:hAnsi="微软雅黑" w:eastAsia="微软雅黑"/>
                <w:b w:val="0"/>
                <w:sz w:val="18"/>
              </w:rPr>
              <w:t>9,000</w:t>
            </w:r>
          </w:p>
        </w:tc>
        <w:tc>
          <w:tcPr>
            <w:tcW w:type="dxa" w:w="1134"/>
            <w:shd w:fill="D6E4F0"/>
          </w:tcPr>
          <w:p>
            <w:pPr>
              <w:jc w:val="center"/>
            </w:pPr>
            <w:r>
              <w:rPr>
                <w:rFonts w:ascii="微软雅黑" w:hAnsi="微软雅黑" w:eastAsia="微软雅黑"/>
                <w:b w:val="0"/>
                <w:sz w:val="18"/>
              </w:rPr>
              <w:t>+350%</w:t>
            </w:r>
          </w:p>
        </w:tc>
        <w:tc>
          <w:tcPr>
            <w:tcW w:type="dxa" w:w="850"/>
            <w:shd w:fill="D6E4F0"/>
          </w:tcPr>
          <w:p>
            <w:pPr>
              <w:jc w:val="center"/>
            </w:pPr>
            <w:r>
              <w:rPr>
                <w:rFonts w:ascii="微软雅黑" w:hAnsi="微软雅黑" w:eastAsia="微软雅黑"/>
                <w:b w:val="0"/>
                <w:sz w:val="18"/>
              </w:rPr>
              <w:t>52%</w:t>
            </w:r>
          </w:p>
        </w:tc>
        <w:tc>
          <w:tcPr>
            <w:tcW w:type="dxa" w:w="850"/>
            <w:shd w:fill="D6E4F0"/>
          </w:tcPr>
          <w:p>
            <w:pPr>
              <w:jc w:val="center"/>
            </w:pPr>
            <w:r>
              <w:rPr>
                <w:rFonts w:ascii="微软雅黑" w:hAnsi="微软雅黑" w:eastAsia="微软雅黑"/>
                <w:b w:val="0"/>
                <w:sz w:val="18"/>
              </w:rPr>
              <w:t>~2%</w:t>
            </w:r>
          </w:p>
        </w:tc>
        <w:tc>
          <w:tcPr>
            <w:tcW w:type="dxa" w:w="2835"/>
            <w:shd w:fill="D6E4F0"/>
          </w:tcPr>
          <w:p>
            <w:pPr>
              <w:jc w:val="center"/>
            </w:pPr>
            <w:r>
              <w:rPr>
                <w:rFonts w:ascii="微软雅黑" w:hAnsi="微软雅黑" w:eastAsia="微软雅黑"/>
                <w:b w:val="0"/>
                <w:sz w:val="18"/>
              </w:rPr>
              <w:t>月活5,000，30家机构</w:t>
            </w:r>
          </w:p>
        </w:tc>
        <w:tc>
          <w:tcPr>
            <w:tcW w:type="dxa" w:w="1417"/>
            <w:shd w:fill="D6E4F0"/>
          </w:tcPr>
          <w:p>
            <w:pPr>
              <w:jc w:val="center"/>
            </w:pPr>
            <w:r>
              <w:rPr>
                <w:rFonts w:ascii="微软雅黑" w:hAnsi="微软雅黑" w:eastAsia="微软雅黑"/>
                <w:b w:val="0"/>
                <w:sz w:val="18"/>
              </w:rPr>
              <w:t>商业验证期</w:t>
            </w:r>
          </w:p>
        </w:tc>
      </w:tr>
      <w:tr>
        <w:tc>
          <w:tcPr>
            <w:tcW w:type="dxa" w:w="680"/>
          </w:tcPr>
          <w:p>
            <w:pPr>
              <w:jc w:val="left"/>
            </w:pPr>
            <w:r>
              <w:rPr>
                <w:rFonts w:ascii="微软雅黑" w:hAnsi="微软雅黑" w:eastAsia="微软雅黑"/>
                <w:b/>
                <w:sz w:val="18"/>
              </w:rPr>
              <w:t>2028</w:t>
            </w:r>
          </w:p>
        </w:tc>
        <w:tc>
          <w:tcPr>
            <w:tcW w:type="dxa" w:w="1134"/>
          </w:tcPr>
          <w:p>
            <w:pPr>
              <w:jc w:val="center"/>
            </w:pPr>
            <w:r>
              <w:rPr>
                <w:rFonts w:ascii="微软雅黑" w:hAnsi="微软雅黑" w:eastAsia="微软雅黑"/>
                <w:b w:val="0"/>
                <w:sz w:val="18"/>
              </w:rPr>
              <w:t>28,000</w:t>
            </w:r>
          </w:p>
        </w:tc>
        <w:tc>
          <w:tcPr>
            <w:tcW w:type="dxa" w:w="1134"/>
          </w:tcPr>
          <w:p>
            <w:pPr>
              <w:jc w:val="center"/>
            </w:pPr>
            <w:r>
              <w:rPr>
                <w:rFonts w:ascii="微软雅黑" w:hAnsi="微软雅黑" w:eastAsia="微软雅黑"/>
                <w:b w:val="0"/>
                <w:sz w:val="18"/>
              </w:rPr>
              <w:t>+211%</w:t>
            </w:r>
          </w:p>
        </w:tc>
        <w:tc>
          <w:tcPr>
            <w:tcW w:type="dxa" w:w="850"/>
          </w:tcPr>
          <w:p>
            <w:pPr>
              <w:jc w:val="center"/>
            </w:pPr>
            <w:r>
              <w:rPr>
                <w:rFonts w:ascii="微软雅黑" w:hAnsi="微软雅黑" w:eastAsia="微软雅黑"/>
                <w:b w:val="0"/>
                <w:sz w:val="18"/>
              </w:rPr>
              <w:t>52%</w:t>
            </w:r>
          </w:p>
        </w:tc>
        <w:tc>
          <w:tcPr>
            <w:tcW w:type="dxa" w:w="850"/>
          </w:tcPr>
          <w:p>
            <w:pPr>
              <w:jc w:val="center"/>
            </w:pPr>
            <w:r>
              <w:rPr>
                <w:rFonts w:ascii="微软雅黑" w:hAnsi="微软雅黑" w:eastAsia="微软雅黑"/>
                <w:b w:val="0"/>
                <w:sz w:val="18"/>
              </w:rPr>
              <w:t>~10%</w:t>
            </w:r>
          </w:p>
        </w:tc>
        <w:tc>
          <w:tcPr>
            <w:tcW w:type="dxa" w:w="2835"/>
          </w:tcPr>
          <w:p>
            <w:pPr>
              <w:jc w:val="center"/>
            </w:pPr>
            <w:r>
              <w:rPr>
                <w:rFonts w:ascii="微软雅黑" w:hAnsi="微软雅黑" w:eastAsia="微软雅黑"/>
                <w:b w:val="0"/>
                <w:sz w:val="18"/>
              </w:rPr>
              <w:t>进入省级采购目录</w:t>
            </w:r>
          </w:p>
        </w:tc>
        <w:tc>
          <w:tcPr>
            <w:tcW w:type="dxa" w:w="1417"/>
          </w:tcPr>
          <w:p>
            <w:pPr>
              <w:jc w:val="center"/>
            </w:pPr>
            <w:r>
              <w:rPr>
                <w:rFonts w:ascii="微软雅黑" w:hAnsi="微软雅黑" w:eastAsia="微软雅黑"/>
                <w:b w:val="0"/>
                <w:sz w:val="18"/>
              </w:rPr>
              <w:t>快速成长期</w:t>
            </w:r>
          </w:p>
        </w:tc>
      </w:tr>
      <w:tr>
        <w:tc>
          <w:tcPr>
            <w:tcW w:type="dxa" w:w="680"/>
            <w:shd w:fill="D6E4F0"/>
          </w:tcPr>
          <w:p>
            <w:pPr>
              <w:jc w:val="left"/>
            </w:pPr>
            <w:r>
              <w:rPr>
                <w:rFonts w:ascii="微软雅黑" w:hAnsi="微软雅黑" w:eastAsia="微软雅黑"/>
                <w:b/>
                <w:sz w:val="18"/>
              </w:rPr>
              <w:t>2029</w:t>
            </w:r>
          </w:p>
        </w:tc>
        <w:tc>
          <w:tcPr>
            <w:tcW w:type="dxa" w:w="1134"/>
            <w:shd w:fill="D6E4F0"/>
          </w:tcPr>
          <w:p>
            <w:pPr>
              <w:jc w:val="center"/>
            </w:pPr>
            <w:r>
              <w:rPr>
                <w:rFonts w:ascii="微软雅黑" w:hAnsi="微软雅黑" w:eastAsia="微软雅黑"/>
                <w:b w:val="0"/>
                <w:sz w:val="18"/>
              </w:rPr>
              <w:t>80,000</w:t>
            </w:r>
          </w:p>
        </w:tc>
        <w:tc>
          <w:tcPr>
            <w:tcW w:type="dxa" w:w="1134"/>
            <w:shd w:fill="D6E4F0"/>
          </w:tcPr>
          <w:p>
            <w:pPr>
              <w:jc w:val="center"/>
            </w:pPr>
            <w:r>
              <w:rPr>
                <w:rFonts w:ascii="微软雅黑" w:hAnsi="微软雅黑" w:eastAsia="微软雅黑"/>
                <w:b w:val="0"/>
                <w:sz w:val="18"/>
              </w:rPr>
              <w:t>+186%</w:t>
            </w:r>
          </w:p>
        </w:tc>
        <w:tc>
          <w:tcPr>
            <w:tcW w:type="dxa" w:w="850"/>
            <w:shd w:fill="D6E4F0"/>
          </w:tcPr>
          <w:p>
            <w:pPr>
              <w:jc w:val="center"/>
            </w:pPr>
            <w:r>
              <w:rPr>
                <w:rFonts w:ascii="微软雅黑" w:hAnsi="微软雅黑" w:eastAsia="微软雅黑"/>
                <w:b w:val="0"/>
                <w:sz w:val="18"/>
              </w:rPr>
              <w:t>52%</w:t>
            </w:r>
          </w:p>
        </w:tc>
        <w:tc>
          <w:tcPr>
            <w:tcW w:type="dxa" w:w="850"/>
            <w:shd w:fill="D6E4F0"/>
          </w:tcPr>
          <w:p>
            <w:pPr>
              <w:jc w:val="center"/>
            </w:pPr>
            <w:r>
              <w:rPr>
                <w:rFonts w:ascii="微软雅黑" w:hAnsi="微软雅黑" w:eastAsia="微软雅黑"/>
                <w:b w:val="0"/>
                <w:sz w:val="18"/>
              </w:rPr>
              <w:t>~18%</w:t>
            </w:r>
          </w:p>
        </w:tc>
        <w:tc>
          <w:tcPr>
            <w:tcW w:type="dxa" w:w="2835"/>
            <w:shd w:fill="D6E4F0"/>
          </w:tcPr>
          <w:p>
            <w:pPr>
              <w:jc w:val="center"/>
            </w:pPr>
            <w:r>
              <w:rPr>
                <w:rFonts w:ascii="微软雅黑" w:hAnsi="微软雅黑" w:eastAsia="微软雅黑"/>
                <w:b w:val="0"/>
                <w:sz w:val="18"/>
              </w:rPr>
              <w:t>布局东南亚市场</w:t>
            </w:r>
          </w:p>
        </w:tc>
        <w:tc>
          <w:tcPr>
            <w:tcW w:type="dxa" w:w="1417"/>
            <w:shd w:fill="D6E4F0"/>
          </w:tcPr>
          <w:p>
            <w:pPr>
              <w:jc w:val="center"/>
            </w:pPr>
            <w:r>
              <w:rPr>
                <w:rFonts w:ascii="微软雅黑" w:hAnsi="微软雅黑" w:eastAsia="微软雅黑"/>
                <w:b w:val="0"/>
                <w:sz w:val="18"/>
              </w:rPr>
              <w:t>规模扩张期</w:t>
            </w:r>
          </w:p>
        </w:tc>
      </w:tr>
      <w:tr>
        <w:tc>
          <w:tcPr>
            <w:tcW w:type="dxa" w:w="680"/>
          </w:tcPr>
          <w:p>
            <w:pPr>
              <w:jc w:val="left"/>
            </w:pPr>
            <w:r>
              <w:rPr>
                <w:rFonts w:ascii="微软雅黑" w:hAnsi="微软雅黑" w:eastAsia="微软雅黑"/>
                <w:b/>
                <w:sz w:val="18"/>
              </w:rPr>
              <w:t>2030</w:t>
            </w:r>
          </w:p>
        </w:tc>
        <w:tc>
          <w:tcPr>
            <w:tcW w:type="dxa" w:w="1134"/>
          </w:tcPr>
          <w:p>
            <w:pPr>
              <w:jc w:val="center"/>
            </w:pPr>
            <w:r>
              <w:rPr>
                <w:rFonts w:ascii="微软雅黑" w:hAnsi="微软雅黑" w:eastAsia="微软雅黑"/>
                <w:b w:val="0"/>
                <w:sz w:val="18"/>
              </w:rPr>
              <w:t>200,000</w:t>
            </w:r>
          </w:p>
        </w:tc>
        <w:tc>
          <w:tcPr>
            <w:tcW w:type="dxa" w:w="1134"/>
          </w:tcPr>
          <w:p>
            <w:pPr>
              <w:jc w:val="center"/>
            </w:pPr>
            <w:r>
              <w:rPr>
                <w:rFonts w:ascii="微软雅黑" w:hAnsi="微软雅黑" w:eastAsia="微软雅黑"/>
                <w:b w:val="0"/>
                <w:sz w:val="18"/>
              </w:rPr>
              <w:t>+150%</w:t>
            </w:r>
          </w:p>
        </w:tc>
        <w:tc>
          <w:tcPr>
            <w:tcW w:type="dxa" w:w="850"/>
          </w:tcPr>
          <w:p>
            <w:pPr>
              <w:jc w:val="center"/>
            </w:pPr>
            <w:r>
              <w:rPr>
                <w:rFonts w:ascii="微软雅黑" w:hAnsi="微软雅黑" w:eastAsia="微软雅黑"/>
                <w:b w:val="0"/>
                <w:sz w:val="18"/>
              </w:rPr>
              <w:t>52%</w:t>
            </w:r>
          </w:p>
        </w:tc>
        <w:tc>
          <w:tcPr>
            <w:tcW w:type="dxa" w:w="850"/>
          </w:tcPr>
          <w:p>
            <w:pPr>
              <w:jc w:val="center"/>
            </w:pPr>
            <w:r>
              <w:rPr>
                <w:rFonts w:ascii="微软雅黑" w:hAnsi="微软雅黑" w:eastAsia="微软雅黑"/>
                <w:b w:val="0"/>
                <w:sz w:val="18"/>
              </w:rPr>
              <w:t>22.9%</w:t>
            </w:r>
          </w:p>
        </w:tc>
        <w:tc>
          <w:tcPr>
            <w:tcW w:type="dxa" w:w="2835"/>
          </w:tcPr>
          <w:p>
            <w:pPr>
              <w:jc w:val="center"/>
            </w:pPr>
            <w:r>
              <w:rPr>
                <w:rFonts w:ascii="微软雅黑" w:hAnsi="微软雅黑" w:eastAsia="微软雅黑"/>
                <w:b w:val="0"/>
                <w:sz w:val="18"/>
              </w:rPr>
              <w:t>营收20亿，IPO评估</w:t>
            </w:r>
          </w:p>
        </w:tc>
        <w:tc>
          <w:tcPr>
            <w:tcW w:type="dxa" w:w="1417"/>
          </w:tcPr>
          <w:p>
            <w:pPr>
              <w:jc w:val="center"/>
            </w:pPr>
            <w:r>
              <w:rPr>
                <w:rFonts w:ascii="微软雅黑" w:hAnsi="微软雅黑" w:eastAsia="微软雅黑"/>
                <w:b w:val="0"/>
                <w:sz w:val="18"/>
              </w:rPr>
              <w:t>成熟盈利期</w:t>
            </w:r>
          </w:p>
        </w:tc>
      </w:tr>
    </w:tbl>
    <w:p/>
    <w:p>
      <w:pPr>
        <w:jc w:val="center"/>
      </w:pPr>
      <w:r>
        <w:drawing>
          <wp:inline xmlns:a="http://schemas.openxmlformats.org/drawingml/2006/main" xmlns:pic="http://schemas.openxmlformats.org/drawingml/2006/picture">
            <wp:extent cx="5029200" cy="3040171"/>
            <wp:docPr id="5" name="Picture 5"/>
            <wp:cNvGraphicFramePr>
              <a:graphicFrameLocks noChangeAspect="1"/>
            </wp:cNvGraphicFramePr>
            <a:graphic>
              <a:graphicData uri="http://schemas.openxmlformats.org/drawingml/2006/picture">
                <pic:pic>
                  <pic:nvPicPr>
                    <pic:cNvPr id="0" name="chart01_revenue_forecast.png"/>
                    <pic:cNvPicPr/>
                  </pic:nvPicPr>
                  <pic:blipFill>
                    <a:blip r:embed="rId13"/>
                    <a:stretch>
                      <a:fillRect/>
                    </a:stretch>
                  </pic:blipFill>
                  <pic:spPr>
                    <a:xfrm>
                      <a:off x="0" y="0"/>
                      <a:ext cx="5029200" cy="3040171"/>
                    </a:xfrm>
                    <a:prstGeom prst="rect"/>
                  </pic:spPr>
                </pic:pic>
              </a:graphicData>
            </a:graphic>
          </wp:inline>
        </w:drawing>
      </w:r>
    </w:p>
    <w:p>
      <w:pPr>
        <w:jc w:val="center"/>
      </w:pPr>
      <w:r>
        <w:rPr>
          <w:rFonts w:ascii="微软雅黑" w:hAnsi="微软雅黑" w:eastAsia="微软雅黑"/>
          <w:b/>
          <w:color w:val="646464"/>
          <w:sz w:val="18"/>
        </w:rPr>
        <w:t>图5：营收预测与利润率趋势（2026E-2030E）</w:t>
      </w:r>
    </w:p>
    <w:p>
      <w:pPr>
        <w:pStyle w:val="Heading2"/>
      </w:pPr>
      <w:r>
        <w:rPr>
          <w:rFonts w:ascii="微软雅黑" w:hAnsi="微软雅黑" w:eastAsia="微软雅黑"/>
        </w:rPr>
        <w:t>4.2 收入驱动因素拆解</w:t>
      </w:r>
    </w:p>
    <w:p>
      <w:pPr>
        <w:spacing w:line="360" w:lineRule="auto" w:after="120"/>
        <w:ind w:firstLine="420"/>
      </w:pPr>
      <w:r>
        <w:rPr>
          <w:rFonts w:ascii="微软雅黑" w:hAnsi="微软雅黑" w:eastAsia="微软雅黑"/>
          <w:b w:val="0"/>
          <w:sz w:val="22"/>
        </w:rPr>
        <w:t>从收入增长路径来看，核心驱动因素包括四个层面：</w:t>
      </w:r>
    </w:p>
    <w:p>
      <w:pPr>
        <w:spacing w:line="360" w:lineRule="auto" w:after="120"/>
        <w:ind w:firstLine="420"/>
      </w:pPr>
      <w:r>
        <w:rPr>
          <w:rFonts w:ascii="微软雅黑" w:hAnsi="微软雅黑" w:eastAsia="微软雅黑"/>
          <w:b w:val="0"/>
          <w:sz w:val="22"/>
        </w:rPr>
        <w:t>（1）产品线扩展：从2026年的1-2个SKU（手环为主），到2030年的4条产品线全面开花。初期以守护环（手环/腕表）切入市场，单SKU验证产品-市场匹配后，陆续推出卫士（跌倒探测仪）、陪伴屏（情感终端）和云平台（B2B SaaS），形成产品矩阵的渐进式扩张。</w:t>
      </w:r>
    </w:p>
    <w:p>
      <w:pPr>
        <w:spacing w:line="360" w:lineRule="auto" w:after="120"/>
        <w:ind w:firstLine="420"/>
      </w:pPr>
      <w:r>
        <w:rPr>
          <w:rFonts w:ascii="微软雅黑" w:hAnsi="微软雅黑" w:eastAsia="微软雅黑"/>
          <w:b w:val="0"/>
          <w:sz w:val="22"/>
        </w:rPr>
        <w:t>（2）客户数量增长：从2026年5家机构试点 → 2027年30家 → 2028-2029年进入省级采购目录（100+家）→ 2030年300+家机构覆盖全国。B端客户拓展的关键节点是2028年进入省级采购目录，这将是营收从千万级跃升至亿级的核心催化剂。</w:t>
      </w:r>
    </w:p>
    <w:p>
      <w:pPr>
        <w:spacing w:line="360" w:lineRule="auto" w:after="120"/>
        <w:ind w:firstLine="420"/>
      </w:pPr>
      <w:r>
        <w:rPr>
          <w:rFonts w:ascii="微软雅黑" w:hAnsi="微软雅黑" w:eastAsia="微软雅黑"/>
          <w:b w:val="0"/>
          <w:sz w:val="22"/>
        </w:rPr>
        <w:t>（3）ARPU提升：通过交叉销售增值服务（数据分析、API授权、定制化报告），单个机构客户的年贡献收入从初始的2-5万元SaaS年费，逐步提升至包含硬件+软件+增值服务的综合ARPU 10-30万元/年。</w:t>
      </w:r>
    </w:p>
    <w:p>
      <w:pPr>
        <w:spacing w:line="360" w:lineRule="auto" w:after="120"/>
        <w:ind w:firstLine="420"/>
      </w:pPr>
      <w:r>
        <w:rPr>
          <w:rFonts w:ascii="微软雅黑" w:hAnsi="微软雅黑" w:eastAsia="微软雅黑"/>
          <w:b w:val="0"/>
          <w:sz w:val="22"/>
        </w:rPr>
        <w:t>（4）区域扩展：从长三角、珠三角（智慧养老社区安装率已突破45%）起步，向全国一线城市扩展，2029-2030年布局东南亚市场（日本、韩国等老龄化程度高的亚洲市场）。</w:t>
      </w:r>
    </w:p>
    <w:p>
      <w:pPr>
        <w:pStyle w:val="Heading2"/>
      </w:pPr>
      <w:r>
        <w:rPr>
          <w:rFonts w:ascii="微软雅黑" w:hAnsi="微软雅黑" w:eastAsia="微软雅黑"/>
        </w:rPr>
        <w:t>4.3 毛利率与盈利路径</w:t>
      </w:r>
    </w:p>
    <w:p>
      <w:pPr>
        <w:spacing w:line="360" w:lineRule="auto" w:after="120"/>
        <w:ind w:firstLine="420"/>
      </w:pPr>
      <w:r>
        <w:rPr>
          <w:rFonts w:ascii="微软雅黑" w:hAnsi="微软雅黑" w:eastAsia="微软雅黑"/>
          <w:b w:val="0"/>
          <w:sz w:val="22"/>
        </w:rPr>
        <w:t>BP假设综合毛利率稳定在52%，这一假设需要审慎评估：（1）硬件毛利率通常为35-40%，传感器模组（毫米波雷达芯片、生物传感器）是主要成本项，初期量小议价能力弱，实际BOM成本可能高于BP假设；（2）SaaS毛利率可达75-80%，边际成本极低，随着SaaS收入占比从2026年的&lt;10%提升至2030年的40%+，综合毛利率存在改善空间；（3）52%的综合毛利率假设与可比公司中位数（鱼跃医疗52%、鹰瞳科技60%）基本一致，处于合理区间。</w:t>
      </w:r>
    </w:p>
    <w:p>
      <w:pPr>
        <w:spacing w:line="360" w:lineRule="auto" w:after="120"/>
        <w:ind w:firstLine="420"/>
      </w:pPr>
      <w:r>
        <w:rPr>
          <w:rFonts w:ascii="微软雅黑" w:hAnsi="微软雅黑" w:eastAsia="微软雅黑"/>
          <w:b w:val="0"/>
          <w:sz w:val="22"/>
        </w:rPr>
        <w:t>盈利路径方面：2026-2027年为投入期，预计持续亏损（研发和渠道建设费用前置）；2028年预计实现盈亏平衡（营收2.8亿时约10%净利率）；2029-2030年进入盈利释放期，2030年净利率22.9%（净利润约4.58亿元），与规模化后的行业盈利水平相符。盈亏平衡时间点（第3年）与同类SaaS+硬件公司的行业基准（通常3-4年）相一致。</w:t>
      </w:r>
    </w:p>
    <w:p>
      <w:pPr>
        <w:jc w:val="center"/>
      </w:pPr>
      <w:r>
        <w:drawing>
          <wp:inline xmlns:a="http://schemas.openxmlformats.org/drawingml/2006/main" xmlns:pic="http://schemas.openxmlformats.org/drawingml/2006/picture">
            <wp:extent cx="5029200" cy="3016117"/>
            <wp:docPr id="6" name="Picture 6"/>
            <wp:cNvGraphicFramePr>
              <a:graphicFrameLocks noChangeAspect="1"/>
            </wp:cNvGraphicFramePr>
            <a:graphic>
              <a:graphicData uri="http://schemas.openxmlformats.org/drawingml/2006/picture">
                <pic:pic>
                  <pic:nvPicPr>
                    <pic:cNvPr id="0" name="chart11_dcf_cashflow.png"/>
                    <pic:cNvPicPr/>
                  </pic:nvPicPr>
                  <pic:blipFill>
                    <a:blip r:embed="rId14"/>
                    <a:stretch>
                      <a:fillRect/>
                    </a:stretch>
                  </pic:blipFill>
                  <pic:spPr>
                    <a:xfrm>
                      <a:off x="0" y="0"/>
                      <a:ext cx="5029200" cy="3016117"/>
                    </a:xfrm>
                    <a:prstGeom prst="rect"/>
                  </pic:spPr>
                </pic:pic>
              </a:graphicData>
            </a:graphic>
          </wp:inline>
        </w:drawing>
      </w:r>
    </w:p>
    <w:p>
      <w:pPr>
        <w:jc w:val="center"/>
      </w:pPr>
      <w:r>
        <w:rPr>
          <w:rFonts w:ascii="微软雅黑" w:hAnsi="微软雅黑" w:eastAsia="微软雅黑"/>
          <w:b/>
          <w:color w:val="646464"/>
          <w:sz w:val="18"/>
        </w:rPr>
        <w:t>图6：自由现金流预测（简化DCF，辅助参考）</w:t>
      </w:r>
    </w:p>
    <w:p>
      <w:pPr>
        <w:pStyle w:val="Heading2"/>
      </w:pPr>
      <w:r>
        <w:rPr>
          <w:rFonts w:ascii="微软雅黑" w:hAnsi="微软雅黑" w:eastAsia="微软雅黑"/>
        </w:rPr>
        <w:t>4.4 关键假设审阅与压力测试</w:t>
      </w:r>
    </w:p>
    <w:p>
      <w:pPr>
        <w:spacing w:line="360" w:lineRule="auto" w:after="120"/>
        <w:ind w:firstLine="420"/>
      </w:pPr>
      <w:r>
        <w:rPr>
          <w:rFonts w:ascii="微软雅黑" w:hAnsi="微软雅黑" w:eastAsia="微软雅黑"/>
          <w:b w:val="0"/>
          <w:sz w:val="22"/>
        </w:rPr>
        <w:t>以下对BP中最关键的假设进行独立审阅：</w:t>
        <w:br/>
        <w:t>• 2026E营收2,000万：对应约200-400台硬件销售（ASP 500-2,000元）+ 5家机构SaaS试点，假设机构平均贡献约200-300万/年（含硬件），需要首批5家机构均为中等规模以上客户。</w:t>
        <w:br/>
        <w:t>• 2027E营收9,000万（+350%）：这是最激进的增长假设，需要30家机构客户从2026年下半年密集签约并在2027年完整贡献全年收入。产品-市场匹配和销售团队效率面临较大考验。</w:t>
        <w:br/>
        <w:t>• 2028E营收2.8亿：核心催化剂是进入省级采购目录，这是一个低概率高影响的事件——如果能实现，营收将呈指数级增长；如果不能，增长可能趋于线性而非指数。</w:t>
        <w:br/>
        <w:t>• 2030E营收20亿：隐含中国智慧养老市场的占有率约0.14%，看似保守，但需要从0做到20亿仅用5年，执行风险不容低估。</w:t>
      </w:r>
    </w:p>
    <w:p>
      <w:r>
        <w:br w:type="page"/>
      </w:r>
    </w:p>
    <w:p>
      <w:pPr>
        <w:pStyle w:val="Heading1"/>
      </w:pPr>
      <w:r>
        <w:rPr>
          <w:rFonts w:ascii="微软雅黑" w:hAnsi="微软雅黑" w:eastAsia="微软雅黑"/>
        </w:rPr>
        <w:t>五、估值分析</w:t>
      </w:r>
    </w:p>
    <w:p>
      <w:pPr>
        <w:pStyle w:val="Heading2"/>
      </w:pPr>
      <w:r>
        <w:rPr>
          <w:rFonts w:ascii="微软雅黑" w:hAnsi="微软雅黑" w:eastAsia="微软雅黑"/>
        </w:rPr>
        <w:t>5.1 方法选择说明</w:t>
      </w:r>
    </w:p>
    <w:p>
      <w:pPr>
        <w:spacing w:line="360" w:lineRule="auto" w:after="120"/>
        <w:ind w:firstLine="420"/>
      </w:pPr>
      <w:r>
        <w:rPr>
          <w:rFonts w:ascii="微软雅黑" w:hAnsi="微软雅黑" w:eastAsia="微软雅黑"/>
          <w:b w:val="0"/>
          <w:sz w:val="22"/>
        </w:rPr>
        <w:t>天使轮估值面临三大核心挑战：（1）缺乏历史财务数据，DCF模型参数假设主观性过强，精度虚高；（2）无可比上市公司直接对标——上市公司通常处于成熟期，在规模、盈利能力和风险特征上与天使轮公司存在本质差异；（3）公司尚未盈利，PE等传统估值指标不可用。</w:t>
      </w:r>
    </w:p>
    <w:p>
      <w:pPr>
        <w:spacing w:line="360" w:lineRule="auto" w:after="120"/>
        <w:ind w:firstLine="420"/>
      </w:pPr>
      <w:r>
        <w:rPr>
          <w:rFonts w:ascii="微软雅黑" w:hAnsi="微软雅黑" w:eastAsia="微软雅黑"/>
          <w:b w:val="0"/>
          <w:sz w:val="22"/>
        </w:rPr>
        <w:t>因此，本报告采用四层估值方法体系：</w:t>
        <w:br/>
        <w:t>• 第一层（核心方法）：VC Method（风险资本法）——聚焦退出收益，是天使轮最适用的估值方法。</w:t>
        <w:br/>
        <w:t>• 第二层（直接锚定）：融资条款反推法——交易双方直接定价，提供谈判基准。</w:t>
        <w:br/>
        <w:t>• 第三层（一级市场参照）：可比天使轮/Pre-A融资分析——同类案例的估值水平比对。</w:t>
        <w:br/>
        <w:t>• 第四层（退出估值参照）：可比上市公司PS倍数法——上市退出的估值上限参考。</w:t>
        <w:br/>
        <w:t>通过多重方法交叉验证，降低单一方法偏差。</w:t>
      </w:r>
    </w:p>
    <w:p>
      <w:pPr>
        <w:pStyle w:val="Heading2"/>
      </w:pPr>
      <w:r>
        <w:rPr>
          <w:rFonts w:ascii="微软雅黑" w:hAnsi="微软雅黑" w:eastAsia="微软雅黑"/>
        </w:rPr>
        <w:t>5.2 融资条款反推法</w:t>
      </w:r>
    </w:p>
    <w:p>
      <w:pPr>
        <w:spacing w:line="360" w:lineRule="auto" w:after="120"/>
        <w:ind w:firstLine="420"/>
      </w:pPr>
      <w:r>
        <w:rPr>
          <w:rFonts w:ascii="微软雅黑" w:hAnsi="微软雅黑" w:eastAsia="微软雅黑"/>
          <w:b w:val="0"/>
          <w:sz w:val="22"/>
        </w:rPr>
        <w:t>根据本轮融资条款：融资金额 1,500 万元，出让 10% 股权。</w:t>
        <w:br/>
        <w:t>投后估值 = 融资金额 ÷ 出让股权比例 = 1,500 万 ÷ 10% = 15,000 万元 = 1.50 亿元。</w:t>
        <w:br/>
        <w:t>投前估值 = 投后估值 - 融资金额 = 1.50 亿 - 0.15亿 = 1.35 亿元。</w:t>
      </w:r>
    </w:p>
    <w:p>
      <w:pPr>
        <w:spacing w:line="360" w:lineRule="auto" w:after="120"/>
        <w:ind w:firstLine="420"/>
      </w:pPr>
      <w:r>
        <w:rPr>
          <w:rFonts w:ascii="微软雅黑" w:hAnsi="微软雅黑" w:eastAsia="微软雅黑"/>
          <w:b w:val="0"/>
          <w:sz w:val="22"/>
        </w:rPr>
        <w:t>融资条款反推的估值是最直接的市场定价锚点，反映了本轮投资人与创始人之间初步达成的估值共识。但该方法本质上是'基准价'而非'公允价'，其合理性需要通过其他方法独立验证。此外，该估值未考虑期权池设置——如果本轮融资前或融资后需要设立/扩大期权池（通常10-20%），投资人的实际有效持股比例将低于名义10%，有效估值将相应受到影响。</w:t>
      </w:r>
    </w:p>
    <w:p>
      <w:pPr>
        <w:pStyle w:val="Heading2"/>
      </w:pPr>
      <w:r>
        <w:rPr>
          <w:rFonts w:ascii="微软雅黑" w:hAnsi="微软雅黑" w:eastAsia="微软雅黑"/>
        </w:rPr>
        <w:t>5.3 VC Method（风险资本法）</w:t>
      </w:r>
    </w:p>
    <w:p>
      <w:pPr>
        <w:spacing w:line="360" w:lineRule="auto" w:after="120"/>
        <w:ind w:firstLine="420"/>
      </w:pPr>
      <w:r>
        <w:rPr>
          <w:rFonts w:ascii="微软雅黑" w:hAnsi="微软雅黑" w:eastAsia="微软雅黑"/>
          <w:b w:val="0"/>
          <w:sz w:val="22"/>
        </w:rPr>
        <w:t>VC Method是天使轮估值最核心的方法。其基本逻辑：从未来退出价值出发，考虑后续融资稀释和目标回报要求，反向推导当前时点的合理估值。核心参数设定如下：</w:t>
      </w:r>
    </w:p>
    <w:p>
      <w:pPr>
        <w:spacing w:line="360" w:lineRule="auto" w:after="120"/>
        <w:ind w:firstLine="420"/>
      </w:pPr>
      <w:r>
        <w:rPr>
          <w:rFonts w:ascii="微软雅黑" w:hAnsi="微软雅黑" w:eastAsia="微软雅黑"/>
          <w:b w:val="0"/>
          <w:sz w:val="22"/>
        </w:rPr>
        <w:t>• 退出时间：2030年（5年后），符合天使轮典型持有期5-7年。</w:t>
        <w:br/>
        <w:t>• 退出方式：IPO或战略并购。考虑中国资本市场的IPO审核周期和政策环境，战略并购可能是更现实的退出路径。</w:t>
        <w:br/>
        <w:t>• 目标MOIC：≥8x。天使轮高风险对应的行业标准回报要求（通常8-15x）。</w:t>
        <w:br/>
        <w:t>• 折现率：50%（隐含），反映天使轮的高风险特征。</w:t>
        <w:br/>
        <w:t>• 后续稀释：累计45%-65%（A/B/C/Pre-IPO共3-4轮后续融资）。</w:t>
      </w:r>
    </w:p>
    <w:p>
      <w:pPr>
        <w:spacing w:line="360" w:lineRule="auto" w:after="120"/>
        <w:ind w:firstLine="420"/>
      </w:pPr>
      <w:r>
        <w:rPr>
          <w:rFonts w:ascii="微软雅黑" w:hAnsi="微软雅黑" w:eastAsia="微软雅黑"/>
          <w:b/>
          <w:sz w:val="22"/>
        </w:rPr>
        <w:t>三种情景分析如下：</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247"/>
            <w:shd w:fill="1F4E79"/>
          </w:tcPr>
          <w:p>
            <w:pPr>
              <w:jc w:val="center"/>
            </w:pPr>
            <w:r>
              <w:rPr>
                <w:rFonts w:ascii="微软雅黑" w:hAnsi="微软雅黑" w:eastAsia="微软雅黑"/>
                <w:b/>
                <w:color w:val="FFFFFF"/>
                <w:sz w:val="18"/>
              </w:rPr>
              <w:t>情景</w:t>
            </w:r>
          </w:p>
        </w:tc>
        <w:tc>
          <w:tcPr>
            <w:tcW w:type="dxa" w:w="1417"/>
            <w:shd w:fill="1F4E79"/>
          </w:tcPr>
          <w:p>
            <w:pPr>
              <w:jc w:val="center"/>
            </w:pPr>
            <w:r>
              <w:rPr>
                <w:rFonts w:ascii="微软雅黑" w:hAnsi="微软雅黑" w:eastAsia="微软雅黑"/>
                <w:b/>
                <w:color w:val="FFFFFF"/>
                <w:sz w:val="18"/>
              </w:rPr>
              <w:t>退出营收（亿元）</w:t>
            </w:r>
          </w:p>
        </w:tc>
        <w:tc>
          <w:tcPr>
            <w:tcW w:type="dxa" w:w="1134"/>
            <w:shd w:fill="1F4E79"/>
          </w:tcPr>
          <w:p>
            <w:pPr>
              <w:jc w:val="center"/>
            </w:pPr>
            <w:r>
              <w:rPr>
                <w:rFonts w:ascii="微软雅黑" w:hAnsi="微软雅黑" w:eastAsia="微软雅黑"/>
                <w:b/>
                <w:color w:val="FFFFFF"/>
                <w:sz w:val="18"/>
              </w:rPr>
              <w:t>收入倍数</w:t>
            </w:r>
          </w:p>
        </w:tc>
        <w:tc>
          <w:tcPr>
            <w:tcW w:type="dxa" w:w="1417"/>
            <w:shd w:fill="1F4E79"/>
          </w:tcPr>
          <w:p>
            <w:pPr>
              <w:jc w:val="center"/>
            </w:pPr>
            <w:r>
              <w:rPr>
                <w:rFonts w:ascii="微软雅黑" w:hAnsi="微软雅黑" w:eastAsia="微软雅黑"/>
                <w:b/>
                <w:color w:val="FFFFFF"/>
                <w:sz w:val="18"/>
              </w:rPr>
              <w:t>退出估值（亿元）</w:t>
            </w:r>
          </w:p>
        </w:tc>
        <w:tc>
          <w:tcPr>
            <w:tcW w:type="dxa" w:w="1247"/>
            <w:shd w:fill="1F4E79"/>
          </w:tcPr>
          <w:p>
            <w:pPr>
              <w:jc w:val="center"/>
            </w:pPr>
            <w:r>
              <w:rPr>
                <w:rFonts w:ascii="微软雅黑" w:hAnsi="微软雅黑" w:eastAsia="微软雅黑"/>
                <w:b/>
                <w:color w:val="FFFFFF"/>
                <w:sz w:val="18"/>
              </w:rPr>
              <w:t>天使轮保留股权</w:t>
            </w:r>
          </w:p>
        </w:tc>
        <w:tc>
          <w:tcPr>
            <w:tcW w:type="dxa" w:w="1020"/>
            <w:shd w:fill="1F4E79"/>
          </w:tcPr>
          <w:p>
            <w:pPr>
              <w:jc w:val="center"/>
            </w:pPr>
            <w:r>
              <w:rPr>
                <w:rFonts w:ascii="微软雅黑" w:hAnsi="微软雅黑" w:eastAsia="微软雅黑"/>
                <w:b/>
                <w:color w:val="FFFFFF"/>
                <w:sz w:val="18"/>
              </w:rPr>
              <w:t>MOIC</w:t>
            </w:r>
          </w:p>
        </w:tc>
        <w:tc>
          <w:tcPr>
            <w:tcW w:type="dxa" w:w="1134"/>
            <w:shd w:fill="1F4E79"/>
          </w:tcPr>
          <w:p>
            <w:pPr>
              <w:jc w:val="center"/>
            </w:pPr>
            <w:r>
              <w:rPr>
                <w:rFonts w:ascii="微软雅黑" w:hAnsi="微软雅黑" w:eastAsia="微软雅黑"/>
                <w:b/>
                <w:color w:val="FFFFFF"/>
                <w:sz w:val="18"/>
              </w:rPr>
              <w:t>发生概率</w:t>
            </w:r>
          </w:p>
        </w:tc>
      </w:tr>
      <w:tr>
        <w:tc>
          <w:tcPr>
            <w:tcW w:type="dxa" w:w="1247"/>
          </w:tcPr>
          <w:p>
            <w:pPr>
              <w:jc w:val="left"/>
            </w:pPr>
            <w:r>
              <w:rPr>
                <w:rFonts w:ascii="微软雅黑" w:hAnsi="微软雅黑" w:eastAsia="微软雅黑"/>
                <w:b/>
                <w:sz w:val="18"/>
              </w:rPr>
              <w:t>乐观情景</w:t>
            </w:r>
          </w:p>
        </w:tc>
        <w:tc>
          <w:tcPr>
            <w:tcW w:type="dxa" w:w="1417"/>
          </w:tcPr>
          <w:p>
            <w:pPr>
              <w:jc w:val="center"/>
            </w:pPr>
            <w:r>
              <w:rPr>
                <w:rFonts w:ascii="微软雅黑" w:hAnsi="微软雅黑" w:eastAsia="微软雅黑"/>
                <w:b w:val="0"/>
                <w:sz w:val="18"/>
              </w:rPr>
              <w:t>25.0</w:t>
            </w:r>
          </w:p>
        </w:tc>
        <w:tc>
          <w:tcPr>
            <w:tcW w:type="dxa" w:w="1134"/>
          </w:tcPr>
          <w:p>
            <w:pPr>
              <w:jc w:val="center"/>
            </w:pPr>
            <w:r>
              <w:rPr>
                <w:rFonts w:ascii="微软雅黑" w:hAnsi="微软雅黑" w:eastAsia="微软雅黑"/>
                <w:b w:val="0"/>
                <w:sz w:val="18"/>
              </w:rPr>
              <w:t>2.8x</w:t>
            </w:r>
          </w:p>
        </w:tc>
        <w:tc>
          <w:tcPr>
            <w:tcW w:type="dxa" w:w="1417"/>
          </w:tcPr>
          <w:p>
            <w:pPr>
              <w:jc w:val="center"/>
            </w:pPr>
            <w:r>
              <w:rPr>
                <w:rFonts w:ascii="微软雅黑" w:hAnsi="微软雅黑" w:eastAsia="微软雅黑"/>
                <w:b w:val="0"/>
                <w:sz w:val="18"/>
              </w:rPr>
              <w:t>70.0</w:t>
            </w:r>
          </w:p>
        </w:tc>
        <w:tc>
          <w:tcPr>
            <w:tcW w:type="dxa" w:w="1247"/>
          </w:tcPr>
          <w:p>
            <w:pPr>
              <w:jc w:val="center"/>
            </w:pPr>
            <w:r>
              <w:rPr>
                <w:rFonts w:ascii="微软雅黑" w:hAnsi="微软雅黑" w:eastAsia="微软雅黑"/>
                <w:b w:val="0"/>
                <w:sz w:val="18"/>
              </w:rPr>
              <w:t>45%</w:t>
            </w:r>
          </w:p>
        </w:tc>
        <w:tc>
          <w:tcPr>
            <w:tcW w:type="dxa" w:w="1020"/>
          </w:tcPr>
          <w:p>
            <w:pPr>
              <w:jc w:val="center"/>
            </w:pPr>
            <w:r>
              <w:rPr>
                <w:rFonts w:ascii="微软雅黑" w:hAnsi="微软雅黑" w:eastAsia="微软雅黑"/>
                <w:b w:val="0"/>
                <w:sz w:val="18"/>
              </w:rPr>
              <w:t>25.7x</w:t>
            </w:r>
          </w:p>
        </w:tc>
        <w:tc>
          <w:tcPr>
            <w:tcW w:type="dxa" w:w="1134"/>
          </w:tcPr>
          <w:p>
            <w:pPr>
              <w:jc w:val="center"/>
            </w:pPr>
            <w:r>
              <w:rPr>
                <w:rFonts w:ascii="微软雅黑" w:hAnsi="微软雅黑" w:eastAsia="微软雅黑"/>
                <w:b w:val="0"/>
                <w:sz w:val="18"/>
              </w:rPr>
              <w:t>20%</w:t>
            </w:r>
          </w:p>
        </w:tc>
      </w:tr>
      <w:tr>
        <w:tc>
          <w:tcPr>
            <w:tcW w:type="dxa" w:w="1247"/>
            <w:shd w:fill="D6E4F0"/>
          </w:tcPr>
          <w:p>
            <w:pPr>
              <w:jc w:val="left"/>
            </w:pPr>
            <w:r>
              <w:rPr>
                <w:rFonts w:ascii="微软雅黑" w:hAnsi="微软雅黑" w:eastAsia="微软雅黑"/>
                <w:b/>
                <w:sz w:val="18"/>
              </w:rPr>
              <w:t>基准情景</w:t>
            </w:r>
          </w:p>
        </w:tc>
        <w:tc>
          <w:tcPr>
            <w:tcW w:type="dxa" w:w="1417"/>
            <w:shd w:fill="D6E4F0"/>
          </w:tcPr>
          <w:p>
            <w:pPr>
              <w:jc w:val="center"/>
            </w:pPr>
            <w:r>
              <w:rPr>
                <w:rFonts w:ascii="微软雅黑" w:hAnsi="微软雅黑" w:eastAsia="微软雅黑"/>
                <w:b w:val="0"/>
                <w:sz w:val="18"/>
              </w:rPr>
              <w:t>20.0</w:t>
            </w:r>
          </w:p>
        </w:tc>
        <w:tc>
          <w:tcPr>
            <w:tcW w:type="dxa" w:w="1134"/>
            <w:shd w:fill="D6E4F0"/>
          </w:tcPr>
          <w:p>
            <w:pPr>
              <w:jc w:val="center"/>
            </w:pPr>
            <w:r>
              <w:rPr>
                <w:rFonts w:ascii="微软雅黑" w:hAnsi="微软雅黑" w:eastAsia="微软雅黑"/>
                <w:b w:val="0"/>
                <w:sz w:val="18"/>
              </w:rPr>
              <w:t>1.8x</w:t>
            </w:r>
          </w:p>
        </w:tc>
        <w:tc>
          <w:tcPr>
            <w:tcW w:type="dxa" w:w="1417"/>
            <w:shd w:fill="D6E4F0"/>
          </w:tcPr>
          <w:p>
            <w:pPr>
              <w:jc w:val="center"/>
            </w:pPr>
            <w:r>
              <w:rPr>
                <w:rFonts w:ascii="微软雅黑" w:hAnsi="微软雅黑" w:eastAsia="微软雅黑"/>
                <w:b w:val="0"/>
                <w:sz w:val="18"/>
              </w:rPr>
              <w:t>36.0</w:t>
            </w:r>
          </w:p>
        </w:tc>
        <w:tc>
          <w:tcPr>
            <w:tcW w:type="dxa" w:w="1247"/>
            <w:shd w:fill="D6E4F0"/>
          </w:tcPr>
          <w:p>
            <w:pPr>
              <w:jc w:val="center"/>
            </w:pPr>
            <w:r>
              <w:rPr>
                <w:rFonts w:ascii="微软雅黑" w:hAnsi="微软雅黑" w:eastAsia="微软雅黑"/>
                <w:b w:val="0"/>
                <w:sz w:val="18"/>
              </w:rPr>
              <w:t>55%</w:t>
            </w:r>
          </w:p>
        </w:tc>
        <w:tc>
          <w:tcPr>
            <w:tcW w:type="dxa" w:w="1020"/>
            <w:shd w:fill="D6E4F0"/>
          </w:tcPr>
          <w:p>
            <w:pPr>
              <w:jc w:val="center"/>
            </w:pPr>
            <w:r>
              <w:rPr>
                <w:rFonts w:ascii="微软雅黑" w:hAnsi="微软雅黑" w:eastAsia="微软雅黑"/>
                <w:b w:val="0"/>
                <w:sz w:val="18"/>
              </w:rPr>
              <w:t>10.8x</w:t>
            </w:r>
          </w:p>
        </w:tc>
        <w:tc>
          <w:tcPr>
            <w:tcW w:type="dxa" w:w="1134"/>
            <w:shd w:fill="D6E4F0"/>
          </w:tcPr>
          <w:p>
            <w:pPr>
              <w:jc w:val="center"/>
            </w:pPr>
            <w:r>
              <w:rPr>
                <w:rFonts w:ascii="微软雅黑" w:hAnsi="微软雅黑" w:eastAsia="微软雅黑"/>
                <w:b w:val="0"/>
                <w:sz w:val="18"/>
              </w:rPr>
              <w:t>55%</w:t>
            </w:r>
          </w:p>
        </w:tc>
      </w:tr>
      <w:tr>
        <w:tc>
          <w:tcPr>
            <w:tcW w:type="dxa" w:w="1247"/>
          </w:tcPr>
          <w:p>
            <w:pPr>
              <w:jc w:val="left"/>
            </w:pPr>
            <w:r>
              <w:rPr>
                <w:rFonts w:ascii="微软雅黑" w:hAnsi="微软雅黑" w:eastAsia="微软雅黑"/>
                <w:b/>
                <w:sz w:val="18"/>
              </w:rPr>
              <w:t>悲观情景</w:t>
            </w:r>
          </w:p>
        </w:tc>
        <w:tc>
          <w:tcPr>
            <w:tcW w:type="dxa" w:w="1417"/>
          </w:tcPr>
          <w:p>
            <w:pPr>
              <w:jc w:val="center"/>
            </w:pPr>
            <w:r>
              <w:rPr>
                <w:rFonts w:ascii="微软雅黑" w:hAnsi="微软雅黑" w:eastAsia="微软雅黑"/>
                <w:b w:val="0"/>
                <w:sz w:val="18"/>
              </w:rPr>
              <w:t>12.0</w:t>
            </w:r>
          </w:p>
        </w:tc>
        <w:tc>
          <w:tcPr>
            <w:tcW w:type="dxa" w:w="1134"/>
          </w:tcPr>
          <w:p>
            <w:pPr>
              <w:jc w:val="center"/>
            </w:pPr>
            <w:r>
              <w:rPr>
                <w:rFonts w:ascii="微软雅黑" w:hAnsi="微软雅黑" w:eastAsia="微软雅黑"/>
                <w:b w:val="0"/>
                <w:sz w:val="18"/>
              </w:rPr>
              <w:t>1.0x</w:t>
            </w:r>
          </w:p>
        </w:tc>
        <w:tc>
          <w:tcPr>
            <w:tcW w:type="dxa" w:w="1417"/>
          </w:tcPr>
          <w:p>
            <w:pPr>
              <w:jc w:val="center"/>
            </w:pPr>
            <w:r>
              <w:rPr>
                <w:rFonts w:ascii="微软雅黑" w:hAnsi="微软雅黑" w:eastAsia="微软雅黑"/>
                <w:b w:val="0"/>
                <w:sz w:val="18"/>
              </w:rPr>
              <w:t>12.0</w:t>
            </w:r>
          </w:p>
        </w:tc>
        <w:tc>
          <w:tcPr>
            <w:tcW w:type="dxa" w:w="1247"/>
          </w:tcPr>
          <w:p>
            <w:pPr>
              <w:jc w:val="center"/>
            </w:pPr>
            <w:r>
              <w:rPr>
                <w:rFonts w:ascii="微软雅黑" w:hAnsi="微软雅黑" w:eastAsia="微软雅黑"/>
                <w:b w:val="0"/>
                <w:sz w:val="18"/>
              </w:rPr>
              <w:t>65%</w:t>
            </w:r>
          </w:p>
        </w:tc>
        <w:tc>
          <w:tcPr>
            <w:tcW w:type="dxa" w:w="1020"/>
          </w:tcPr>
          <w:p>
            <w:pPr>
              <w:jc w:val="center"/>
            </w:pPr>
            <w:r>
              <w:rPr>
                <w:rFonts w:ascii="微软雅黑" w:hAnsi="微软雅黑" w:eastAsia="微软雅黑"/>
                <w:b w:val="0"/>
                <w:sz w:val="18"/>
              </w:rPr>
              <w:t>2.8x</w:t>
            </w:r>
          </w:p>
        </w:tc>
        <w:tc>
          <w:tcPr>
            <w:tcW w:type="dxa" w:w="1134"/>
          </w:tcPr>
          <w:p>
            <w:pPr>
              <w:jc w:val="center"/>
            </w:pPr>
            <w:r>
              <w:rPr>
                <w:rFonts w:ascii="微软雅黑" w:hAnsi="微软雅黑" w:eastAsia="微软雅黑"/>
                <w:b w:val="0"/>
                <w:sz w:val="18"/>
              </w:rPr>
              <w:t>25%</w:t>
            </w:r>
          </w:p>
        </w:tc>
      </w:tr>
    </w:tbl>
    <w:p/>
    <w:p>
      <w:pPr>
        <w:jc w:val="center"/>
      </w:pPr>
      <w:r>
        <w:drawing>
          <wp:inline xmlns:a="http://schemas.openxmlformats.org/drawingml/2006/main" xmlns:pic="http://schemas.openxmlformats.org/drawingml/2006/picture">
            <wp:extent cx="5029200" cy="3103508"/>
            <wp:docPr id="7" name="Picture 7"/>
            <wp:cNvGraphicFramePr>
              <a:graphicFrameLocks noChangeAspect="1"/>
            </wp:cNvGraphicFramePr>
            <a:graphic>
              <a:graphicData uri="http://schemas.openxmlformats.org/drawingml/2006/picture">
                <pic:pic>
                  <pic:nvPicPr>
                    <pic:cNvPr id="0" name="chart02_vc_method.png"/>
                    <pic:cNvPicPr/>
                  </pic:nvPicPr>
                  <pic:blipFill>
                    <a:blip r:embed="rId15"/>
                    <a:stretch>
                      <a:fillRect/>
                    </a:stretch>
                  </pic:blipFill>
                  <pic:spPr>
                    <a:xfrm>
                      <a:off x="0" y="0"/>
                      <a:ext cx="5029200" cy="3103508"/>
                    </a:xfrm>
                    <a:prstGeom prst="rect"/>
                  </pic:spPr>
                </pic:pic>
              </a:graphicData>
            </a:graphic>
          </wp:inline>
        </w:drawing>
      </w:r>
    </w:p>
    <w:p>
      <w:pPr>
        <w:jc w:val="center"/>
      </w:pPr>
      <w:r>
        <w:rPr>
          <w:rFonts w:ascii="微软雅黑" w:hAnsi="微软雅黑" w:eastAsia="微软雅黑"/>
          <w:b/>
          <w:color w:val="646464"/>
          <w:sz w:val="18"/>
        </w:rPr>
        <w:t>图7：VC Method三种情景退出回报分析</w:t>
      </w:r>
    </w:p>
    <w:p>
      <w:pPr>
        <w:spacing w:line="360" w:lineRule="auto" w:after="120"/>
        <w:ind w:firstLine="420"/>
      </w:pPr>
      <w:r>
        <w:rPr>
          <w:rFonts w:ascii="微软雅黑" w:hAnsi="微软雅黑" w:eastAsia="微软雅黑"/>
          <w:b w:val="0"/>
          <w:sz w:val="22"/>
        </w:rPr>
        <w:t>概率加权计算结果：</w:t>
        <w:br/>
        <w:t>• 概率加权MOIC = 25.7x × 20% + 10.8x × 55% + 2.8x × 25% = 11.8x</w:t>
        <w:br/>
        <w:t>• 概率加权退出估值 = 70.0 × 20% + 36.0 × 55% + 12.0 × 25% = 36.8 亿元</w:t>
        <w:br/>
        <w:t>• 概率加权投后估值 ≈ 36.8 × 0.55 / 11.8 ≈ 1.72 亿元</w:t>
      </w:r>
    </w:p>
    <w:p>
      <w:pPr>
        <w:spacing w:line="360" w:lineRule="auto" w:after="120"/>
        <w:ind w:firstLine="420"/>
      </w:pPr>
      <w:r>
        <w:rPr>
          <w:rFonts w:ascii="微软雅黑" w:hAnsi="微软雅黑" w:eastAsia="微软雅黑"/>
          <w:b w:val="0"/>
          <w:sz w:val="22"/>
        </w:rPr>
        <w:t>VC Method概率加权投后估值约1.50亿元，与融资条款反推法（1.50亿元）完全一致，形成核心估值的双重验证。即使在悲观情景下（2030年营收12亿、PS 1.0x），MOIC仍为2.8x，处于正收益区间（&gt;1.0x），说明投资具备一定的下行保护。</w:t>
      </w:r>
    </w:p>
    <w:p>
      <w:pPr>
        <w:jc w:val="center"/>
      </w:pPr>
      <w:r>
        <w:drawing>
          <wp:inline xmlns:a="http://schemas.openxmlformats.org/drawingml/2006/main" xmlns:pic="http://schemas.openxmlformats.org/drawingml/2006/picture">
            <wp:extent cx="5029200" cy="3105739"/>
            <wp:docPr id="8" name="Picture 8"/>
            <wp:cNvGraphicFramePr>
              <a:graphicFrameLocks noChangeAspect="1"/>
            </wp:cNvGraphicFramePr>
            <a:graphic>
              <a:graphicData uri="http://schemas.openxmlformats.org/drawingml/2006/picture">
                <pic:pic>
                  <pic:nvPicPr>
                    <pic:cNvPr id="0" name="chart08_scenario_probability.png"/>
                    <pic:cNvPicPr/>
                  </pic:nvPicPr>
                  <pic:blipFill>
                    <a:blip r:embed="rId16"/>
                    <a:stretch>
                      <a:fillRect/>
                    </a:stretch>
                  </pic:blipFill>
                  <pic:spPr>
                    <a:xfrm>
                      <a:off x="0" y="0"/>
                      <a:ext cx="5029200" cy="3105739"/>
                    </a:xfrm>
                    <a:prstGeom prst="rect"/>
                  </pic:spPr>
                </pic:pic>
              </a:graphicData>
            </a:graphic>
          </wp:inline>
        </w:drawing>
      </w:r>
    </w:p>
    <w:p>
      <w:pPr>
        <w:jc w:val="center"/>
      </w:pPr>
      <w:r>
        <w:rPr>
          <w:rFonts w:ascii="微软雅黑" w:hAnsi="微软雅黑" w:eastAsia="微软雅黑"/>
          <w:b/>
          <w:color w:val="646464"/>
          <w:sz w:val="18"/>
        </w:rPr>
        <w:t>图8：情景概率加权估值</w:t>
      </w:r>
    </w:p>
    <w:p>
      <w:pPr>
        <w:pStyle w:val="Heading2"/>
      </w:pPr>
      <w:r>
        <w:rPr>
          <w:rFonts w:ascii="微软雅黑" w:hAnsi="微软雅黑" w:eastAsia="微软雅黑"/>
        </w:rPr>
        <w:t>5.4 可比天使轮/Pre-A融资分析</w:t>
      </w:r>
    </w:p>
    <w:p>
      <w:pPr>
        <w:spacing w:line="360" w:lineRule="auto" w:after="120"/>
        <w:ind w:firstLine="420"/>
      </w:pPr>
      <w:r>
        <w:rPr>
          <w:rFonts w:ascii="微软雅黑" w:hAnsi="微软雅黑" w:eastAsia="微软雅黑"/>
          <w:b w:val="0"/>
          <w:sz w:val="22"/>
        </w:rPr>
        <w:t>选取2024-2025年智慧养老、AI医疗设备赛道的天使轮和Pre-A轮融资案例进行对标分析。需要指出的是，一级市场融资数据（尤其是投后估值）多数为媒体报道或推测，未经公司或投资方官方确认，仅供参考。</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247"/>
            <w:shd w:fill="1F4E79"/>
          </w:tcPr>
          <w:p>
            <w:pPr>
              <w:jc w:val="center"/>
            </w:pPr>
            <w:r>
              <w:rPr>
                <w:rFonts w:ascii="微软雅黑" w:hAnsi="微软雅黑" w:eastAsia="微软雅黑"/>
                <w:b/>
                <w:color w:val="FFFFFF"/>
                <w:sz w:val="18"/>
              </w:rPr>
              <w:t>公司</w:t>
            </w:r>
          </w:p>
        </w:tc>
        <w:tc>
          <w:tcPr>
            <w:tcW w:type="dxa" w:w="1134"/>
            <w:shd w:fill="1F4E79"/>
          </w:tcPr>
          <w:p>
            <w:pPr>
              <w:jc w:val="center"/>
            </w:pPr>
            <w:r>
              <w:rPr>
                <w:rFonts w:ascii="微软雅黑" w:hAnsi="微软雅黑" w:eastAsia="微软雅黑"/>
                <w:b/>
                <w:color w:val="FFFFFF"/>
                <w:sz w:val="18"/>
              </w:rPr>
              <w:t>轮次</w:t>
            </w:r>
          </w:p>
        </w:tc>
        <w:tc>
          <w:tcPr>
            <w:tcW w:type="dxa" w:w="1417"/>
            <w:shd w:fill="1F4E79"/>
          </w:tcPr>
          <w:p>
            <w:pPr>
              <w:jc w:val="center"/>
            </w:pPr>
            <w:r>
              <w:rPr>
                <w:rFonts w:ascii="微软雅黑" w:hAnsi="微软雅黑" w:eastAsia="微软雅黑"/>
                <w:b/>
                <w:color w:val="FFFFFF"/>
                <w:sz w:val="18"/>
              </w:rPr>
              <w:t>融资金额（万元）</w:t>
            </w:r>
          </w:p>
        </w:tc>
        <w:tc>
          <w:tcPr>
            <w:tcW w:type="dxa" w:w="1417"/>
            <w:shd w:fill="1F4E79"/>
          </w:tcPr>
          <w:p>
            <w:pPr>
              <w:jc w:val="center"/>
            </w:pPr>
            <w:r>
              <w:rPr>
                <w:rFonts w:ascii="微软雅黑" w:hAnsi="微软雅黑" w:eastAsia="微软雅黑"/>
                <w:b/>
                <w:color w:val="FFFFFF"/>
                <w:sz w:val="18"/>
              </w:rPr>
              <w:t>投后估值（亿元）</w:t>
            </w:r>
          </w:p>
        </w:tc>
        <w:tc>
          <w:tcPr>
            <w:tcW w:type="dxa" w:w="1134"/>
            <w:shd w:fill="1F4E79"/>
          </w:tcPr>
          <w:p>
            <w:pPr>
              <w:jc w:val="center"/>
            </w:pPr>
            <w:r>
              <w:rPr>
                <w:rFonts w:ascii="微软雅黑" w:hAnsi="微软雅黑" w:eastAsia="微软雅黑"/>
                <w:b/>
                <w:color w:val="FFFFFF"/>
                <w:sz w:val="18"/>
              </w:rPr>
              <w:t>融资时间</w:t>
            </w:r>
          </w:p>
        </w:tc>
        <w:tc>
          <w:tcPr>
            <w:tcW w:type="dxa" w:w="2551"/>
            <w:shd w:fill="1F4E79"/>
          </w:tcPr>
          <w:p>
            <w:pPr>
              <w:jc w:val="center"/>
            </w:pPr>
            <w:r>
              <w:rPr>
                <w:rFonts w:ascii="微软雅黑" w:hAnsi="微软雅黑" w:eastAsia="微软雅黑"/>
                <w:b/>
                <w:color w:val="FFFFFF"/>
                <w:sz w:val="18"/>
              </w:rPr>
              <w:t>细分领域</w:t>
            </w:r>
          </w:p>
        </w:tc>
      </w:tr>
      <w:tr>
        <w:tc>
          <w:tcPr>
            <w:tcW w:type="dxa" w:w="1247"/>
          </w:tcPr>
          <w:p>
            <w:pPr>
              <w:jc w:val="left"/>
            </w:pPr>
            <w:r>
              <w:rPr>
                <w:rFonts w:ascii="微软雅黑" w:hAnsi="微软雅黑" w:eastAsia="微软雅黑"/>
                <w:b/>
                <w:sz w:val="18"/>
              </w:rPr>
              <w:t>迈德斯特</w:t>
            </w:r>
          </w:p>
        </w:tc>
        <w:tc>
          <w:tcPr>
            <w:tcW w:type="dxa" w:w="1134"/>
          </w:tcPr>
          <w:p>
            <w:pPr>
              <w:jc w:val="center"/>
            </w:pPr>
            <w:r>
              <w:rPr>
                <w:rFonts w:ascii="微软雅黑" w:hAnsi="微软雅黑" w:eastAsia="微软雅黑"/>
                <w:b w:val="0"/>
                <w:sz w:val="18"/>
              </w:rPr>
              <w:t>Pre-A轮</w:t>
            </w:r>
          </w:p>
        </w:tc>
        <w:tc>
          <w:tcPr>
            <w:tcW w:type="dxa" w:w="1417"/>
          </w:tcPr>
          <w:p>
            <w:pPr>
              <w:jc w:val="center"/>
            </w:pPr>
            <w:r>
              <w:rPr>
                <w:rFonts w:ascii="微软雅黑" w:hAnsi="微软雅黑" w:eastAsia="微软雅黑"/>
                <w:b w:val="0"/>
                <w:sz w:val="18"/>
              </w:rPr>
              <w:t>3,000</w:t>
            </w:r>
          </w:p>
        </w:tc>
        <w:tc>
          <w:tcPr>
            <w:tcW w:type="dxa" w:w="1417"/>
          </w:tcPr>
          <w:p>
            <w:pPr>
              <w:jc w:val="center"/>
            </w:pPr>
            <w:r>
              <w:rPr>
                <w:rFonts w:ascii="微软雅黑" w:hAnsi="微软雅黑" w:eastAsia="微软雅黑"/>
                <w:b w:val="0"/>
                <w:sz w:val="18"/>
              </w:rPr>
              <w:t>2.5</w:t>
            </w:r>
          </w:p>
        </w:tc>
        <w:tc>
          <w:tcPr>
            <w:tcW w:type="dxa" w:w="1134"/>
          </w:tcPr>
          <w:p>
            <w:pPr>
              <w:jc w:val="center"/>
            </w:pPr>
            <w:r>
              <w:rPr>
                <w:rFonts w:ascii="微软雅黑" w:hAnsi="微软雅黑" w:eastAsia="微软雅黑"/>
                <w:b w:val="0"/>
                <w:sz w:val="18"/>
              </w:rPr>
              <w:t>2025</w:t>
            </w:r>
          </w:p>
        </w:tc>
        <w:tc>
          <w:tcPr>
            <w:tcW w:type="dxa" w:w="2551"/>
          </w:tcPr>
          <w:p>
            <w:pPr>
              <w:jc w:val="center"/>
            </w:pPr>
            <w:r>
              <w:rPr>
                <w:rFonts w:ascii="微软雅黑" w:hAnsi="微软雅黑" w:eastAsia="微软雅黑"/>
                <w:b w:val="0"/>
                <w:sz w:val="18"/>
              </w:rPr>
              <w:t>智能养老硬件</w:t>
            </w:r>
          </w:p>
        </w:tc>
      </w:tr>
      <w:tr>
        <w:tc>
          <w:tcPr>
            <w:tcW w:type="dxa" w:w="1247"/>
            <w:shd w:fill="D6E4F0"/>
          </w:tcPr>
          <w:p>
            <w:pPr>
              <w:jc w:val="left"/>
            </w:pPr>
            <w:r>
              <w:rPr>
                <w:rFonts w:ascii="微软雅黑" w:hAnsi="微软雅黑" w:eastAsia="微软雅黑"/>
                <w:b/>
                <w:sz w:val="18"/>
              </w:rPr>
              <w:t>卡本医疗</w:t>
            </w:r>
          </w:p>
        </w:tc>
        <w:tc>
          <w:tcPr>
            <w:tcW w:type="dxa" w:w="1134"/>
            <w:shd w:fill="D6E4F0"/>
          </w:tcPr>
          <w:p>
            <w:pPr>
              <w:jc w:val="center"/>
            </w:pPr>
            <w:r>
              <w:rPr>
                <w:rFonts w:ascii="微软雅黑" w:hAnsi="微软雅黑" w:eastAsia="微软雅黑"/>
                <w:b w:val="0"/>
                <w:sz w:val="18"/>
              </w:rPr>
              <w:t>A轮</w:t>
            </w:r>
          </w:p>
        </w:tc>
        <w:tc>
          <w:tcPr>
            <w:tcW w:type="dxa" w:w="1417"/>
            <w:shd w:fill="D6E4F0"/>
          </w:tcPr>
          <w:p>
            <w:pPr>
              <w:jc w:val="center"/>
            </w:pPr>
            <w:r>
              <w:rPr>
                <w:rFonts w:ascii="微软雅黑" w:hAnsi="微软雅黑" w:eastAsia="微软雅黑"/>
                <w:b w:val="0"/>
                <w:sz w:val="18"/>
              </w:rPr>
              <w:t>5,000</w:t>
            </w:r>
          </w:p>
        </w:tc>
        <w:tc>
          <w:tcPr>
            <w:tcW w:type="dxa" w:w="1417"/>
            <w:shd w:fill="D6E4F0"/>
          </w:tcPr>
          <w:p>
            <w:pPr>
              <w:jc w:val="center"/>
            </w:pPr>
            <w:r>
              <w:rPr>
                <w:rFonts w:ascii="微软雅黑" w:hAnsi="微软雅黑" w:eastAsia="微软雅黑"/>
                <w:b w:val="0"/>
                <w:sz w:val="18"/>
              </w:rPr>
              <w:t>4.0</w:t>
            </w:r>
          </w:p>
        </w:tc>
        <w:tc>
          <w:tcPr>
            <w:tcW w:type="dxa" w:w="1134"/>
            <w:shd w:fill="D6E4F0"/>
          </w:tcPr>
          <w:p>
            <w:pPr>
              <w:jc w:val="center"/>
            </w:pPr>
            <w:r>
              <w:rPr>
                <w:rFonts w:ascii="微软雅黑" w:hAnsi="微软雅黑" w:eastAsia="微软雅黑"/>
                <w:b w:val="0"/>
                <w:sz w:val="18"/>
              </w:rPr>
              <w:t>2025</w:t>
            </w:r>
          </w:p>
        </w:tc>
        <w:tc>
          <w:tcPr>
            <w:tcW w:type="dxa" w:w="2551"/>
            <w:shd w:fill="D6E4F0"/>
          </w:tcPr>
          <w:p>
            <w:pPr>
              <w:jc w:val="center"/>
            </w:pPr>
            <w:r>
              <w:rPr>
                <w:rFonts w:ascii="微软雅黑" w:hAnsi="微软雅黑" w:eastAsia="微软雅黑"/>
                <w:b w:val="0"/>
                <w:sz w:val="18"/>
              </w:rPr>
              <w:t>AI医疗设备</w:t>
            </w:r>
          </w:p>
        </w:tc>
      </w:tr>
      <w:tr>
        <w:tc>
          <w:tcPr>
            <w:tcW w:type="dxa" w:w="1247"/>
          </w:tcPr>
          <w:p>
            <w:pPr>
              <w:jc w:val="left"/>
            </w:pPr>
            <w:r>
              <w:rPr>
                <w:rFonts w:ascii="微软雅黑" w:hAnsi="微软雅黑" w:eastAsia="微软雅黑"/>
                <w:b/>
                <w:sz w:val="18"/>
              </w:rPr>
              <w:t>小橙长护</w:t>
            </w:r>
          </w:p>
        </w:tc>
        <w:tc>
          <w:tcPr>
            <w:tcW w:type="dxa" w:w="1134"/>
          </w:tcPr>
          <w:p>
            <w:pPr>
              <w:jc w:val="center"/>
            </w:pPr>
            <w:r>
              <w:rPr>
                <w:rFonts w:ascii="微软雅黑" w:hAnsi="微软雅黑" w:eastAsia="微软雅黑"/>
                <w:b w:val="0"/>
                <w:sz w:val="18"/>
              </w:rPr>
              <w:t>天使轮</w:t>
            </w:r>
          </w:p>
        </w:tc>
        <w:tc>
          <w:tcPr>
            <w:tcW w:type="dxa" w:w="1417"/>
          </w:tcPr>
          <w:p>
            <w:pPr>
              <w:jc w:val="center"/>
            </w:pPr>
            <w:r>
              <w:rPr>
                <w:rFonts w:ascii="微软雅黑" w:hAnsi="微软雅黑" w:eastAsia="微软雅黑"/>
                <w:b w:val="0"/>
                <w:sz w:val="18"/>
              </w:rPr>
              <w:t>1,000</w:t>
            </w:r>
          </w:p>
        </w:tc>
        <w:tc>
          <w:tcPr>
            <w:tcW w:type="dxa" w:w="1417"/>
          </w:tcPr>
          <w:p>
            <w:pPr>
              <w:jc w:val="center"/>
            </w:pPr>
            <w:r>
              <w:rPr>
                <w:rFonts w:ascii="微软雅黑" w:hAnsi="微软雅黑" w:eastAsia="微软雅黑"/>
                <w:b w:val="0"/>
                <w:sz w:val="18"/>
              </w:rPr>
              <w:t>0.8</w:t>
            </w:r>
          </w:p>
        </w:tc>
        <w:tc>
          <w:tcPr>
            <w:tcW w:type="dxa" w:w="1134"/>
          </w:tcPr>
          <w:p>
            <w:pPr>
              <w:jc w:val="center"/>
            </w:pPr>
            <w:r>
              <w:rPr>
                <w:rFonts w:ascii="微软雅黑" w:hAnsi="微软雅黑" w:eastAsia="微软雅黑"/>
                <w:b w:val="0"/>
                <w:sz w:val="18"/>
              </w:rPr>
              <w:t>2024</w:t>
            </w:r>
          </w:p>
        </w:tc>
        <w:tc>
          <w:tcPr>
            <w:tcW w:type="dxa" w:w="2551"/>
          </w:tcPr>
          <w:p>
            <w:pPr>
              <w:jc w:val="center"/>
            </w:pPr>
            <w:r>
              <w:rPr>
                <w:rFonts w:ascii="微软雅黑" w:hAnsi="微软雅黑" w:eastAsia="微软雅黑"/>
                <w:b w:val="0"/>
                <w:sz w:val="18"/>
              </w:rPr>
              <w:t>居家养老服务</w:t>
            </w:r>
          </w:p>
        </w:tc>
      </w:tr>
      <w:tr>
        <w:tc>
          <w:tcPr>
            <w:tcW w:type="dxa" w:w="1247"/>
            <w:shd w:fill="D6E4F0"/>
          </w:tcPr>
          <w:p>
            <w:pPr>
              <w:jc w:val="left"/>
            </w:pPr>
            <w:r>
              <w:rPr>
                <w:rFonts w:ascii="微软雅黑" w:hAnsi="微软雅黑" w:eastAsia="微软雅黑"/>
                <w:b/>
                <w:sz w:val="18"/>
              </w:rPr>
              <w:t>福寿康</w:t>
            </w:r>
          </w:p>
        </w:tc>
        <w:tc>
          <w:tcPr>
            <w:tcW w:type="dxa" w:w="1134"/>
            <w:shd w:fill="D6E4F0"/>
          </w:tcPr>
          <w:p>
            <w:pPr>
              <w:jc w:val="center"/>
            </w:pPr>
            <w:r>
              <w:rPr>
                <w:rFonts w:ascii="微软雅黑" w:hAnsi="微软雅黑" w:eastAsia="微软雅黑"/>
                <w:b w:val="0"/>
                <w:sz w:val="18"/>
              </w:rPr>
              <w:t>Pre-A轮</w:t>
            </w:r>
          </w:p>
        </w:tc>
        <w:tc>
          <w:tcPr>
            <w:tcW w:type="dxa" w:w="1417"/>
            <w:shd w:fill="D6E4F0"/>
          </w:tcPr>
          <w:p>
            <w:pPr>
              <w:jc w:val="center"/>
            </w:pPr>
            <w:r>
              <w:rPr>
                <w:rFonts w:ascii="微软雅黑" w:hAnsi="微软雅黑" w:eastAsia="微软雅黑"/>
                <w:b w:val="0"/>
                <w:sz w:val="18"/>
              </w:rPr>
              <w:t>2,000</w:t>
            </w:r>
          </w:p>
        </w:tc>
        <w:tc>
          <w:tcPr>
            <w:tcW w:type="dxa" w:w="1417"/>
            <w:shd w:fill="D6E4F0"/>
          </w:tcPr>
          <w:p>
            <w:pPr>
              <w:jc w:val="center"/>
            </w:pPr>
            <w:r>
              <w:rPr>
                <w:rFonts w:ascii="微软雅黑" w:hAnsi="微软雅黑" w:eastAsia="微软雅黑"/>
                <w:b w:val="0"/>
                <w:sz w:val="18"/>
              </w:rPr>
              <w:t>1.8</w:t>
            </w:r>
          </w:p>
        </w:tc>
        <w:tc>
          <w:tcPr>
            <w:tcW w:type="dxa" w:w="1134"/>
            <w:shd w:fill="D6E4F0"/>
          </w:tcPr>
          <w:p>
            <w:pPr>
              <w:jc w:val="center"/>
            </w:pPr>
            <w:r>
              <w:rPr>
                <w:rFonts w:ascii="微软雅黑" w:hAnsi="微软雅黑" w:eastAsia="微软雅黑"/>
                <w:b w:val="0"/>
                <w:sz w:val="18"/>
              </w:rPr>
              <w:t>2024</w:t>
            </w:r>
          </w:p>
        </w:tc>
        <w:tc>
          <w:tcPr>
            <w:tcW w:type="dxa" w:w="2551"/>
            <w:shd w:fill="D6E4F0"/>
          </w:tcPr>
          <w:p>
            <w:pPr>
              <w:jc w:val="center"/>
            </w:pPr>
            <w:r>
              <w:rPr>
                <w:rFonts w:ascii="微软雅黑" w:hAnsi="微软雅黑" w:eastAsia="微软雅黑"/>
                <w:b w:val="0"/>
                <w:sz w:val="18"/>
              </w:rPr>
              <w:t>智慧养老平台</w:t>
            </w:r>
          </w:p>
        </w:tc>
      </w:tr>
      <w:tr>
        <w:tc>
          <w:tcPr>
            <w:tcW w:type="dxa" w:w="1247"/>
          </w:tcPr>
          <w:p>
            <w:pPr>
              <w:jc w:val="left"/>
            </w:pPr>
            <w:r>
              <w:rPr>
                <w:rFonts w:ascii="微软雅黑" w:hAnsi="微软雅黑" w:eastAsia="微软雅黑"/>
                <w:b/>
                <w:sz w:val="18"/>
              </w:rPr>
              <w:t>智康科技</w:t>
            </w:r>
          </w:p>
        </w:tc>
        <w:tc>
          <w:tcPr>
            <w:tcW w:type="dxa" w:w="1134"/>
          </w:tcPr>
          <w:p>
            <w:pPr>
              <w:jc w:val="center"/>
            </w:pPr>
            <w:r>
              <w:rPr>
                <w:rFonts w:ascii="微软雅黑" w:hAnsi="微软雅黑" w:eastAsia="微软雅黑"/>
                <w:b w:val="0"/>
                <w:sz w:val="18"/>
              </w:rPr>
              <w:t>天使轮</w:t>
            </w:r>
          </w:p>
        </w:tc>
        <w:tc>
          <w:tcPr>
            <w:tcW w:type="dxa" w:w="1417"/>
          </w:tcPr>
          <w:p>
            <w:pPr>
              <w:jc w:val="center"/>
            </w:pPr>
            <w:r>
              <w:rPr>
                <w:rFonts w:ascii="微软雅黑" w:hAnsi="微软雅黑" w:eastAsia="微软雅黑"/>
                <w:b w:val="0"/>
                <w:sz w:val="18"/>
              </w:rPr>
              <w:t>800</w:t>
            </w:r>
          </w:p>
        </w:tc>
        <w:tc>
          <w:tcPr>
            <w:tcW w:type="dxa" w:w="1417"/>
          </w:tcPr>
          <w:p>
            <w:pPr>
              <w:jc w:val="center"/>
            </w:pPr>
            <w:r>
              <w:rPr>
                <w:rFonts w:ascii="微软雅黑" w:hAnsi="微软雅黑" w:eastAsia="微软雅黑"/>
                <w:b w:val="0"/>
                <w:sz w:val="18"/>
              </w:rPr>
              <w:t>0.6</w:t>
            </w:r>
          </w:p>
        </w:tc>
        <w:tc>
          <w:tcPr>
            <w:tcW w:type="dxa" w:w="1134"/>
          </w:tcPr>
          <w:p>
            <w:pPr>
              <w:jc w:val="center"/>
            </w:pPr>
            <w:r>
              <w:rPr>
                <w:rFonts w:ascii="微软雅黑" w:hAnsi="微软雅黑" w:eastAsia="微软雅黑"/>
                <w:b w:val="0"/>
                <w:sz w:val="18"/>
              </w:rPr>
              <w:t>2025</w:t>
            </w:r>
          </w:p>
        </w:tc>
        <w:tc>
          <w:tcPr>
            <w:tcW w:type="dxa" w:w="2551"/>
          </w:tcPr>
          <w:p>
            <w:pPr>
              <w:jc w:val="center"/>
            </w:pPr>
            <w:r>
              <w:rPr>
                <w:rFonts w:ascii="微软雅黑" w:hAnsi="微软雅黑" w:eastAsia="微软雅黑"/>
                <w:b w:val="0"/>
                <w:sz w:val="18"/>
              </w:rPr>
              <w:t>AI健康监测</w:t>
            </w:r>
          </w:p>
        </w:tc>
      </w:tr>
    </w:tbl>
    <w:p/>
    <w:p>
      <w:pPr>
        <w:jc w:val="center"/>
      </w:pPr>
      <w:r>
        <w:drawing>
          <wp:inline xmlns:a="http://schemas.openxmlformats.org/drawingml/2006/main" xmlns:pic="http://schemas.openxmlformats.org/drawingml/2006/picture">
            <wp:extent cx="5029200" cy="3119562"/>
            <wp:docPr id="9" name="Picture 9"/>
            <wp:cNvGraphicFramePr>
              <a:graphicFrameLocks noChangeAspect="1"/>
            </wp:cNvGraphicFramePr>
            <a:graphic>
              <a:graphicData uri="http://schemas.openxmlformats.org/drawingml/2006/picture">
                <pic:pic>
                  <pic:nvPicPr>
                    <pic:cNvPr id="0" name="chart04_comparable_financing.png"/>
                    <pic:cNvPicPr/>
                  </pic:nvPicPr>
                  <pic:blipFill>
                    <a:blip r:embed="rId17"/>
                    <a:stretch>
                      <a:fillRect/>
                    </a:stretch>
                  </pic:blipFill>
                  <pic:spPr>
                    <a:xfrm>
                      <a:off x="0" y="0"/>
                      <a:ext cx="5029200" cy="3119562"/>
                    </a:xfrm>
                    <a:prstGeom prst="rect"/>
                  </pic:spPr>
                </pic:pic>
              </a:graphicData>
            </a:graphic>
          </wp:inline>
        </w:drawing>
      </w:r>
    </w:p>
    <w:p>
      <w:pPr>
        <w:jc w:val="center"/>
      </w:pPr>
      <w:r>
        <w:rPr>
          <w:rFonts w:ascii="微软雅黑" w:hAnsi="微软雅黑" w:eastAsia="微软雅黑"/>
          <w:b/>
          <w:color w:val="646464"/>
          <w:sz w:val="18"/>
        </w:rPr>
        <w:t>图9：可比天使轮/Pre-A融资案例对比</w:t>
      </w:r>
    </w:p>
    <w:p>
      <w:pPr>
        <w:spacing w:line="360" w:lineRule="auto" w:after="120"/>
        <w:ind w:firstLine="420"/>
      </w:pPr>
      <w:r>
        <w:rPr>
          <w:rFonts w:ascii="微软雅黑" w:hAnsi="微软雅黑" w:eastAsia="微软雅黑"/>
          <w:b w:val="0"/>
          <w:sz w:val="22"/>
        </w:rPr>
        <w:t>5个可比案例融资金额区间800万-5,000万元，中位数2,000万元；投后估值区间0.6亿-4.0亿元，中位数1.80亿元。岁锦科技1,500万融资/1.50亿估值处于可比区间的中等偏低水平（融资金额低于中位数，估值也低于中位数）。考虑岁锦科技拥有更完整的AI产品矩阵（4条产品线 vs 竞品通常1-2条）和更加多元化的商业模式（硬件+ SaaS+增值服务），当前估值具有一定合理性和上行空间。</w:t>
      </w:r>
    </w:p>
    <w:p>
      <w:pPr>
        <w:pStyle w:val="Heading2"/>
      </w:pPr>
      <w:r>
        <w:rPr>
          <w:rFonts w:ascii="微软雅黑" w:hAnsi="微软雅黑" w:eastAsia="微软雅黑"/>
        </w:rPr>
        <w:t>5.5 可比上市公司PS倍数参考</w:t>
      </w:r>
    </w:p>
    <w:p>
      <w:pPr>
        <w:spacing w:line="360" w:lineRule="auto" w:after="120"/>
        <w:ind w:firstLine="420"/>
      </w:pPr>
      <w:r>
        <w:rPr>
          <w:rFonts w:ascii="微软雅黑" w:hAnsi="微软雅黑" w:eastAsia="微软雅黑"/>
          <w:b w:val="0"/>
          <w:sz w:val="22"/>
        </w:rPr>
        <w:t>选取A股和港股上市的医疗健康设备和AI公司作为PS倍数参考。需要注意，这些上市公司处于成熟期，在规模、盈利能力、流动性和品牌认知度方面与天使轮公司存在本质差异。上市公司的PS倍数仅作为退出时估值倍数的上限参考，需对天使轮公司施加显著折价。</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134"/>
            <w:shd w:fill="1F4E79"/>
          </w:tcPr>
          <w:p>
            <w:pPr>
              <w:jc w:val="center"/>
            </w:pPr>
            <w:r>
              <w:rPr>
                <w:rFonts w:ascii="微软雅黑" w:hAnsi="微软雅黑" w:eastAsia="微软雅黑"/>
                <w:b/>
                <w:color w:val="FFFFFF"/>
                <w:sz w:val="18"/>
              </w:rPr>
              <w:t>公司</w:t>
            </w:r>
          </w:p>
        </w:tc>
        <w:tc>
          <w:tcPr>
            <w:tcW w:type="dxa" w:w="1134"/>
            <w:shd w:fill="1F4E79"/>
          </w:tcPr>
          <w:p>
            <w:pPr>
              <w:jc w:val="center"/>
            </w:pPr>
            <w:r>
              <w:rPr>
                <w:rFonts w:ascii="微软雅黑" w:hAnsi="微软雅黑" w:eastAsia="微软雅黑"/>
                <w:b/>
                <w:color w:val="FFFFFF"/>
                <w:sz w:val="18"/>
              </w:rPr>
              <w:t>代码</w:t>
            </w:r>
          </w:p>
        </w:tc>
        <w:tc>
          <w:tcPr>
            <w:tcW w:type="dxa" w:w="1134"/>
            <w:shd w:fill="1F4E79"/>
          </w:tcPr>
          <w:p>
            <w:pPr>
              <w:jc w:val="center"/>
            </w:pPr>
            <w:r>
              <w:rPr>
                <w:rFonts w:ascii="微软雅黑" w:hAnsi="微软雅黑" w:eastAsia="微软雅黑"/>
                <w:b/>
                <w:color w:val="FFFFFF"/>
                <w:sz w:val="18"/>
              </w:rPr>
              <w:t>PS（TTM）</w:t>
            </w:r>
          </w:p>
        </w:tc>
        <w:tc>
          <w:tcPr>
            <w:tcW w:type="dxa" w:w="1134"/>
            <w:shd w:fill="1F4E79"/>
          </w:tcPr>
          <w:p>
            <w:pPr>
              <w:jc w:val="center"/>
            </w:pPr>
            <w:r>
              <w:rPr>
                <w:rFonts w:ascii="微软雅黑" w:hAnsi="微软雅黑" w:eastAsia="微软雅黑"/>
                <w:b/>
                <w:color w:val="FFFFFF"/>
                <w:sz w:val="18"/>
              </w:rPr>
              <w:t>PE（TTM）</w:t>
            </w:r>
          </w:p>
        </w:tc>
        <w:tc>
          <w:tcPr>
            <w:tcW w:type="dxa" w:w="850"/>
            <w:shd w:fill="1F4E79"/>
          </w:tcPr>
          <w:p>
            <w:pPr>
              <w:jc w:val="center"/>
            </w:pPr>
            <w:r>
              <w:rPr>
                <w:rFonts w:ascii="微软雅黑" w:hAnsi="微软雅黑" w:eastAsia="微软雅黑"/>
                <w:b/>
                <w:color w:val="FFFFFF"/>
                <w:sz w:val="18"/>
              </w:rPr>
              <w:t>毛利率</w:t>
            </w:r>
          </w:p>
        </w:tc>
        <w:tc>
          <w:tcPr>
            <w:tcW w:type="dxa" w:w="1134"/>
            <w:shd w:fill="1F4E79"/>
          </w:tcPr>
          <w:p>
            <w:pPr>
              <w:jc w:val="center"/>
            </w:pPr>
            <w:r>
              <w:rPr>
                <w:rFonts w:ascii="微软雅黑" w:hAnsi="微软雅黑" w:eastAsia="微软雅黑"/>
                <w:b/>
                <w:color w:val="FFFFFF"/>
                <w:sz w:val="18"/>
              </w:rPr>
              <w:t>研发费用率</w:t>
            </w:r>
          </w:p>
        </w:tc>
        <w:tc>
          <w:tcPr>
            <w:tcW w:type="dxa" w:w="2268"/>
            <w:shd w:fill="1F4E79"/>
          </w:tcPr>
          <w:p>
            <w:pPr>
              <w:jc w:val="center"/>
            </w:pPr>
            <w:r>
              <w:rPr>
                <w:rFonts w:ascii="微软雅黑" w:hAnsi="微软雅黑" w:eastAsia="微软雅黑"/>
                <w:b/>
                <w:color w:val="FFFFFF"/>
                <w:sz w:val="18"/>
              </w:rPr>
              <w:t>备注</w:t>
            </w:r>
          </w:p>
        </w:tc>
      </w:tr>
      <w:tr>
        <w:tc>
          <w:tcPr>
            <w:tcW w:type="dxa" w:w="1134"/>
          </w:tcPr>
          <w:p>
            <w:pPr>
              <w:jc w:val="left"/>
            </w:pPr>
            <w:r>
              <w:rPr>
                <w:rFonts w:ascii="微软雅黑" w:hAnsi="微软雅黑" w:eastAsia="微软雅黑"/>
                <w:b/>
                <w:sz w:val="18"/>
              </w:rPr>
              <w:t>鱼跃医疗</w:t>
            </w:r>
          </w:p>
        </w:tc>
        <w:tc>
          <w:tcPr>
            <w:tcW w:type="dxa" w:w="1134"/>
          </w:tcPr>
          <w:p>
            <w:pPr>
              <w:jc w:val="center"/>
            </w:pPr>
            <w:r>
              <w:rPr>
                <w:rFonts w:ascii="微软雅黑" w:hAnsi="微软雅黑" w:eastAsia="微软雅黑"/>
                <w:b w:val="0"/>
                <w:sz w:val="18"/>
              </w:rPr>
              <w:t>002223.SZ</w:t>
            </w:r>
          </w:p>
        </w:tc>
        <w:tc>
          <w:tcPr>
            <w:tcW w:type="dxa" w:w="1134"/>
          </w:tcPr>
          <w:p>
            <w:pPr>
              <w:jc w:val="center"/>
            </w:pPr>
            <w:r>
              <w:rPr>
                <w:rFonts w:ascii="微软雅黑" w:hAnsi="微软雅黑" w:eastAsia="微软雅黑"/>
                <w:b w:val="0"/>
                <w:sz w:val="18"/>
              </w:rPr>
              <w:t>3.5x</w:t>
            </w:r>
          </w:p>
        </w:tc>
        <w:tc>
          <w:tcPr>
            <w:tcW w:type="dxa" w:w="1134"/>
          </w:tcPr>
          <w:p>
            <w:pPr>
              <w:jc w:val="center"/>
            </w:pPr>
            <w:r>
              <w:rPr>
                <w:rFonts w:ascii="微软雅黑" w:hAnsi="微软雅黑" w:eastAsia="微软雅黑"/>
                <w:b w:val="0"/>
                <w:sz w:val="18"/>
              </w:rPr>
              <w:t>22x</w:t>
            </w:r>
          </w:p>
        </w:tc>
        <w:tc>
          <w:tcPr>
            <w:tcW w:type="dxa" w:w="850"/>
          </w:tcPr>
          <w:p>
            <w:pPr>
              <w:jc w:val="center"/>
            </w:pPr>
            <w:r>
              <w:rPr>
                <w:rFonts w:ascii="微软雅黑" w:hAnsi="微软雅黑" w:eastAsia="微软雅黑"/>
                <w:b w:val="0"/>
                <w:sz w:val="18"/>
              </w:rPr>
              <w:t>52%</w:t>
            </w:r>
          </w:p>
        </w:tc>
        <w:tc>
          <w:tcPr>
            <w:tcW w:type="dxa" w:w="1134"/>
          </w:tcPr>
          <w:p>
            <w:pPr>
              <w:jc w:val="center"/>
            </w:pPr>
            <w:r>
              <w:rPr>
                <w:rFonts w:ascii="微软雅黑" w:hAnsi="微软雅黑" w:eastAsia="微软雅黑"/>
                <w:b w:val="0"/>
                <w:sz w:val="18"/>
              </w:rPr>
              <w:t>15%</w:t>
            </w:r>
          </w:p>
        </w:tc>
        <w:tc>
          <w:tcPr>
            <w:tcW w:type="dxa" w:w="2268"/>
          </w:tcPr>
          <w:p>
            <w:pPr>
              <w:jc w:val="center"/>
            </w:pPr>
            <w:r>
              <w:rPr>
                <w:rFonts w:ascii="微软雅黑" w:hAnsi="微软雅黑" w:eastAsia="微软雅黑"/>
                <w:b w:val="0"/>
                <w:sz w:val="18"/>
              </w:rPr>
              <w:t>家用医疗器械龙头</w:t>
            </w:r>
          </w:p>
        </w:tc>
      </w:tr>
      <w:tr>
        <w:tc>
          <w:tcPr>
            <w:tcW w:type="dxa" w:w="1134"/>
            <w:shd w:fill="D6E4F0"/>
          </w:tcPr>
          <w:p>
            <w:pPr>
              <w:jc w:val="left"/>
            </w:pPr>
            <w:r>
              <w:rPr>
                <w:rFonts w:ascii="微软雅黑" w:hAnsi="微软雅黑" w:eastAsia="微软雅黑"/>
                <w:b/>
                <w:sz w:val="18"/>
              </w:rPr>
              <w:t>乐普医疗</w:t>
            </w:r>
          </w:p>
        </w:tc>
        <w:tc>
          <w:tcPr>
            <w:tcW w:type="dxa" w:w="1134"/>
            <w:shd w:fill="D6E4F0"/>
          </w:tcPr>
          <w:p>
            <w:pPr>
              <w:jc w:val="center"/>
            </w:pPr>
            <w:r>
              <w:rPr>
                <w:rFonts w:ascii="微软雅黑" w:hAnsi="微软雅黑" w:eastAsia="微软雅黑"/>
                <w:b w:val="0"/>
                <w:sz w:val="18"/>
              </w:rPr>
              <w:t>300003.SZ</w:t>
            </w:r>
          </w:p>
        </w:tc>
        <w:tc>
          <w:tcPr>
            <w:tcW w:type="dxa" w:w="1134"/>
            <w:shd w:fill="D6E4F0"/>
          </w:tcPr>
          <w:p>
            <w:pPr>
              <w:jc w:val="center"/>
            </w:pPr>
            <w:r>
              <w:rPr>
                <w:rFonts w:ascii="微软雅黑" w:hAnsi="微软雅黑" w:eastAsia="微软雅黑"/>
                <w:b w:val="0"/>
                <w:sz w:val="18"/>
              </w:rPr>
              <w:t>4.2x</w:t>
            </w:r>
          </w:p>
        </w:tc>
        <w:tc>
          <w:tcPr>
            <w:tcW w:type="dxa" w:w="1134"/>
            <w:shd w:fill="D6E4F0"/>
          </w:tcPr>
          <w:p>
            <w:pPr>
              <w:jc w:val="center"/>
            </w:pPr>
            <w:r>
              <w:rPr>
                <w:rFonts w:ascii="微软雅黑" w:hAnsi="微软雅黑" w:eastAsia="微软雅黑"/>
                <w:b w:val="0"/>
                <w:sz w:val="18"/>
              </w:rPr>
              <w:t>28x</w:t>
            </w:r>
          </w:p>
        </w:tc>
        <w:tc>
          <w:tcPr>
            <w:tcW w:type="dxa" w:w="850"/>
            <w:shd w:fill="D6E4F0"/>
          </w:tcPr>
          <w:p>
            <w:pPr>
              <w:jc w:val="center"/>
            </w:pPr>
            <w:r>
              <w:rPr>
                <w:rFonts w:ascii="微软雅黑" w:hAnsi="微软雅黑" w:eastAsia="微软雅黑"/>
                <w:b w:val="0"/>
                <w:sz w:val="18"/>
              </w:rPr>
              <w:t>58%</w:t>
            </w:r>
          </w:p>
        </w:tc>
        <w:tc>
          <w:tcPr>
            <w:tcW w:type="dxa" w:w="1134"/>
            <w:shd w:fill="D6E4F0"/>
          </w:tcPr>
          <w:p>
            <w:pPr>
              <w:jc w:val="center"/>
            </w:pPr>
            <w:r>
              <w:rPr>
                <w:rFonts w:ascii="微软雅黑" w:hAnsi="微软雅黑" w:eastAsia="微软雅黑"/>
                <w:b w:val="0"/>
                <w:sz w:val="18"/>
              </w:rPr>
              <w:t>12%</w:t>
            </w:r>
          </w:p>
        </w:tc>
        <w:tc>
          <w:tcPr>
            <w:tcW w:type="dxa" w:w="2268"/>
            <w:shd w:fill="D6E4F0"/>
          </w:tcPr>
          <w:p>
            <w:pPr>
              <w:jc w:val="center"/>
            </w:pPr>
            <w:r>
              <w:rPr>
                <w:rFonts w:ascii="微软雅黑" w:hAnsi="微软雅黑" w:eastAsia="微软雅黑"/>
                <w:b w:val="0"/>
                <w:sz w:val="18"/>
              </w:rPr>
              <w:t>心血管器械+AI</w:t>
            </w:r>
          </w:p>
        </w:tc>
      </w:tr>
      <w:tr>
        <w:tc>
          <w:tcPr>
            <w:tcW w:type="dxa" w:w="1134"/>
          </w:tcPr>
          <w:p>
            <w:pPr>
              <w:jc w:val="left"/>
            </w:pPr>
            <w:r>
              <w:rPr>
                <w:rFonts w:ascii="微软雅黑" w:hAnsi="微软雅黑" w:eastAsia="微软雅黑"/>
                <w:b/>
                <w:sz w:val="18"/>
              </w:rPr>
              <w:t>九安医疗</w:t>
            </w:r>
          </w:p>
        </w:tc>
        <w:tc>
          <w:tcPr>
            <w:tcW w:type="dxa" w:w="1134"/>
          </w:tcPr>
          <w:p>
            <w:pPr>
              <w:jc w:val="center"/>
            </w:pPr>
            <w:r>
              <w:rPr>
                <w:rFonts w:ascii="微软雅黑" w:hAnsi="微软雅黑" w:eastAsia="微软雅黑"/>
                <w:b w:val="0"/>
                <w:sz w:val="18"/>
              </w:rPr>
              <w:t>002432.SZ</w:t>
            </w:r>
          </w:p>
        </w:tc>
        <w:tc>
          <w:tcPr>
            <w:tcW w:type="dxa" w:w="1134"/>
          </w:tcPr>
          <w:p>
            <w:pPr>
              <w:jc w:val="center"/>
            </w:pPr>
            <w:r>
              <w:rPr>
                <w:rFonts w:ascii="微软雅黑" w:hAnsi="微软雅黑" w:eastAsia="微软雅黑"/>
                <w:b w:val="0"/>
                <w:sz w:val="18"/>
              </w:rPr>
              <w:t>2.8x</w:t>
            </w:r>
          </w:p>
        </w:tc>
        <w:tc>
          <w:tcPr>
            <w:tcW w:type="dxa" w:w="1134"/>
          </w:tcPr>
          <w:p>
            <w:pPr>
              <w:jc w:val="center"/>
            </w:pPr>
            <w:r>
              <w:rPr>
                <w:rFonts w:ascii="微软雅黑" w:hAnsi="微软雅黑" w:eastAsia="微软雅黑"/>
                <w:b w:val="0"/>
                <w:sz w:val="18"/>
              </w:rPr>
              <w:t>18x</w:t>
            </w:r>
          </w:p>
        </w:tc>
        <w:tc>
          <w:tcPr>
            <w:tcW w:type="dxa" w:w="850"/>
          </w:tcPr>
          <w:p>
            <w:pPr>
              <w:jc w:val="center"/>
            </w:pPr>
            <w:r>
              <w:rPr>
                <w:rFonts w:ascii="微软雅黑" w:hAnsi="微软雅黑" w:eastAsia="微软雅黑"/>
                <w:b w:val="0"/>
                <w:sz w:val="18"/>
              </w:rPr>
              <w:t>35%</w:t>
            </w:r>
          </w:p>
        </w:tc>
        <w:tc>
          <w:tcPr>
            <w:tcW w:type="dxa" w:w="1134"/>
          </w:tcPr>
          <w:p>
            <w:pPr>
              <w:jc w:val="center"/>
            </w:pPr>
            <w:r>
              <w:rPr>
                <w:rFonts w:ascii="微软雅黑" w:hAnsi="微软雅黑" w:eastAsia="微软雅黑"/>
                <w:b w:val="0"/>
                <w:sz w:val="18"/>
              </w:rPr>
              <w:t>8%</w:t>
            </w:r>
          </w:p>
        </w:tc>
        <w:tc>
          <w:tcPr>
            <w:tcW w:type="dxa" w:w="2268"/>
          </w:tcPr>
          <w:p>
            <w:pPr>
              <w:jc w:val="center"/>
            </w:pPr>
            <w:r>
              <w:rPr>
                <w:rFonts w:ascii="微软雅黑" w:hAnsi="微软雅黑" w:eastAsia="微软雅黑"/>
                <w:b w:val="0"/>
                <w:sz w:val="18"/>
              </w:rPr>
              <w:t>健康监测硬件</w:t>
            </w:r>
          </w:p>
        </w:tc>
      </w:tr>
      <w:tr>
        <w:tc>
          <w:tcPr>
            <w:tcW w:type="dxa" w:w="1134"/>
            <w:shd w:fill="D6E4F0"/>
          </w:tcPr>
          <w:p>
            <w:pPr>
              <w:jc w:val="left"/>
            </w:pPr>
            <w:r>
              <w:rPr>
                <w:rFonts w:ascii="微软雅黑" w:hAnsi="微软雅黑" w:eastAsia="微软雅黑"/>
                <w:b/>
                <w:sz w:val="18"/>
              </w:rPr>
              <w:t>科大讯飞</w:t>
            </w:r>
          </w:p>
        </w:tc>
        <w:tc>
          <w:tcPr>
            <w:tcW w:type="dxa" w:w="1134"/>
            <w:shd w:fill="D6E4F0"/>
          </w:tcPr>
          <w:p>
            <w:pPr>
              <w:jc w:val="center"/>
            </w:pPr>
            <w:r>
              <w:rPr>
                <w:rFonts w:ascii="微软雅黑" w:hAnsi="微软雅黑" w:eastAsia="微软雅黑"/>
                <w:b w:val="0"/>
                <w:sz w:val="18"/>
              </w:rPr>
              <w:t>002230.SZ</w:t>
            </w:r>
          </w:p>
        </w:tc>
        <w:tc>
          <w:tcPr>
            <w:tcW w:type="dxa" w:w="1134"/>
            <w:shd w:fill="D6E4F0"/>
          </w:tcPr>
          <w:p>
            <w:pPr>
              <w:jc w:val="center"/>
            </w:pPr>
            <w:r>
              <w:rPr>
                <w:rFonts w:ascii="微软雅黑" w:hAnsi="微软雅黑" w:eastAsia="微软雅黑"/>
                <w:b w:val="0"/>
                <w:sz w:val="18"/>
              </w:rPr>
              <w:t>6.5x</w:t>
            </w:r>
          </w:p>
        </w:tc>
        <w:tc>
          <w:tcPr>
            <w:tcW w:type="dxa" w:w="1134"/>
            <w:shd w:fill="D6E4F0"/>
          </w:tcPr>
          <w:p>
            <w:pPr>
              <w:jc w:val="center"/>
            </w:pPr>
            <w:r>
              <w:rPr>
                <w:rFonts w:ascii="微软雅黑" w:hAnsi="微软雅黑" w:eastAsia="微软雅黑"/>
                <w:b w:val="0"/>
                <w:sz w:val="18"/>
              </w:rPr>
              <w:t>85x</w:t>
            </w:r>
          </w:p>
        </w:tc>
        <w:tc>
          <w:tcPr>
            <w:tcW w:type="dxa" w:w="850"/>
            <w:shd w:fill="D6E4F0"/>
          </w:tcPr>
          <w:p>
            <w:pPr>
              <w:jc w:val="center"/>
            </w:pPr>
            <w:r>
              <w:rPr>
                <w:rFonts w:ascii="微软雅黑" w:hAnsi="微软雅黑" w:eastAsia="微软雅黑"/>
                <w:b w:val="0"/>
                <w:sz w:val="18"/>
              </w:rPr>
              <w:t>42%</w:t>
            </w:r>
          </w:p>
        </w:tc>
        <w:tc>
          <w:tcPr>
            <w:tcW w:type="dxa" w:w="1134"/>
            <w:shd w:fill="D6E4F0"/>
          </w:tcPr>
          <w:p>
            <w:pPr>
              <w:jc w:val="center"/>
            </w:pPr>
            <w:r>
              <w:rPr>
                <w:rFonts w:ascii="微软雅黑" w:hAnsi="微软雅黑" w:eastAsia="微软雅黑"/>
                <w:b w:val="0"/>
                <w:sz w:val="18"/>
              </w:rPr>
              <w:t>25%</w:t>
            </w:r>
          </w:p>
        </w:tc>
        <w:tc>
          <w:tcPr>
            <w:tcW w:type="dxa" w:w="2268"/>
            <w:shd w:fill="D6E4F0"/>
          </w:tcPr>
          <w:p>
            <w:pPr>
              <w:jc w:val="center"/>
            </w:pPr>
            <w:r>
              <w:rPr>
                <w:rFonts w:ascii="微软雅黑" w:hAnsi="微软雅黑" w:eastAsia="微软雅黑"/>
                <w:b w:val="0"/>
                <w:sz w:val="18"/>
              </w:rPr>
              <w:t>AI平台+医疗AI</w:t>
            </w:r>
          </w:p>
        </w:tc>
      </w:tr>
      <w:tr>
        <w:tc>
          <w:tcPr>
            <w:tcW w:type="dxa" w:w="1134"/>
          </w:tcPr>
          <w:p>
            <w:pPr>
              <w:jc w:val="left"/>
            </w:pPr>
            <w:r>
              <w:rPr>
                <w:rFonts w:ascii="微软雅黑" w:hAnsi="微软雅黑" w:eastAsia="微软雅黑"/>
                <w:b/>
                <w:sz w:val="18"/>
              </w:rPr>
              <w:t>鹰瞳科技</w:t>
            </w:r>
          </w:p>
        </w:tc>
        <w:tc>
          <w:tcPr>
            <w:tcW w:type="dxa" w:w="1134"/>
          </w:tcPr>
          <w:p>
            <w:pPr>
              <w:jc w:val="center"/>
            </w:pPr>
            <w:r>
              <w:rPr>
                <w:rFonts w:ascii="微软雅黑" w:hAnsi="微软雅黑" w:eastAsia="微软雅黑"/>
                <w:b w:val="0"/>
                <w:sz w:val="18"/>
              </w:rPr>
              <w:t>2251.HK</w:t>
            </w:r>
          </w:p>
        </w:tc>
        <w:tc>
          <w:tcPr>
            <w:tcW w:type="dxa" w:w="1134"/>
          </w:tcPr>
          <w:p>
            <w:pPr>
              <w:jc w:val="center"/>
            </w:pPr>
            <w:r>
              <w:rPr>
                <w:rFonts w:ascii="微软雅黑" w:hAnsi="微软雅黑" w:eastAsia="微软雅黑"/>
                <w:b w:val="0"/>
                <w:sz w:val="18"/>
              </w:rPr>
              <w:t>8.0x</w:t>
            </w:r>
          </w:p>
        </w:tc>
        <w:tc>
          <w:tcPr>
            <w:tcW w:type="dxa" w:w="1134"/>
          </w:tcPr>
          <w:p>
            <w:pPr>
              <w:jc w:val="center"/>
            </w:pPr>
            <w:r>
              <w:rPr>
                <w:rFonts w:ascii="微软雅黑" w:hAnsi="微软雅黑" w:eastAsia="微软雅黑"/>
                <w:b w:val="0"/>
                <w:sz w:val="18"/>
              </w:rPr>
              <w:t>亏损</w:t>
            </w:r>
          </w:p>
        </w:tc>
        <w:tc>
          <w:tcPr>
            <w:tcW w:type="dxa" w:w="850"/>
          </w:tcPr>
          <w:p>
            <w:pPr>
              <w:jc w:val="center"/>
            </w:pPr>
            <w:r>
              <w:rPr>
                <w:rFonts w:ascii="微软雅黑" w:hAnsi="微软雅黑" w:eastAsia="微软雅黑"/>
                <w:b w:val="0"/>
                <w:sz w:val="18"/>
              </w:rPr>
              <w:t>60%</w:t>
            </w:r>
          </w:p>
        </w:tc>
        <w:tc>
          <w:tcPr>
            <w:tcW w:type="dxa" w:w="1134"/>
          </w:tcPr>
          <w:p>
            <w:pPr>
              <w:jc w:val="center"/>
            </w:pPr>
            <w:r>
              <w:rPr>
                <w:rFonts w:ascii="微软雅黑" w:hAnsi="微软雅黑" w:eastAsia="微软雅黑"/>
                <w:b w:val="0"/>
                <w:sz w:val="18"/>
              </w:rPr>
              <w:t>45%</w:t>
            </w:r>
          </w:p>
        </w:tc>
        <w:tc>
          <w:tcPr>
            <w:tcW w:type="dxa" w:w="2268"/>
          </w:tcPr>
          <w:p>
            <w:pPr>
              <w:jc w:val="center"/>
            </w:pPr>
            <w:r>
              <w:rPr>
                <w:rFonts w:ascii="微软雅黑" w:hAnsi="微软雅黑" w:eastAsia="微软雅黑"/>
                <w:b w:val="0"/>
                <w:sz w:val="18"/>
              </w:rPr>
              <w:t>AI视网膜诊断</w:t>
            </w:r>
          </w:p>
        </w:tc>
      </w:tr>
      <w:tr>
        <w:tc>
          <w:tcPr>
            <w:tcW w:type="dxa" w:w="1134"/>
            <w:shd w:fill="D6E4F0"/>
          </w:tcPr>
          <w:p>
            <w:pPr>
              <w:jc w:val="left"/>
            </w:pPr>
            <w:r>
              <w:rPr>
                <w:rFonts w:ascii="微软雅黑" w:hAnsi="微软雅黑" w:eastAsia="微软雅黑"/>
                <w:b/>
                <w:sz w:val="18"/>
              </w:rPr>
              <w:t>中位数</w:t>
            </w:r>
          </w:p>
        </w:tc>
        <w:tc>
          <w:tcPr>
            <w:tcW w:type="dxa" w:w="1134"/>
            <w:shd w:fill="D6E4F0"/>
          </w:tcPr>
          <w:p>
            <w:pPr>
              <w:jc w:val="center"/>
            </w:pPr>
            <w:r>
              <w:rPr>
                <w:rFonts w:ascii="微软雅黑" w:hAnsi="微软雅黑" w:eastAsia="微软雅黑"/>
                <w:b w:val="0"/>
                <w:sz w:val="18"/>
              </w:rPr>
              <w:t>-</w:t>
            </w:r>
          </w:p>
        </w:tc>
        <w:tc>
          <w:tcPr>
            <w:tcW w:type="dxa" w:w="1134"/>
            <w:shd w:fill="D6E4F0"/>
          </w:tcPr>
          <w:p>
            <w:pPr>
              <w:jc w:val="center"/>
            </w:pPr>
            <w:r>
              <w:rPr>
                <w:rFonts w:ascii="微软雅黑" w:hAnsi="微软雅黑" w:eastAsia="微软雅黑"/>
                <w:b w:val="0"/>
                <w:sz w:val="18"/>
              </w:rPr>
              <w:t>3.5x</w:t>
            </w:r>
          </w:p>
        </w:tc>
        <w:tc>
          <w:tcPr>
            <w:tcW w:type="dxa" w:w="1134"/>
            <w:shd w:fill="D6E4F0"/>
          </w:tcPr>
          <w:p>
            <w:pPr>
              <w:jc w:val="center"/>
            </w:pPr>
            <w:r>
              <w:rPr>
                <w:rFonts w:ascii="微软雅黑" w:hAnsi="微软雅黑" w:eastAsia="微软雅黑"/>
                <w:b w:val="0"/>
                <w:sz w:val="18"/>
              </w:rPr>
              <w:t>22x</w:t>
            </w:r>
          </w:p>
        </w:tc>
        <w:tc>
          <w:tcPr>
            <w:tcW w:type="dxa" w:w="850"/>
            <w:shd w:fill="D6E4F0"/>
          </w:tcPr>
          <w:p>
            <w:pPr>
              <w:jc w:val="center"/>
            </w:pPr>
            <w:r>
              <w:rPr>
                <w:rFonts w:ascii="微软雅黑" w:hAnsi="微软雅黑" w:eastAsia="微软雅黑"/>
                <w:b w:val="0"/>
                <w:sz w:val="18"/>
              </w:rPr>
              <w:t>52%</w:t>
            </w:r>
          </w:p>
        </w:tc>
        <w:tc>
          <w:tcPr>
            <w:tcW w:type="dxa" w:w="1134"/>
            <w:shd w:fill="D6E4F0"/>
          </w:tcPr>
          <w:p>
            <w:pPr>
              <w:jc w:val="center"/>
            </w:pPr>
            <w:r>
              <w:rPr>
                <w:rFonts w:ascii="微软雅黑" w:hAnsi="微软雅黑" w:eastAsia="微软雅黑"/>
                <w:b w:val="0"/>
                <w:sz w:val="18"/>
              </w:rPr>
              <w:t>15%</w:t>
            </w:r>
          </w:p>
        </w:tc>
        <w:tc>
          <w:tcPr>
            <w:tcW w:type="dxa" w:w="2268"/>
            <w:shd w:fill="D6E4F0"/>
          </w:tcPr>
          <w:p>
            <w:pPr>
              <w:jc w:val="center"/>
            </w:pPr>
            <w:r>
              <w:rPr>
                <w:rFonts w:ascii="微软雅黑" w:hAnsi="微软雅黑" w:eastAsia="微软雅黑"/>
                <w:b w:val="0"/>
                <w:sz w:val="18"/>
              </w:rPr>
              <w:t>-</w:t>
            </w:r>
          </w:p>
        </w:tc>
      </w:tr>
    </w:tbl>
    <w:p/>
    <w:p>
      <w:pPr>
        <w:jc w:val="center"/>
      </w:pPr>
      <w:r>
        <w:drawing>
          <wp:inline xmlns:a="http://schemas.openxmlformats.org/drawingml/2006/main" xmlns:pic="http://schemas.openxmlformats.org/drawingml/2006/picture">
            <wp:extent cx="5029200" cy="2883900"/>
            <wp:docPr id="10" name="Picture 10"/>
            <wp:cNvGraphicFramePr>
              <a:graphicFrameLocks noChangeAspect="1"/>
            </wp:cNvGraphicFramePr>
            <a:graphic>
              <a:graphicData uri="http://schemas.openxmlformats.org/drawingml/2006/picture">
                <pic:pic>
                  <pic:nvPicPr>
                    <pic:cNvPr id="0" name="chart07_comparable_ps.png"/>
                    <pic:cNvPicPr/>
                  </pic:nvPicPr>
                  <pic:blipFill>
                    <a:blip r:embed="rId18"/>
                    <a:stretch>
                      <a:fillRect/>
                    </a:stretch>
                  </pic:blipFill>
                  <pic:spPr>
                    <a:xfrm>
                      <a:off x="0" y="0"/>
                      <a:ext cx="5029200" cy="2883900"/>
                    </a:xfrm>
                    <a:prstGeom prst="rect"/>
                  </pic:spPr>
                </pic:pic>
              </a:graphicData>
            </a:graphic>
          </wp:inline>
        </w:drawing>
      </w:r>
    </w:p>
    <w:p>
      <w:pPr>
        <w:jc w:val="center"/>
      </w:pPr>
      <w:r>
        <w:rPr>
          <w:rFonts w:ascii="微软雅黑" w:hAnsi="微软雅黑" w:eastAsia="微软雅黑"/>
          <w:b/>
          <w:color w:val="646464"/>
          <w:sz w:val="18"/>
        </w:rPr>
        <w:t>图10：可比上市公司PS倍数对比</w:t>
      </w:r>
    </w:p>
    <w:p>
      <w:pPr>
        <w:spacing w:line="360" w:lineRule="auto" w:after="120"/>
        <w:ind w:firstLine="420"/>
      </w:pPr>
      <w:r>
        <w:rPr>
          <w:rFonts w:ascii="微软雅黑" w:hAnsi="微软雅黑" w:eastAsia="微软雅黑"/>
          <w:b w:val="0"/>
          <w:sz w:val="22"/>
        </w:rPr>
        <w:t>可比上市公司PS(TTM)区间2.8x-8.0x，中位数3.5x（剔除亏损的鹰瞳科技8.0x极端值后）。综合考虑天使轮公司的（1）规模折价（营收2,000万 vs 上市公司数十亿级），（2）流动性折价（非上市 vs 交易所可交易），（3）盈利性折价（尚未盈利 vs 稳定盈利），给予2027E营收（0.9亿）1.5x-2.5x PS倍数 → 隐含投后估值 1.35-2.25亿元。该方法提供的估值区间上限（2.25亿元）需要极为乐观的增长兑现。</w:t>
      </w:r>
    </w:p>
    <w:p>
      <w:pPr>
        <w:pStyle w:val="Heading2"/>
      </w:pPr>
      <w:r>
        <w:rPr>
          <w:rFonts w:ascii="微软雅黑" w:hAnsi="微软雅黑" w:eastAsia="微软雅黑"/>
        </w:rPr>
        <w:t>5.6 估值方法交叉验证与结论</w:t>
      </w:r>
    </w:p>
    <w:p>
      <w:pPr>
        <w:spacing w:line="360" w:lineRule="auto" w:after="120"/>
        <w:ind w:firstLine="420"/>
      </w:pPr>
      <w:r>
        <w:rPr>
          <w:rFonts w:ascii="微软雅黑" w:hAnsi="微软雅黑" w:eastAsia="微软雅黑"/>
          <w:b w:val="0"/>
          <w:sz w:val="22"/>
        </w:rPr>
        <w:t>四种估值方法形成良好的交叉验证：融资条款反推法（1.50亿）和VC Method概率加权（~1.50亿）在核心估值点上完全一致；可比天使轮融资（中位数1.80亿）和PS倍数法（1.35-2.25亿）提供的区间覆盖并验证了核心估值点的合理性。四种方法在1.35-1.80亿元区间有较好的收敛性。</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fill="1F4E79"/>
          </w:tcPr>
          <w:p>
            <w:pPr>
              <w:jc w:val="center"/>
            </w:pPr>
            <w:r>
              <w:rPr>
                <w:rFonts w:ascii="微软雅黑" w:hAnsi="微软雅黑" w:eastAsia="微软雅黑"/>
                <w:b/>
                <w:color w:val="FFFFFF"/>
                <w:sz w:val="18"/>
              </w:rPr>
              <w:t>估值方法</w:t>
            </w:r>
          </w:p>
        </w:tc>
        <w:tc>
          <w:tcPr>
            <w:tcW w:type="dxa" w:w="1417"/>
            <w:shd w:fill="1F4E79"/>
          </w:tcPr>
          <w:p>
            <w:pPr>
              <w:jc w:val="center"/>
            </w:pPr>
            <w:r>
              <w:rPr>
                <w:rFonts w:ascii="微软雅黑" w:hAnsi="微软雅黑" w:eastAsia="微软雅黑"/>
                <w:b/>
                <w:color w:val="FFFFFF"/>
                <w:sz w:val="18"/>
              </w:rPr>
              <w:t>投后估值低（亿元）</w:t>
            </w:r>
          </w:p>
        </w:tc>
        <w:tc>
          <w:tcPr>
            <w:tcW w:type="dxa" w:w="1417"/>
            <w:shd w:fill="1F4E79"/>
          </w:tcPr>
          <w:p>
            <w:pPr>
              <w:jc w:val="center"/>
            </w:pPr>
            <w:r>
              <w:rPr>
                <w:rFonts w:ascii="微软雅黑" w:hAnsi="微软雅黑" w:eastAsia="微软雅黑"/>
                <w:b/>
                <w:color w:val="FFFFFF"/>
                <w:sz w:val="18"/>
              </w:rPr>
              <w:t>投后估值中（亿元）</w:t>
            </w:r>
          </w:p>
        </w:tc>
        <w:tc>
          <w:tcPr>
            <w:tcW w:type="dxa" w:w="1417"/>
            <w:shd w:fill="1F4E79"/>
          </w:tcPr>
          <w:p>
            <w:pPr>
              <w:jc w:val="center"/>
            </w:pPr>
            <w:r>
              <w:rPr>
                <w:rFonts w:ascii="微软雅黑" w:hAnsi="微软雅黑" w:eastAsia="微软雅黑"/>
                <w:b/>
                <w:color w:val="FFFFFF"/>
                <w:sz w:val="18"/>
              </w:rPr>
              <w:t>投后估值高（亿元）</w:t>
            </w:r>
          </w:p>
        </w:tc>
        <w:tc>
          <w:tcPr>
            <w:tcW w:type="dxa" w:w="2835"/>
            <w:shd w:fill="1F4E79"/>
          </w:tcPr>
          <w:p>
            <w:pPr>
              <w:jc w:val="center"/>
            </w:pPr>
            <w:r>
              <w:rPr>
                <w:rFonts w:ascii="微软雅黑" w:hAnsi="微软雅黑" w:eastAsia="微软雅黑"/>
                <w:b/>
                <w:color w:val="FFFFFF"/>
                <w:sz w:val="18"/>
              </w:rPr>
              <w:t>方法说明</w:t>
            </w:r>
          </w:p>
        </w:tc>
      </w:tr>
      <w:tr>
        <w:tc>
          <w:tcPr>
            <w:tcW w:type="dxa" w:w="1984"/>
          </w:tcPr>
          <w:p>
            <w:pPr>
              <w:jc w:val="left"/>
            </w:pPr>
            <w:r>
              <w:rPr>
                <w:rFonts w:ascii="微软雅黑" w:hAnsi="微软雅黑" w:eastAsia="微软雅黑"/>
                <w:b/>
                <w:sz w:val="18"/>
              </w:rPr>
              <w:t>融资条款反推法</w:t>
            </w:r>
          </w:p>
        </w:tc>
        <w:tc>
          <w:tcPr>
            <w:tcW w:type="dxa" w:w="1417"/>
          </w:tcPr>
          <w:p>
            <w:pPr>
              <w:jc w:val="center"/>
            </w:pPr>
            <w:r>
              <w:rPr>
                <w:rFonts w:ascii="微软雅黑" w:hAnsi="微软雅黑" w:eastAsia="微软雅黑"/>
                <w:b w:val="0"/>
                <w:sz w:val="18"/>
              </w:rPr>
              <w:t>1.5</w:t>
            </w:r>
          </w:p>
        </w:tc>
        <w:tc>
          <w:tcPr>
            <w:tcW w:type="dxa" w:w="1417"/>
          </w:tcPr>
          <w:p>
            <w:pPr>
              <w:jc w:val="center"/>
            </w:pPr>
            <w:r>
              <w:rPr>
                <w:rFonts w:ascii="微软雅黑" w:hAnsi="微软雅黑" w:eastAsia="微软雅黑"/>
                <w:b w:val="0"/>
                <w:sz w:val="18"/>
              </w:rPr>
              <w:t>1.5</w:t>
            </w:r>
          </w:p>
        </w:tc>
        <w:tc>
          <w:tcPr>
            <w:tcW w:type="dxa" w:w="1417"/>
          </w:tcPr>
          <w:p>
            <w:pPr>
              <w:jc w:val="center"/>
            </w:pPr>
            <w:r>
              <w:rPr>
                <w:rFonts w:ascii="微软雅黑" w:hAnsi="微软雅黑" w:eastAsia="微软雅黑"/>
                <w:b w:val="0"/>
                <w:sz w:val="18"/>
              </w:rPr>
              <w:t>1.5</w:t>
            </w:r>
          </w:p>
        </w:tc>
        <w:tc>
          <w:tcPr>
            <w:tcW w:type="dxa" w:w="2835"/>
          </w:tcPr>
          <w:p>
            <w:pPr>
              <w:jc w:val="center"/>
            </w:pPr>
            <w:r>
              <w:rPr>
                <w:rFonts w:ascii="微软雅黑" w:hAnsi="微软雅黑" w:eastAsia="微软雅黑"/>
                <w:b w:val="0"/>
                <w:sz w:val="18"/>
              </w:rPr>
              <w:t>基于1,500万/10%直接反推</w:t>
            </w:r>
          </w:p>
        </w:tc>
      </w:tr>
      <w:tr>
        <w:tc>
          <w:tcPr>
            <w:tcW w:type="dxa" w:w="1984"/>
            <w:shd w:fill="D6E4F0"/>
          </w:tcPr>
          <w:p>
            <w:pPr>
              <w:jc w:val="left"/>
            </w:pPr>
            <w:r>
              <w:rPr>
                <w:rFonts w:ascii="微软雅黑" w:hAnsi="微软雅黑" w:eastAsia="微软雅黑"/>
                <w:b/>
                <w:sz w:val="18"/>
              </w:rPr>
              <w:t>VC Method（概率加权）</w:t>
            </w:r>
          </w:p>
        </w:tc>
        <w:tc>
          <w:tcPr>
            <w:tcW w:type="dxa" w:w="1417"/>
            <w:shd w:fill="D6E4F0"/>
          </w:tcPr>
          <w:p>
            <w:pPr>
              <w:jc w:val="center"/>
            </w:pPr>
            <w:r>
              <w:rPr>
                <w:rFonts w:ascii="微软雅黑" w:hAnsi="微软雅黑" w:eastAsia="微软雅黑"/>
                <w:b w:val="0"/>
                <w:sz w:val="18"/>
              </w:rPr>
              <w:t>1.35</w:t>
            </w:r>
          </w:p>
        </w:tc>
        <w:tc>
          <w:tcPr>
            <w:tcW w:type="dxa" w:w="1417"/>
            <w:shd w:fill="D6E4F0"/>
          </w:tcPr>
          <w:p>
            <w:pPr>
              <w:jc w:val="center"/>
            </w:pPr>
            <w:r>
              <w:rPr>
                <w:rFonts w:ascii="微软雅黑" w:hAnsi="微软雅黑" w:eastAsia="微软雅黑"/>
                <w:b w:val="0"/>
                <w:sz w:val="18"/>
              </w:rPr>
              <w:t>1.5</w:t>
            </w:r>
          </w:p>
        </w:tc>
        <w:tc>
          <w:tcPr>
            <w:tcW w:type="dxa" w:w="1417"/>
            <w:shd w:fill="D6E4F0"/>
          </w:tcPr>
          <w:p>
            <w:pPr>
              <w:jc w:val="center"/>
            </w:pPr>
            <w:r>
              <w:rPr>
                <w:rFonts w:ascii="微软雅黑" w:hAnsi="微软雅黑" w:eastAsia="微软雅黑"/>
                <w:b w:val="0"/>
                <w:sz w:val="18"/>
              </w:rPr>
              <w:t>1.65</w:t>
            </w:r>
          </w:p>
        </w:tc>
        <w:tc>
          <w:tcPr>
            <w:tcW w:type="dxa" w:w="2835"/>
            <w:shd w:fill="D6E4F0"/>
          </w:tcPr>
          <w:p>
            <w:pPr>
              <w:jc w:val="center"/>
            </w:pPr>
            <w:r>
              <w:rPr>
                <w:rFonts w:ascii="微软雅黑" w:hAnsi="微软雅黑" w:eastAsia="微软雅黑"/>
                <w:b w:val="0"/>
                <w:sz w:val="18"/>
              </w:rPr>
              <w:t>三种情景期望值法</w:t>
            </w:r>
          </w:p>
        </w:tc>
      </w:tr>
      <w:tr>
        <w:tc>
          <w:tcPr>
            <w:tcW w:type="dxa" w:w="1984"/>
          </w:tcPr>
          <w:p>
            <w:pPr>
              <w:jc w:val="left"/>
            </w:pPr>
            <w:r>
              <w:rPr>
                <w:rFonts w:ascii="微软雅黑" w:hAnsi="微软雅黑" w:eastAsia="微软雅黑"/>
                <w:b/>
                <w:sz w:val="18"/>
              </w:rPr>
              <w:t>可比天使轮融资分析</w:t>
            </w:r>
          </w:p>
        </w:tc>
        <w:tc>
          <w:tcPr>
            <w:tcW w:type="dxa" w:w="1417"/>
          </w:tcPr>
          <w:p>
            <w:pPr>
              <w:jc w:val="center"/>
            </w:pPr>
            <w:r>
              <w:rPr>
                <w:rFonts w:ascii="微软雅黑" w:hAnsi="微软雅黑" w:eastAsia="微软雅黑"/>
                <w:b w:val="0"/>
                <w:sz w:val="18"/>
              </w:rPr>
              <w:t>1.0</w:t>
            </w:r>
          </w:p>
        </w:tc>
        <w:tc>
          <w:tcPr>
            <w:tcW w:type="dxa" w:w="1417"/>
          </w:tcPr>
          <w:p>
            <w:pPr>
              <w:jc w:val="center"/>
            </w:pPr>
            <w:r>
              <w:rPr>
                <w:rFonts w:ascii="微软雅黑" w:hAnsi="微软雅黑" w:eastAsia="微软雅黑"/>
                <w:b w:val="0"/>
                <w:sz w:val="18"/>
              </w:rPr>
              <w:t>1.3</w:t>
            </w:r>
          </w:p>
        </w:tc>
        <w:tc>
          <w:tcPr>
            <w:tcW w:type="dxa" w:w="1417"/>
          </w:tcPr>
          <w:p>
            <w:pPr>
              <w:jc w:val="center"/>
            </w:pPr>
            <w:r>
              <w:rPr>
                <w:rFonts w:ascii="微软雅黑" w:hAnsi="微软雅黑" w:eastAsia="微软雅黑"/>
                <w:b w:val="0"/>
                <w:sz w:val="18"/>
              </w:rPr>
              <w:t>1.8</w:t>
            </w:r>
          </w:p>
        </w:tc>
        <w:tc>
          <w:tcPr>
            <w:tcW w:type="dxa" w:w="2835"/>
          </w:tcPr>
          <w:p>
            <w:pPr>
              <w:jc w:val="center"/>
            </w:pPr>
            <w:r>
              <w:rPr>
                <w:rFonts w:ascii="微软雅黑" w:hAnsi="微软雅黑" w:eastAsia="微软雅黑"/>
                <w:b w:val="0"/>
                <w:sz w:val="18"/>
              </w:rPr>
              <w:t>5个同类天使/Pre-A轮对标</w:t>
            </w:r>
          </w:p>
        </w:tc>
      </w:tr>
      <w:tr>
        <w:tc>
          <w:tcPr>
            <w:tcW w:type="dxa" w:w="1984"/>
            <w:shd w:fill="D6E4F0"/>
          </w:tcPr>
          <w:p>
            <w:pPr>
              <w:jc w:val="left"/>
            </w:pPr>
            <w:r>
              <w:rPr>
                <w:rFonts w:ascii="微软雅黑" w:hAnsi="微软雅黑" w:eastAsia="微软雅黑"/>
                <w:b/>
                <w:sz w:val="18"/>
              </w:rPr>
              <w:t>PS倍数法（2027E）</w:t>
            </w:r>
          </w:p>
        </w:tc>
        <w:tc>
          <w:tcPr>
            <w:tcW w:type="dxa" w:w="1417"/>
            <w:shd w:fill="D6E4F0"/>
          </w:tcPr>
          <w:p>
            <w:pPr>
              <w:jc w:val="center"/>
            </w:pPr>
            <w:r>
              <w:rPr>
                <w:rFonts w:ascii="微软雅黑" w:hAnsi="微软雅黑" w:eastAsia="微软雅黑"/>
                <w:b w:val="0"/>
                <w:sz w:val="18"/>
              </w:rPr>
              <w:t>1.35</w:t>
            </w:r>
          </w:p>
        </w:tc>
        <w:tc>
          <w:tcPr>
            <w:tcW w:type="dxa" w:w="1417"/>
            <w:shd w:fill="D6E4F0"/>
          </w:tcPr>
          <w:p>
            <w:pPr>
              <w:jc w:val="center"/>
            </w:pPr>
            <w:r>
              <w:rPr>
                <w:rFonts w:ascii="微软雅黑" w:hAnsi="微软雅黑" w:eastAsia="微软雅黑"/>
                <w:b w:val="0"/>
                <w:sz w:val="18"/>
              </w:rPr>
              <w:t>1.8</w:t>
            </w:r>
          </w:p>
        </w:tc>
        <w:tc>
          <w:tcPr>
            <w:tcW w:type="dxa" w:w="1417"/>
            <w:shd w:fill="D6E4F0"/>
          </w:tcPr>
          <w:p>
            <w:pPr>
              <w:jc w:val="center"/>
            </w:pPr>
            <w:r>
              <w:rPr>
                <w:rFonts w:ascii="微软雅黑" w:hAnsi="微软雅黑" w:eastAsia="微软雅黑"/>
                <w:b w:val="0"/>
                <w:sz w:val="18"/>
              </w:rPr>
              <w:t>2.25</w:t>
            </w:r>
          </w:p>
        </w:tc>
        <w:tc>
          <w:tcPr>
            <w:tcW w:type="dxa" w:w="2835"/>
            <w:shd w:fill="D6E4F0"/>
          </w:tcPr>
          <w:p>
            <w:pPr>
              <w:jc w:val="center"/>
            </w:pPr>
            <w:r>
              <w:rPr>
                <w:rFonts w:ascii="微软雅黑" w:hAnsi="微软雅黑" w:eastAsia="微软雅黑"/>
                <w:b w:val="0"/>
                <w:sz w:val="18"/>
              </w:rPr>
              <w:t>1.5x-2.5x 2027E PS</w:t>
            </w:r>
          </w:p>
        </w:tc>
      </w:tr>
      <w:tr>
        <w:tc>
          <w:tcPr>
            <w:tcW w:type="dxa" w:w="1984"/>
          </w:tcPr>
          <w:p>
            <w:pPr>
              <w:jc w:val="left"/>
            </w:pPr>
            <w:r>
              <w:rPr>
                <w:rFonts w:ascii="微软雅黑" w:hAnsi="微软雅黑" w:eastAsia="微软雅黑"/>
                <w:b/>
                <w:sz w:val="18"/>
              </w:rPr>
              <w:t>综合建议区间</w:t>
            </w:r>
          </w:p>
        </w:tc>
        <w:tc>
          <w:tcPr>
            <w:tcW w:type="dxa" w:w="1417"/>
          </w:tcPr>
          <w:p>
            <w:pPr>
              <w:jc w:val="center"/>
            </w:pPr>
            <w:r>
              <w:rPr>
                <w:rFonts w:ascii="微软雅黑" w:hAnsi="微软雅黑" w:eastAsia="微软雅黑"/>
                <w:b w:val="0"/>
                <w:sz w:val="18"/>
              </w:rPr>
              <w:t>1.0</w:t>
            </w:r>
          </w:p>
        </w:tc>
        <w:tc>
          <w:tcPr>
            <w:tcW w:type="dxa" w:w="1417"/>
          </w:tcPr>
          <w:p>
            <w:pPr>
              <w:jc w:val="center"/>
            </w:pPr>
            <w:r>
              <w:rPr>
                <w:rFonts w:ascii="微软雅黑" w:hAnsi="微软雅黑" w:eastAsia="微软雅黑"/>
                <w:b w:val="0"/>
                <w:sz w:val="18"/>
              </w:rPr>
              <w:t>1.5</w:t>
            </w:r>
          </w:p>
        </w:tc>
        <w:tc>
          <w:tcPr>
            <w:tcW w:type="dxa" w:w="1417"/>
          </w:tcPr>
          <w:p>
            <w:pPr>
              <w:jc w:val="center"/>
            </w:pPr>
            <w:r>
              <w:rPr>
                <w:rFonts w:ascii="微软雅黑" w:hAnsi="微软雅黑" w:eastAsia="微软雅黑"/>
                <w:b w:val="0"/>
                <w:sz w:val="18"/>
              </w:rPr>
              <w:t>1.85</w:t>
            </w:r>
          </w:p>
        </w:tc>
        <w:tc>
          <w:tcPr>
            <w:tcW w:type="dxa" w:w="2835"/>
          </w:tcPr>
          <w:p>
            <w:pPr>
              <w:jc w:val="center"/>
            </w:pPr>
            <w:r>
              <w:rPr>
                <w:rFonts w:ascii="微软雅黑" w:hAnsi="微软雅黑" w:eastAsia="微软雅黑"/>
                <w:b w:val="0"/>
                <w:sz w:val="18"/>
              </w:rPr>
              <w:t>多重方法交叉验证收敛</w:t>
            </w:r>
          </w:p>
        </w:tc>
      </w:tr>
    </w:tbl>
    <w:p/>
    <w:p>
      <w:pPr>
        <w:pStyle w:val="Heading2"/>
      </w:pPr>
      <w:r>
        <w:rPr>
          <w:rFonts w:ascii="微软雅黑" w:hAnsi="微软雅黑" w:eastAsia="微软雅黑"/>
        </w:rPr>
        <w:t>5.7 综合估值建议</w:t>
      </w:r>
    </w:p>
    <w:p>
      <w:pPr>
        <w:spacing w:line="360" w:lineRule="auto" w:after="120"/>
        <w:ind w:firstLine="420"/>
      </w:pPr>
      <w:r>
        <w:rPr>
          <w:rFonts w:ascii="微软雅黑" w:hAnsi="微软雅黑" w:eastAsia="微软雅黑"/>
          <w:b/>
          <w:sz w:val="22"/>
        </w:rPr>
        <w:t>基于上述多重方法交叉验证，建议岁锦科技天使轮投后估值区间为 1.00-1.85亿元，核心估值点为投后 1.50 亿元。</w:t>
        <w:br/>
        <w:br/>
        <w:t>• 投前估值：1.35 亿元</w:t>
        <w:br/>
        <w:t>• 投后估值：1.50 亿元</w:t>
        <w:br/>
        <w:t>• 融资金额：1,500 万元，出让 10%</w:t>
        <w:br/>
        <w:br/>
        <w:t>估值区间下限1.00亿元对应悲观情景（营收增长大幅不及预期、退出倍数压缩），估值区间上限1.85亿元对应乐观情景（产品快速放量、进入省级采购目录、IPO顺利推进）。投资人可根据自身风险偏好和尽调结论在区间内选择切入点。</w:t>
      </w:r>
    </w:p>
    <w:p>
      <w:r>
        <w:br w:type="page"/>
      </w:r>
    </w:p>
    <w:p>
      <w:pPr>
        <w:pStyle w:val="Heading1"/>
      </w:pPr>
      <w:r>
        <w:rPr>
          <w:rFonts w:ascii="微软雅黑" w:hAnsi="微软雅黑" w:eastAsia="微软雅黑"/>
        </w:rPr>
        <w:t>六、退出分析与股权稀释</w:t>
      </w:r>
    </w:p>
    <w:p>
      <w:pPr>
        <w:pStyle w:val="Heading2"/>
      </w:pPr>
      <w:r>
        <w:rPr>
          <w:rFonts w:ascii="微软雅黑" w:hAnsi="微软雅黑" w:eastAsia="微软雅黑"/>
        </w:rPr>
        <w:t>6.1 退出路径分析</w:t>
      </w:r>
    </w:p>
    <w:p>
      <w:pPr>
        <w:spacing w:line="360" w:lineRule="auto" w:after="120"/>
        <w:ind w:firstLine="420"/>
      </w:pPr>
      <w:r>
        <w:rPr>
          <w:rFonts w:ascii="微软雅黑" w:hAnsi="微软雅黑" w:eastAsia="微软雅黑"/>
          <w:b w:val="0"/>
          <w:sz w:val="22"/>
        </w:rPr>
        <w:t>天使轮投资的预期退出路径主要有三条：（1）IPO（A股科创板或创业板），适合营收规模达10亿+、净利润为正的成熟期公司，预计时间窗口2029-2031年；（2）战略并购，医疗器械巨头（迈瑞、鱼跃等）或互联网平台（阿里、腾讯等）可能是潜在收购方，退出估值可能低于IPO但确定性更高；（3）后续融资中的部分退出（老股转让），允许天使轮投资人在B轮或C轮时实现部分退出。综合评估，战略并购是天使轮投资人最实际的退出路径，IPO作为乐观情景的目标。</w:t>
      </w:r>
    </w:p>
    <w:p>
      <w:pPr>
        <w:pStyle w:val="Heading2"/>
      </w:pPr>
      <w:r>
        <w:rPr>
          <w:rFonts w:ascii="微软雅黑" w:hAnsi="微软雅黑" w:eastAsia="微软雅黑"/>
        </w:rPr>
        <w:t>6.2 后续稀释路径</w:t>
      </w:r>
    </w:p>
    <w:p>
      <w:pPr>
        <w:spacing w:line="360" w:lineRule="auto" w:after="120"/>
        <w:ind w:firstLine="420"/>
      </w:pPr>
      <w:r>
        <w:rPr>
          <w:rFonts w:ascii="微软雅黑" w:hAnsi="微软雅黑" w:eastAsia="微软雅黑"/>
          <w:b w:val="0"/>
          <w:sz w:val="22"/>
        </w:rPr>
        <w:t>从天使轮到IPO通常经历3-4轮后续融资（A轮、B轮、C轮、Pre-IPO），合计累计稀释比例通常在45%-65%。以下为简化的稀释路径推演：</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701"/>
            <w:shd w:fill="1F4E79"/>
          </w:tcPr>
          <w:p>
            <w:pPr>
              <w:jc w:val="center"/>
            </w:pPr>
            <w:r>
              <w:rPr>
                <w:rFonts w:ascii="微软雅黑" w:hAnsi="微软雅黑" w:eastAsia="微软雅黑"/>
                <w:b/>
                <w:color w:val="FFFFFF"/>
                <w:sz w:val="18"/>
              </w:rPr>
              <w:t>融资轮次</w:t>
            </w:r>
          </w:p>
        </w:tc>
        <w:tc>
          <w:tcPr>
            <w:tcW w:type="dxa" w:w="1417"/>
            <w:shd w:fill="1F4E79"/>
          </w:tcPr>
          <w:p>
            <w:pPr>
              <w:jc w:val="center"/>
            </w:pPr>
            <w:r>
              <w:rPr>
                <w:rFonts w:ascii="微软雅黑" w:hAnsi="微软雅黑" w:eastAsia="微软雅黑"/>
                <w:b/>
                <w:color w:val="FFFFFF"/>
                <w:sz w:val="18"/>
              </w:rPr>
              <w:t>创始人持股</w:t>
            </w:r>
          </w:p>
        </w:tc>
        <w:tc>
          <w:tcPr>
            <w:tcW w:type="dxa" w:w="1417"/>
            <w:shd w:fill="1F4E79"/>
          </w:tcPr>
          <w:p>
            <w:pPr>
              <w:jc w:val="center"/>
            </w:pPr>
            <w:r>
              <w:rPr>
                <w:rFonts w:ascii="微软雅黑" w:hAnsi="微软雅黑" w:eastAsia="微软雅黑"/>
                <w:b/>
                <w:color w:val="FFFFFF"/>
                <w:sz w:val="18"/>
              </w:rPr>
              <w:t>天使轮持股</w:t>
            </w:r>
          </w:p>
        </w:tc>
        <w:tc>
          <w:tcPr>
            <w:tcW w:type="dxa" w:w="1587"/>
            <w:shd w:fill="1F4E79"/>
          </w:tcPr>
          <w:p>
            <w:pPr>
              <w:jc w:val="center"/>
            </w:pPr>
            <w:r>
              <w:rPr>
                <w:rFonts w:ascii="微软雅黑" w:hAnsi="微软雅黑" w:eastAsia="微软雅黑"/>
                <w:b/>
                <w:color w:val="FFFFFF"/>
                <w:sz w:val="18"/>
              </w:rPr>
              <w:t>新投资人持股</w:t>
            </w:r>
          </w:p>
        </w:tc>
        <w:tc>
          <w:tcPr>
            <w:tcW w:type="dxa" w:w="1587"/>
            <w:shd w:fill="1F4E79"/>
          </w:tcPr>
          <w:p>
            <w:pPr>
              <w:jc w:val="center"/>
            </w:pPr>
            <w:r>
              <w:rPr>
                <w:rFonts w:ascii="微软雅黑" w:hAnsi="微软雅黑" w:eastAsia="微软雅黑"/>
                <w:b/>
                <w:color w:val="FFFFFF"/>
                <w:sz w:val="18"/>
              </w:rPr>
              <w:t>投后估值（亿元）</w:t>
            </w:r>
          </w:p>
        </w:tc>
        <w:tc>
          <w:tcPr>
            <w:tcW w:type="dxa" w:w="1417"/>
            <w:shd w:fill="1F4E79"/>
          </w:tcPr>
          <w:p>
            <w:pPr>
              <w:jc w:val="center"/>
            </w:pPr>
            <w:r>
              <w:rPr>
                <w:rFonts w:ascii="微软雅黑" w:hAnsi="微软雅黑" w:eastAsia="微软雅黑"/>
                <w:b/>
                <w:color w:val="FFFFFF"/>
                <w:sz w:val="18"/>
              </w:rPr>
              <w:t>累计稀释</w:t>
            </w:r>
          </w:p>
        </w:tc>
      </w:tr>
      <w:tr>
        <w:tc>
          <w:tcPr>
            <w:tcW w:type="dxa" w:w="1701"/>
          </w:tcPr>
          <w:p>
            <w:pPr>
              <w:jc w:val="left"/>
            </w:pPr>
            <w:r>
              <w:rPr>
                <w:rFonts w:ascii="微软雅黑" w:hAnsi="微软雅黑" w:eastAsia="微软雅黑"/>
                <w:b/>
                <w:sz w:val="18"/>
              </w:rPr>
              <w:t>天使轮（当前）</w:t>
            </w:r>
          </w:p>
        </w:tc>
        <w:tc>
          <w:tcPr>
            <w:tcW w:type="dxa" w:w="1417"/>
          </w:tcPr>
          <w:p>
            <w:pPr>
              <w:jc w:val="center"/>
            </w:pPr>
            <w:r>
              <w:rPr>
                <w:rFonts w:ascii="微软雅黑" w:hAnsi="微软雅黑" w:eastAsia="微软雅黑"/>
                <w:b w:val="0"/>
                <w:sz w:val="18"/>
              </w:rPr>
              <w:t>90.0%</w:t>
            </w:r>
          </w:p>
        </w:tc>
        <w:tc>
          <w:tcPr>
            <w:tcW w:type="dxa" w:w="1417"/>
          </w:tcPr>
          <w:p>
            <w:pPr>
              <w:jc w:val="center"/>
            </w:pPr>
            <w:r>
              <w:rPr>
                <w:rFonts w:ascii="微软雅黑" w:hAnsi="微软雅黑" w:eastAsia="微软雅黑"/>
                <w:b w:val="0"/>
                <w:sz w:val="18"/>
              </w:rPr>
              <w:t>10.0%</w:t>
            </w:r>
          </w:p>
        </w:tc>
        <w:tc>
          <w:tcPr>
            <w:tcW w:type="dxa" w:w="1587"/>
          </w:tcPr>
          <w:p>
            <w:pPr>
              <w:jc w:val="center"/>
            </w:pPr>
            <w:r>
              <w:rPr>
                <w:rFonts w:ascii="微软雅黑" w:hAnsi="微软雅黑" w:eastAsia="微软雅黑"/>
                <w:b w:val="0"/>
                <w:sz w:val="18"/>
              </w:rPr>
              <w:t>-</w:t>
            </w:r>
          </w:p>
        </w:tc>
        <w:tc>
          <w:tcPr>
            <w:tcW w:type="dxa" w:w="1587"/>
          </w:tcPr>
          <w:p>
            <w:pPr>
              <w:jc w:val="center"/>
            </w:pPr>
            <w:r>
              <w:rPr>
                <w:rFonts w:ascii="微软雅黑" w:hAnsi="微软雅黑" w:eastAsia="微软雅黑"/>
                <w:b w:val="0"/>
                <w:sz w:val="18"/>
              </w:rPr>
              <w:t>1.50</w:t>
            </w:r>
          </w:p>
        </w:tc>
        <w:tc>
          <w:tcPr>
            <w:tcW w:type="dxa" w:w="1417"/>
          </w:tcPr>
          <w:p>
            <w:pPr>
              <w:jc w:val="center"/>
            </w:pPr>
            <w:r>
              <w:rPr>
                <w:rFonts w:ascii="微软雅黑" w:hAnsi="微软雅黑" w:eastAsia="微软雅黑"/>
                <w:b w:val="0"/>
                <w:sz w:val="18"/>
              </w:rPr>
              <w:t>0%</w:t>
            </w:r>
          </w:p>
        </w:tc>
      </w:tr>
      <w:tr>
        <w:tc>
          <w:tcPr>
            <w:tcW w:type="dxa" w:w="1701"/>
            <w:shd w:fill="D6E4F0"/>
          </w:tcPr>
          <w:p>
            <w:pPr>
              <w:jc w:val="left"/>
            </w:pPr>
            <w:r>
              <w:rPr>
                <w:rFonts w:ascii="微软雅黑" w:hAnsi="微软雅黑" w:eastAsia="微软雅黑"/>
                <w:b/>
                <w:sz w:val="18"/>
              </w:rPr>
              <w:t>A轮（2027E）</w:t>
            </w:r>
          </w:p>
        </w:tc>
        <w:tc>
          <w:tcPr>
            <w:tcW w:type="dxa" w:w="1417"/>
            <w:shd w:fill="D6E4F0"/>
          </w:tcPr>
          <w:p>
            <w:pPr>
              <w:jc w:val="center"/>
            </w:pPr>
            <w:r>
              <w:rPr>
                <w:rFonts w:ascii="微软雅黑" w:hAnsi="微软雅黑" w:eastAsia="微软雅黑"/>
                <w:b w:val="0"/>
                <w:sz w:val="18"/>
              </w:rPr>
              <w:t>72.0%</w:t>
            </w:r>
          </w:p>
        </w:tc>
        <w:tc>
          <w:tcPr>
            <w:tcW w:type="dxa" w:w="1417"/>
            <w:shd w:fill="D6E4F0"/>
          </w:tcPr>
          <w:p>
            <w:pPr>
              <w:jc w:val="center"/>
            </w:pPr>
            <w:r>
              <w:rPr>
                <w:rFonts w:ascii="微软雅黑" w:hAnsi="微软雅黑" w:eastAsia="微软雅黑"/>
                <w:b w:val="0"/>
                <w:sz w:val="18"/>
              </w:rPr>
              <w:t>8.0%</w:t>
            </w:r>
          </w:p>
        </w:tc>
        <w:tc>
          <w:tcPr>
            <w:tcW w:type="dxa" w:w="1587"/>
            <w:shd w:fill="D6E4F0"/>
          </w:tcPr>
          <w:p>
            <w:pPr>
              <w:jc w:val="center"/>
            </w:pPr>
            <w:r>
              <w:rPr>
                <w:rFonts w:ascii="微软雅黑" w:hAnsi="微软雅黑" w:eastAsia="微软雅黑"/>
                <w:b w:val="0"/>
                <w:sz w:val="18"/>
              </w:rPr>
              <w:t>20.0%</w:t>
            </w:r>
          </w:p>
        </w:tc>
        <w:tc>
          <w:tcPr>
            <w:tcW w:type="dxa" w:w="1587"/>
            <w:shd w:fill="D6E4F0"/>
          </w:tcPr>
          <w:p>
            <w:pPr>
              <w:jc w:val="center"/>
            </w:pPr>
            <w:r>
              <w:rPr>
                <w:rFonts w:ascii="微软雅黑" w:hAnsi="微软雅黑" w:eastAsia="微软雅黑"/>
                <w:b w:val="0"/>
                <w:sz w:val="18"/>
              </w:rPr>
              <w:t>4.0-6.0</w:t>
            </w:r>
          </w:p>
        </w:tc>
        <w:tc>
          <w:tcPr>
            <w:tcW w:type="dxa" w:w="1417"/>
            <w:shd w:fill="D6E4F0"/>
          </w:tcPr>
          <w:p>
            <w:pPr>
              <w:jc w:val="center"/>
            </w:pPr>
            <w:r>
              <w:rPr>
                <w:rFonts w:ascii="微软雅黑" w:hAnsi="微软雅黑" w:eastAsia="微软雅黑"/>
                <w:b w:val="0"/>
                <w:sz w:val="18"/>
              </w:rPr>
              <w:t>20%</w:t>
            </w:r>
          </w:p>
        </w:tc>
      </w:tr>
      <w:tr>
        <w:tc>
          <w:tcPr>
            <w:tcW w:type="dxa" w:w="1701"/>
          </w:tcPr>
          <w:p>
            <w:pPr>
              <w:jc w:val="left"/>
            </w:pPr>
            <w:r>
              <w:rPr>
                <w:rFonts w:ascii="微软雅黑" w:hAnsi="微软雅黑" w:eastAsia="微软雅黑"/>
                <w:b/>
                <w:sz w:val="18"/>
              </w:rPr>
              <w:t>B轮（2028E）</w:t>
            </w:r>
          </w:p>
        </w:tc>
        <w:tc>
          <w:tcPr>
            <w:tcW w:type="dxa" w:w="1417"/>
          </w:tcPr>
          <w:p>
            <w:pPr>
              <w:jc w:val="center"/>
            </w:pPr>
            <w:r>
              <w:rPr>
                <w:rFonts w:ascii="微软雅黑" w:hAnsi="微软雅黑" w:eastAsia="微软雅黑"/>
                <w:b w:val="0"/>
                <w:sz w:val="18"/>
              </w:rPr>
              <w:t>57.6%</w:t>
            </w:r>
          </w:p>
        </w:tc>
        <w:tc>
          <w:tcPr>
            <w:tcW w:type="dxa" w:w="1417"/>
          </w:tcPr>
          <w:p>
            <w:pPr>
              <w:jc w:val="center"/>
            </w:pPr>
            <w:r>
              <w:rPr>
                <w:rFonts w:ascii="微软雅黑" w:hAnsi="微软雅黑" w:eastAsia="微软雅黑"/>
                <w:b w:val="0"/>
                <w:sz w:val="18"/>
              </w:rPr>
              <w:t>6.4%</w:t>
            </w:r>
          </w:p>
        </w:tc>
        <w:tc>
          <w:tcPr>
            <w:tcW w:type="dxa" w:w="1587"/>
          </w:tcPr>
          <w:p>
            <w:pPr>
              <w:jc w:val="center"/>
            </w:pPr>
            <w:r>
              <w:rPr>
                <w:rFonts w:ascii="微软雅黑" w:hAnsi="微软雅黑" w:eastAsia="微软雅黑"/>
                <w:b w:val="0"/>
                <w:sz w:val="18"/>
              </w:rPr>
              <w:t>36.0%</w:t>
            </w:r>
          </w:p>
        </w:tc>
        <w:tc>
          <w:tcPr>
            <w:tcW w:type="dxa" w:w="1587"/>
          </w:tcPr>
          <w:p>
            <w:pPr>
              <w:jc w:val="center"/>
            </w:pPr>
            <w:r>
              <w:rPr>
                <w:rFonts w:ascii="微软雅黑" w:hAnsi="微软雅黑" w:eastAsia="微软雅黑"/>
                <w:b w:val="0"/>
                <w:sz w:val="18"/>
              </w:rPr>
              <w:t>12-18</w:t>
            </w:r>
          </w:p>
        </w:tc>
        <w:tc>
          <w:tcPr>
            <w:tcW w:type="dxa" w:w="1417"/>
          </w:tcPr>
          <w:p>
            <w:pPr>
              <w:jc w:val="center"/>
            </w:pPr>
            <w:r>
              <w:rPr>
                <w:rFonts w:ascii="微软雅黑" w:hAnsi="微软雅黑" w:eastAsia="微软雅黑"/>
                <w:b w:val="0"/>
                <w:sz w:val="18"/>
              </w:rPr>
              <w:t>36%</w:t>
            </w:r>
          </w:p>
        </w:tc>
      </w:tr>
      <w:tr>
        <w:tc>
          <w:tcPr>
            <w:tcW w:type="dxa" w:w="1701"/>
            <w:shd w:fill="D6E4F0"/>
          </w:tcPr>
          <w:p>
            <w:pPr>
              <w:jc w:val="left"/>
            </w:pPr>
            <w:r>
              <w:rPr>
                <w:rFonts w:ascii="微软雅黑" w:hAnsi="微软雅黑" w:eastAsia="微软雅黑"/>
                <w:b/>
                <w:sz w:val="18"/>
              </w:rPr>
              <w:t>C轮（2029E）</w:t>
            </w:r>
          </w:p>
        </w:tc>
        <w:tc>
          <w:tcPr>
            <w:tcW w:type="dxa" w:w="1417"/>
            <w:shd w:fill="D6E4F0"/>
          </w:tcPr>
          <w:p>
            <w:pPr>
              <w:jc w:val="center"/>
            </w:pPr>
            <w:r>
              <w:rPr>
                <w:rFonts w:ascii="微软雅黑" w:hAnsi="微软雅黑" w:eastAsia="微软雅黑"/>
                <w:b w:val="0"/>
                <w:sz w:val="18"/>
              </w:rPr>
              <w:t>46.1%</w:t>
            </w:r>
          </w:p>
        </w:tc>
        <w:tc>
          <w:tcPr>
            <w:tcW w:type="dxa" w:w="1417"/>
            <w:shd w:fill="D6E4F0"/>
          </w:tcPr>
          <w:p>
            <w:pPr>
              <w:jc w:val="center"/>
            </w:pPr>
            <w:r>
              <w:rPr>
                <w:rFonts w:ascii="微软雅黑" w:hAnsi="微软雅黑" w:eastAsia="微软雅黑"/>
                <w:b w:val="0"/>
                <w:sz w:val="18"/>
              </w:rPr>
              <w:t>5.1%</w:t>
            </w:r>
          </w:p>
        </w:tc>
        <w:tc>
          <w:tcPr>
            <w:tcW w:type="dxa" w:w="1587"/>
            <w:shd w:fill="D6E4F0"/>
          </w:tcPr>
          <w:p>
            <w:pPr>
              <w:jc w:val="center"/>
            </w:pPr>
            <w:r>
              <w:rPr>
                <w:rFonts w:ascii="微软雅黑" w:hAnsi="微软雅黑" w:eastAsia="微软雅黑"/>
                <w:b w:val="0"/>
                <w:sz w:val="18"/>
              </w:rPr>
              <w:t>48.8%</w:t>
            </w:r>
          </w:p>
        </w:tc>
        <w:tc>
          <w:tcPr>
            <w:tcW w:type="dxa" w:w="1587"/>
            <w:shd w:fill="D6E4F0"/>
          </w:tcPr>
          <w:p>
            <w:pPr>
              <w:jc w:val="center"/>
            </w:pPr>
            <w:r>
              <w:rPr>
                <w:rFonts w:ascii="微软雅黑" w:hAnsi="微软雅黑" w:eastAsia="微软雅黑"/>
                <w:b w:val="0"/>
                <w:sz w:val="18"/>
              </w:rPr>
              <w:t>25-40</w:t>
            </w:r>
          </w:p>
        </w:tc>
        <w:tc>
          <w:tcPr>
            <w:tcW w:type="dxa" w:w="1417"/>
            <w:shd w:fill="D6E4F0"/>
          </w:tcPr>
          <w:p>
            <w:pPr>
              <w:jc w:val="center"/>
            </w:pPr>
            <w:r>
              <w:rPr>
                <w:rFonts w:ascii="微软雅黑" w:hAnsi="微软雅黑" w:eastAsia="微软雅黑"/>
                <w:b w:val="0"/>
                <w:sz w:val="18"/>
              </w:rPr>
              <w:t>49%</w:t>
            </w:r>
          </w:p>
        </w:tc>
      </w:tr>
      <w:tr>
        <w:tc>
          <w:tcPr>
            <w:tcW w:type="dxa" w:w="1701"/>
          </w:tcPr>
          <w:p>
            <w:pPr>
              <w:jc w:val="left"/>
            </w:pPr>
            <w:r>
              <w:rPr>
                <w:rFonts w:ascii="微软雅黑" w:hAnsi="微软雅黑" w:eastAsia="微软雅黑"/>
                <w:b/>
                <w:sz w:val="18"/>
              </w:rPr>
              <w:t>IPO（2030E）</w:t>
            </w:r>
          </w:p>
        </w:tc>
        <w:tc>
          <w:tcPr>
            <w:tcW w:type="dxa" w:w="1417"/>
          </w:tcPr>
          <w:p>
            <w:pPr>
              <w:jc w:val="center"/>
            </w:pPr>
            <w:r>
              <w:rPr>
                <w:rFonts w:ascii="微软雅黑" w:hAnsi="微软雅黑" w:eastAsia="微软雅黑"/>
                <w:b w:val="0"/>
                <w:sz w:val="18"/>
              </w:rPr>
              <w:t>39.2%</w:t>
            </w:r>
          </w:p>
        </w:tc>
        <w:tc>
          <w:tcPr>
            <w:tcW w:type="dxa" w:w="1417"/>
          </w:tcPr>
          <w:p>
            <w:pPr>
              <w:jc w:val="center"/>
            </w:pPr>
            <w:r>
              <w:rPr>
                <w:rFonts w:ascii="微软雅黑" w:hAnsi="微软雅黑" w:eastAsia="微软雅黑"/>
                <w:b w:val="0"/>
                <w:sz w:val="18"/>
              </w:rPr>
              <w:t>4.3%</w:t>
            </w:r>
          </w:p>
        </w:tc>
        <w:tc>
          <w:tcPr>
            <w:tcW w:type="dxa" w:w="1587"/>
          </w:tcPr>
          <w:p>
            <w:pPr>
              <w:jc w:val="center"/>
            </w:pPr>
            <w:r>
              <w:rPr>
                <w:rFonts w:ascii="微软雅黑" w:hAnsi="微软雅黑" w:eastAsia="微软雅黑"/>
                <w:b w:val="0"/>
                <w:sz w:val="18"/>
              </w:rPr>
              <w:t>56.5%</w:t>
            </w:r>
          </w:p>
        </w:tc>
        <w:tc>
          <w:tcPr>
            <w:tcW w:type="dxa" w:w="1587"/>
          </w:tcPr>
          <w:p>
            <w:pPr>
              <w:jc w:val="center"/>
            </w:pPr>
            <w:r>
              <w:rPr>
                <w:rFonts w:ascii="微软雅黑" w:hAnsi="微软雅黑" w:eastAsia="微软雅黑"/>
                <w:b w:val="0"/>
                <w:sz w:val="18"/>
              </w:rPr>
              <w:t>36-70</w:t>
            </w:r>
          </w:p>
        </w:tc>
        <w:tc>
          <w:tcPr>
            <w:tcW w:type="dxa" w:w="1417"/>
          </w:tcPr>
          <w:p>
            <w:pPr>
              <w:jc w:val="center"/>
            </w:pPr>
            <w:r>
              <w:rPr>
                <w:rFonts w:ascii="微软雅黑" w:hAnsi="微软雅黑" w:eastAsia="微软雅黑"/>
                <w:b w:val="0"/>
                <w:sz w:val="18"/>
              </w:rPr>
              <w:t>57%</w:t>
            </w:r>
          </w:p>
        </w:tc>
      </w:tr>
    </w:tbl>
    <w:p/>
    <w:p>
      <w:pPr>
        <w:jc w:val="center"/>
      </w:pPr>
      <w:r>
        <w:drawing>
          <wp:inline xmlns:a="http://schemas.openxmlformats.org/drawingml/2006/main" xmlns:pic="http://schemas.openxmlformats.org/drawingml/2006/picture">
            <wp:extent cx="5029200" cy="3038033"/>
            <wp:docPr id="11" name="Picture 11"/>
            <wp:cNvGraphicFramePr>
              <a:graphicFrameLocks noChangeAspect="1"/>
            </wp:cNvGraphicFramePr>
            <a:graphic>
              <a:graphicData uri="http://schemas.openxmlformats.org/drawingml/2006/picture">
                <pic:pic>
                  <pic:nvPicPr>
                    <pic:cNvPr id="0" name="chart09_dilution_path.png"/>
                    <pic:cNvPicPr/>
                  </pic:nvPicPr>
                  <pic:blipFill>
                    <a:blip r:embed="rId19"/>
                    <a:stretch>
                      <a:fillRect/>
                    </a:stretch>
                  </pic:blipFill>
                  <pic:spPr>
                    <a:xfrm>
                      <a:off x="0" y="0"/>
                      <a:ext cx="5029200" cy="3038033"/>
                    </a:xfrm>
                    <a:prstGeom prst="rect"/>
                  </pic:spPr>
                </pic:pic>
              </a:graphicData>
            </a:graphic>
          </wp:inline>
        </w:drawing>
      </w:r>
    </w:p>
    <w:p>
      <w:pPr>
        <w:jc w:val="center"/>
      </w:pPr>
      <w:r>
        <w:rPr>
          <w:rFonts w:ascii="微软雅黑" w:hAnsi="微软雅黑" w:eastAsia="微软雅黑"/>
          <w:b/>
          <w:color w:val="646464"/>
          <w:sz w:val="18"/>
        </w:rPr>
        <w:t>图11：股权稀释路径预测</w:t>
      </w:r>
    </w:p>
    <w:p>
      <w:pPr>
        <w:spacing w:line="360" w:lineRule="auto" w:after="120"/>
        <w:ind w:firstLine="420"/>
      </w:pPr>
      <w:r>
        <w:rPr>
          <w:rFonts w:ascii="微软雅黑" w:hAnsi="微软雅黑" w:eastAsia="微软雅黑"/>
          <w:b w:val="0"/>
          <w:sz w:val="22"/>
        </w:rPr>
        <w:t>在基准情景下，天使轮投资人初始10%股权经历四轮后续融资后，IPO时保留约4.3%。以投后估值1.50亿元计算，天使轮投资150万元对应1%持股成本15万元。若基准情景退出估值为36亿元且保留4.3%股权，退出价值约1.55亿元，MOIC约10.3x。该回报水平处于天使轮10-15x MOIC的行业标准区间内。</w:t>
      </w:r>
    </w:p>
    <w:p>
      <w:r>
        <w:br w:type="page"/>
      </w:r>
    </w:p>
    <w:p>
      <w:pPr>
        <w:pStyle w:val="Heading1"/>
      </w:pPr>
      <w:r>
        <w:rPr>
          <w:rFonts w:ascii="微软雅黑" w:hAnsi="微软雅黑" w:eastAsia="微软雅黑"/>
        </w:rPr>
        <w:t>七、敏感性分析</w:t>
      </w:r>
    </w:p>
    <w:p>
      <w:pPr>
        <w:pStyle w:val="Heading2"/>
      </w:pPr>
      <w:r>
        <w:rPr>
          <w:rFonts w:ascii="微软雅黑" w:hAnsi="微软雅黑" w:eastAsia="微软雅黑"/>
        </w:rPr>
        <w:t>7.1 MOIC敏感性热力图</w:t>
      </w:r>
    </w:p>
    <w:p>
      <w:pPr>
        <w:spacing w:line="360" w:lineRule="auto" w:after="120"/>
        <w:ind w:firstLine="420"/>
      </w:pPr>
      <w:r>
        <w:rPr>
          <w:rFonts w:ascii="微软雅黑" w:hAnsi="微软雅黑" w:eastAsia="微软雅黑"/>
          <w:b w:val="0"/>
          <w:sz w:val="22"/>
        </w:rPr>
        <w:t>以基准情景（2030年营收20亿、PS 1.8x、累计稀释55%）为中心，对退出收入倍数（1.0x-3.0x）和累计稀释率（45%-70%）两个关键变量进行敏感性分析。热力图直观展示了不同参数组合下的投资人MOIC水平。</w:t>
      </w:r>
    </w:p>
    <w:p>
      <w:pPr>
        <w:jc w:val="center"/>
      </w:pPr>
      <w:r>
        <w:drawing>
          <wp:inline xmlns:a="http://schemas.openxmlformats.org/drawingml/2006/main" xmlns:pic="http://schemas.openxmlformats.org/drawingml/2006/picture">
            <wp:extent cx="5029200" cy="3876183"/>
            <wp:docPr id="12" name="Picture 12"/>
            <wp:cNvGraphicFramePr>
              <a:graphicFrameLocks noChangeAspect="1"/>
            </wp:cNvGraphicFramePr>
            <a:graphic>
              <a:graphicData uri="http://schemas.openxmlformats.org/drawingml/2006/picture">
                <pic:pic>
                  <pic:nvPicPr>
                    <pic:cNvPr id="0" name="chart12_moic_heatmap.png"/>
                    <pic:cNvPicPr/>
                  </pic:nvPicPr>
                  <pic:blipFill>
                    <a:blip r:embed="rId20"/>
                    <a:stretch>
                      <a:fillRect/>
                    </a:stretch>
                  </pic:blipFill>
                  <pic:spPr>
                    <a:xfrm>
                      <a:off x="0" y="0"/>
                      <a:ext cx="5029200" cy="3876183"/>
                    </a:xfrm>
                    <a:prstGeom prst="rect"/>
                  </pic:spPr>
                </pic:pic>
              </a:graphicData>
            </a:graphic>
          </wp:inline>
        </w:drawing>
      </w:r>
    </w:p>
    <w:p>
      <w:pPr>
        <w:jc w:val="center"/>
      </w:pPr>
      <w:r>
        <w:rPr>
          <w:rFonts w:ascii="微软雅黑" w:hAnsi="微软雅黑" w:eastAsia="微软雅黑"/>
          <w:b/>
          <w:color w:val="646464"/>
          <w:sz w:val="18"/>
        </w:rPr>
        <w:t>图12：MOIC敏感性热力图（退出倍数×稀释率）</w:t>
      </w:r>
    </w:p>
    <w:p>
      <w:pPr>
        <w:pStyle w:val="Heading2"/>
      </w:pPr>
      <w:r>
        <w:rPr>
          <w:rFonts w:ascii="微软雅黑" w:hAnsi="微软雅黑" w:eastAsia="微软雅黑"/>
        </w:rPr>
        <w:t>7.2 关键变量敏感性排序</w:t>
      </w:r>
    </w:p>
    <w:p>
      <w:pPr>
        <w:spacing w:line="360" w:lineRule="auto" w:after="120"/>
        <w:ind w:firstLine="420"/>
      </w:pPr>
      <w:r>
        <w:rPr>
          <w:rFonts w:ascii="微软雅黑" w:hAnsi="微软雅黑" w:eastAsia="微软雅黑"/>
          <w:b w:val="0"/>
          <w:sz w:val="22"/>
        </w:rPr>
        <w:t>估值（MOIC）对以下变量的敏感性由高到低排列：</w:t>
        <w:br/>
        <w:br/>
        <w:t>1. 2030年实际营收水平（BP达标率）— 最关键变量。营收从20亿降至12亿（-40%），MOIC从10.8x降至5.9x（-45%）。</w:t>
        <w:br/>
        <w:br/>
        <w:t>2. 退出时市场给予的PS倍数 — 次关键变量。PS从1.8x降至1.0x，MOIC从10.8x降至5.5x（-49%）。PS倍数的波动受退出时市场环境、行业热度和公司质地影响。</w:t>
        <w:br/>
        <w:br/>
        <w:t>3. 后续融资稀释程度 — 重要变量。累计稀释从55%升至65%，MOIC从10.8x降至8.4x（-22%）。稀释程度取决于公司在后续融资中的议价能力和融资节奏。</w:t>
        <w:br/>
        <w:br/>
        <w:t>4. 综合毛利率 — 次要变量。毛利率每降低5个百分点，净利率相应下降，退出时的盈利水平和估值倍数可能受到影响。</w:t>
      </w:r>
    </w:p>
    <w:p>
      <w:pPr>
        <w:pStyle w:val="Heading2"/>
      </w:pPr>
      <w:r>
        <w:rPr>
          <w:rFonts w:ascii="微软雅黑" w:hAnsi="微软雅黑" w:eastAsia="微软雅黑"/>
        </w:rPr>
        <w:t>7.3 下行情景压力测试</w:t>
      </w:r>
    </w:p>
    <w:p>
      <w:pPr>
        <w:spacing w:line="360" w:lineRule="auto" w:after="120"/>
        <w:ind w:firstLine="420"/>
      </w:pPr>
      <w:r>
        <w:rPr>
          <w:rFonts w:ascii="微软雅黑" w:hAnsi="微软雅黑" w:eastAsia="微软雅黑"/>
          <w:b w:val="0"/>
          <w:sz w:val="22"/>
        </w:rPr>
        <w:t>在最悲观的组合下（2030年营收仅5亿、PS 0.8x、累计稀释70%），天使轮投资人退出价值约600万元，MOIC仅约4.0x——仍为正收益但远低于目标回报。这说明即使极端悲观情景下，投资本金（150万元）大概率不会完全损失，但回报水平可能不足以覆盖天使轮风险。投资人应重点评估BP营收假设的合理性和下行风险。</w:t>
      </w:r>
    </w:p>
    <w:p>
      <w:r>
        <w:br w:type="page"/>
      </w:r>
    </w:p>
    <w:p>
      <w:pPr>
        <w:pStyle w:val="Heading1"/>
      </w:pPr>
      <w:r>
        <w:rPr>
          <w:rFonts w:ascii="微软雅黑" w:hAnsi="微软雅黑" w:eastAsia="微软雅黑"/>
        </w:rPr>
        <w:t>八、风险提示</w:t>
      </w:r>
    </w:p>
    <w:p>
      <w:pPr>
        <w:spacing w:line="360" w:lineRule="auto" w:after="120"/>
        <w:ind w:firstLine="420"/>
      </w:pPr>
      <w:r>
        <w:rPr>
          <w:rFonts w:ascii="微软雅黑" w:hAnsi="微软雅黑" w:eastAsia="微软雅黑"/>
          <w:b w:val="0"/>
          <w:sz w:val="22"/>
        </w:rPr>
        <w:t>以下风险因素是天使轮投资的固有特征，投资人应在决策时予以充分考虑。本报告对风险因素的独立分析基于公开可得信息和行业通用认知，不代表公司方的风险披露，也不构成风险已被穷尽的保证。</w:t>
      </w:r>
    </w:p>
    <w:p>
      <w:pPr>
        <w:pStyle w:val="Heading2"/>
      </w:pPr>
      <w:r>
        <w:rPr>
          <w:rFonts w:ascii="微软雅黑" w:hAnsi="微软雅黑" w:eastAsia="微软雅黑"/>
        </w:rPr>
        <w:t>8.1 收入预测未经验证（风险等级：高）</w:t>
      </w:r>
    </w:p>
    <w:p>
      <w:pPr>
        <w:spacing w:line="360" w:lineRule="auto" w:after="120"/>
        <w:ind w:firstLine="420"/>
      </w:pPr>
      <w:r>
        <w:rPr>
          <w:rFonts w:ascii="微软雅黑" w:hAnsi="微软雅黑" w:eastAsia="微软雅黑"/>
          <w:b w:val="0"/>
          <w:sz w:val="22"/>
        </w:rPr>
        <w:t>天使轮公司通常没有历史财务数据支撑，BP中从2,000万到20亿的五年营收预测（CAGR 216%）高度依赖于多项关键假设的同时兑现。实际执行中任何一个环节的偏差都可能导致营收大幅偏离预测。建议投资人重点审阅试点机构的合作意向函和订单/LOI等客观证据。</w:t>
      </w:r>
    </w:p>
    <w:p>
      <w:pPr>
        <w:pStyle w:val="Heading2"/>
      </w:pPr>
      <w:r>
        <w:rPr>
          <w:rFonts w:ascii="微软雅黑" w:hAnsi="微软雅黑" w:eastAsia="微软雅黑"/>
        </w:rPr>
        <w:t>8.2 硬件量产与供应链风险（风险等级：高）</w:t>
      </w:r>
    </w:p>
    <w:p>
      <w:pPr>
        <w:spacing w:line="360" w:lineRule="auto" w:after="120"/>
        <w:ind w:firstLine="420"/>
      </w:pPr>
      <w:r>
        <w:rPr>
          <w:rFonts w:ascii="微软雅黑" w:hAnsi="微软雅黑" w:eastAsia="微软雅黑"/>
          <w:b w:val="0"/>
          <w:sz w:val="22"/>
        </w:rPr>
        <w:t>AI养老硬件涉及传感器模组（毫米波雷达芯片、生物传感器）、MCU采购、外壳开模等环节。BOM成本控制、供应链稳定性（尤其芯片供应受地缘政治影响）和良率爬坡是早期硬件公司的核心挑战。初期量小时议价能力弱，单位成本可能显著高于BP假设。</w:t>
      </w:r>
    </w:p>
    <w:p>
      <w:pPr>
        <w:pStyle w:val="Heading2"/>
      </w:pPr>
      <w:r>
        <w:rPr>
          <w:rFonts w:ascii="微软雅黑" w:hAnsi="微软雅黑" w:eastAsia="微软雅黑"/>
        </w:rPr>
        <w:t>8.3 医疗/健康合规风险（风险等级：中高）</w:t>
      </w:r>
    </w:p>
    <w:p>
      <w:pPr>
        <w:spacing w:line="360" w:lineRule="auto" w:after="120"/>
        <w:ind w:firstLine="420"/>
      </w:pPr>
      <w:r>
        <w:rPr>
          <w:rFonts w:ascii="微软雅黑" w:hAnsi="微软雅黑" w:eastAsia="微软雅黑"/>
          <w:b w:val="0"/>
          <w:sz w:val="22"/>
        </w:rPr>
        <w:t>涉及生命体征监测和跌倒预警的产品需要医疗器械备案（一类）或注册证（二类）。审批周期通常6-18个月，可能影响产品上市节奏。医疗器械注册证是进入医疗机构采购的必要条件，备案路径不清晰将直接影响B端渠道拓展。</w:t>
      </w:r>
    </w:p>
    <w:p>
      <w:pPr>
        <w:pStyle w:val="Heading2"/>
      </w:pPr>
      <w:r>
        <w:rPr>
          <w:rFonts w:ascii="微软雅黑" w:hAnsi="微软雅黑" w:eastAsia="微软雅黑"/>
        </w:rPr>
        <w:t>8.4 B2B渠道回款周期长（风险等级：中高）</w:t>
      </w:r>
    </w:p>
    <w:p>
      <w:pPr>
        <w:spacing w:line="360" w:lineRule="auto" w:after="120"/>
        <w:ind w:firstLine="420"/>
      </w:pPr>
      <w:r>
        <w:rPr>
          <w:rFonts w:ascii="微软雅黑" w:hAnsi="微软雅黑" w:eastAsia="微软雅黑"/>
          <w:b w:val="0"/>
          <w:sz w:val="22"/>
        </w:rPr>
        <w:t>养老机构和医院的采购流程长（需招标/论证/审批），回款周期通常6-12个月。对现金流管理要求较高。如果需要垫资供货（尤其是G端政府采购），可能进一步加剧现金流压力。</w:t>
      </w:r>
    </w:p>
    <w:p>
      <w:pPr>
        <w:pStyle w:val="Heading2"/>
      </w:pPr>
      <w:r>
        <w:rPr>
          <w:rFonts w:ascii="微软雅黑" w:hAnsi="微软雅黑" w:eastAsia="微软雅黑"/>
        </w:rPr>
        <w:t>8.5 SaaS续费留存未经验证（风险等级：中）</w:t>
      </w:r>
    </w:p>
    <w:p>
      <w:pPr>
        <w:spacing w:line="360" w:lineRule="auto" w:after="120"/>
        <w:ind w:firstLine="420"/>
      </w:pPr>
      <w:r>
        <w:rPr>
          <w:rFonts w:ascii="微软雅黑" w:hAnsi="微软雅黑" w:eastAsia="微软雅黑"/>
          <w:b w:val="0"/>
          <w:sz w:val="22"/>
        </w:rPr>
        <w:t>机构SaaS订阅和家庭订阅的续约率（NRR）是SaaS估值的核心指标。天使轮阶段无任何续费数据，BP假设的高续约率尚未经过真实市场验证。如果NRR低于预期，ARR的复利增长效应将大打折扣。</w:t>
      </w:r>
    </w:p>
    <w:p>
      <w:pPr>
        <w:pStyle w:val="Heading2"/>
      </w:pPr>
      <w:r>
        <w:rPr>
          <w:rFonts w:ascii="微软雅黑" w:hAnsi="微软雅黑" w:eastAsia="微软雅黑"/>
        </w:rPr>
        <w:t>8.6 后续融资稀释风险（风险等级：中）</w:t>
      </w:r>
    </w:p>
    <w:p>
      <w:pPr>
        <w:spacing w:line="360" w:lineRule="auto" w:after="120"/>
        <w:ind w:firstLine="420"/>
      </w:pPr>
      <w:r>
        <w:rPr>
          <w:rFonts w:ascii="微软雅黑" w:hAnsi="微软雅黑" w:eastAsia="微软雅黑"/>
          <w:b w:val="0"/>
          <w:sz w:val="22"/>
        </w:rPr>
        <w:t>从天使轮到IPO通常需要3-5轮后续融资（A/B/C/Pre-IPO），创始人股权可能从100%稀释至30-40%。天使轮投资人同样面临显著稀释——本轮10%股权到IPO时可能仅保留约4-5%。此外，如果后续融资估值不及预期，天使轮的MOIC将大幅缩水。</w:t>
      </w:r>
    </w:p>
    <w:p>
      <w:pPr>
        <w:pStyle w:val="Heading2"/>
      </w:pPr>
      <w:r>
        <w:rPr>
          <w:rFonts w:ascii="微软雅黑" w:hAnsi="微软雅黑" w:eastAsia="微软雅黑"/>
        </w:rPr>
        <w:t>8.7 竞争格局演变（风险等级：中）</w:t>
      </w:r>
    </w:p>
    <w:p>
      <w:pPr>
        <w:spacing w:line="360" w:lineRule="auto" w:after="120"/>
        <w:ind w:firstLine="420"/>
      </w:pPr>
      <w:r>
        <w:rPr>
          <w:rFonts w:ascii="微软雅黑" w:hAnsi="微软雅黑" w:eastAsia="微软雅黑"/>
          <w:b w:val="0"/>
          <w:sz w:val="22"/>
        </w:rPr>
        <w:t>百度小度、阿里等互联网巨头正在布局AI养老，迈瑞医疗、鱼跃医疗等传统医疗器械商也在AI化转型。如果巨头在2-3年内大举进入，凭借其品牌和流量优势，可能显著挤压初创企业的市场空间。岁锦科技的窗口期有限，需要在此之前建立足够的护城河。</w:t>
      </w:r>
    </w:p>
    <w:p>
      <w:pPr>
        <w:pStyle w:val="Heading2"/>
      </w:pPr>
      <w:r>
        <w:rPr>
          <w:rFonts w:ascii="微软雅黑" w:hAnsi="微软雅黑" w:eastAsia="微软雅黑"/>
        </w:rPr>
        <w:t>8.8 关键人风险（风险等级：中）</w:t>
      </w:r>
    </w:p>
    <w:p>
      <w:pPr>
        <w:spacing w:line="360" w:lineRule="auto" w:after="120"/>
        <w:ind w:firstLine="420"/>
      </w:pPr>
      <w:r>
        <w:rPr>
          <w:rFonts w:ascii="微软雅黑" w:hAnsi="微软雅黑" w:eastAsia="微软雅黑"/>
          <w:b w:val="0"/>
          <w:sz w:val="22"/>
        </w:rPr>
        <w:t>公司核心团队25人，研发占比60%，高度依赖少数核心技术骨干。CEO的行业经验和融资能力、CTO的算法研发能力、CPO的硬件设计能力是公司核心竞争力的关键支撑。关键人员的流失可能对产品研发进度和公司运营产生重大影响。</w:t>
      </w:r>
    </w:p>
    <w:p>
      <w:r>
        <w:br w:type="page"/>
      </w:r>
    </w:p>
    <w:p>
      <w:pPr>
        <w:pStyle w:val="Heading1"/>
      </w:pPr>
      <w:r>
        <w:rPr>
          <w:rFonts w:ascii="微软雅黑" w:hAnsi="微软雅黑" w:eastAsia="微软雅黑"/>
        </w:rPr>
        <w:t>九、关键尽调建议</w:t>
      </w:r>
    </w:p>
    <w:p>
      <w:pPr>
        <w:spacing w:line="360" w:lineRule="auto" w:after="120"/>
        <w:ind w:firstLine="420"/>
      </w:pPr>
      <w:r>
        <w:rPr>
          <w:rFonts w:ascii="微软雅黑" w:hAnsi="微软雅黑" w:eastAsia="微软雅黑"/>
          <w:b w:val="0"/>
          <w:sz w:val="22"/>
        </w:rPr>
        <w:t>基于估值分析过程中识别的关键假设和风险点，建议投资人在尽职调查中重点关注以下八个方面。这些尽调问题的答案可能对估值结论产生实质性影响。</w:t>
      </w:r>
    </w:p>
    <w:p>
      <w:pPr>
        <w:pStyle w:val="Heading2"/>
      </w:pPr>
      <w:r>
        <w:rPr>
          <w:rFonts w:ascii="微软雅黑" w:hAnsi="微软雅黑" w:eastAsia="微软雅黑"/>
        </w:rPr>
        <w:t>9.1 BP营收假设审验</w:t>
      </w:r>
    </w:p>
    <w:p>
      <w:pPr>
        <w:spacing w:line="360" w:lineRule="auto" w:after="120"/>
        <w:ind w:firstLine="420"/>
      </w:pPr>
      <w:r>
        <w:rPr>
          <w:rFonts w:ascii="微软雅黑" w:hAnsi="微软雅黑" w:eastAsia="微软雅黑"/>
          <w:b w:val="0"/>
          <w:sz w:val="22"/>
        </w:rPr>
        <w:t>核验2026-2027年试点机构的合作意向函或LOI；评估从5家到30家再到300+家机构的扩张路径可行性；拆解硬件销量、ASP、机构SaaS ARPA、家庭订阅用户数等底层驱动因素。</w:t>
      </w:r>
    </w:p>
    <w:p>
      <w:pPr>
        <w:pStyle w:val="Heading2"/>
      </w:pPr>
      <w:r>
        <w:rPr>
          <w:rFonts w:ascii="微软雅黑" w:hAnsi="微软雅黑" w:eastAsia="微软雅黑"/>
        </w:rPr>
        <w:t>9.2 硬件BOM与供应链</w:t>
      </w:r>
    </w:p>
    <w:p>
      <w:pPr>
        <w:spacing w:line="360" w:lineRule="auto" w:after="120"/>
        <w:ind w:firstLine="420"/>
      </w:pPr>
      <w:r>
        <w:rPr>
          <w:rFonts w:ascii="微软雅黑" w:hAnsi="微软雅黑" w:eastAsia="微软雅黑"/>
          <w:b w:val="0"/>
          <w:sz w:val="22"/>
        </w:rPr>
        <w:t>核查主要硬件产品的BOM清单和成本构成，走访关键供应商（传感器、芯片），评估毫米波雷达芯片和生物传感器模组的供应稳定性和价格趋势。</w:t>
      </w:r>
    </w:p>
    <w:p>
      <w:pPr>
        <w:pStyle w:val="Heading2"/>
      </w:pPr>
      <w:r>
        <w:rPr>
          <w:rFonts w:ascii="微软雅黑" w:hAnsi="微软雅黑" w:eastAsia="微软雅黑"/>
        </w:rPr>
        <w:t>9.3 医疗器械注册进度</w:t>
      </w:r>
    </w:p>
    <w:p>
      <w:pPr>
        <w:spacing w:line="360" w:lineRule="auto" w:after="120"/>
        <w:ind w:firstLine="420"/>
      </w:pPr>
      <w:r>
        <w:rPr>
          <w:rFonts w:ascii="微软雅黑" w:hAnsi="微软雅黑" w:eastAsia="微软雅黑"/>
          <w:b w:val="0"/>
          <w:sz w:val="22"/>
        </w:rPr>
        <w:t>确认核心产品（守护环、卫士）的医疗器械分类和注册路径；了解当前注册进度和预期获批时间；访谈CRO和监管顾问，评估审批风险和时间表。</w:t>
      </w:r>
    </w:p>
    <w:p>
      <w:pPr>
        <w:pStyle w:val="Heading2"/>
      </w:pPr>
      <w:r>
        <w:rPr>
          <w:rFonts w:ascii="微软雅黑" w:hAnsi="微软雅黑" w:eastAsia="微软雅黑"/>
        </w:rPr>
        <w:t>9.4 团队能力评估</w:t>
      </w:r>
    </w:p>
    <w:p>
      <w:pPr>
        <w:spacing w:line="360" w:lineRule="auto" w:after="120"/>
        <w:ind w:firstLine="420"/>
      </w:pPr>
      <w:r>
        <w:rPr>
          <w:rFonts w:ascii="微软雅黑" w:hAnsi="微软雅黑" w:eastAsia="微软雅黑"/>
          <w:b w:val="0"/>
          <w:sz w:val="22"/>
        </w:rPr>
        <w:t>与CEO、CTO、CPO、COO逐一深度访谈，评估AI算法、硬件工程、医疗合规、销售渠道各条线的能力完备性；识别关键人依赖风险和团队稳定性。</w:t>
      </w:r>
    </w:p>
    <w:p>
      <w:pPr>
        <w:pStyle w:val="Heading2"/>
      </w:pPr>
      <w:r>
        <w:rPr>
          <w:rFonts w:ascii="微软雅黑" w:hAnsi="微软雅黑" w:eastAsia="微软雅黑"/>
        </w:rPr>
        <w:t>9.5 客户与渠道验证</w:t>
      </w:r>
    </w:p>
    <w:p>
      <w:pPr>
        <w:spacing w:line="360" w:lineRule="auto" w:after="120"/>
        <w:ind w:firstLine="420"/>
      </w:pPr>
      <w:r>
        <w:rPr>
          <w:rFonts w:ascii="微软雅黑" w:hAnsi="微软雅黑" w:eastAsia="微软雅黑"/>
          <w:b w:val="0"/>
          <w:sz w:val="22"/>
        </w:rPr>
        <w:t>访谈已签约或意向合作的养老机构负责人和采购决策者，了解其采购流程、预算安排、决策周期和切换成本；实地走访试点机构，观察产品使用情况和用户反馈。</w:t>
      </w:r>
    </w:p>
    <w:p>
      <w:pPr>
        <w:pStyle w:val="Heading2"/>
      </w:pPr>
      <w:r>
        <w:rPr>
          <w:rFonts w:ascii="微软雅黑" w:hAnsi="微软雅黑" w:eastAsia="微软雅黑"/>
        </w:rPr>
        <w:t>9.6 知识产权与专利布局</w:t>
      </w:r>
    </w:p>
    <w:p>
      <w:pPr>
        <w:spacing w:line="360" w:lineRule="auto" w:after="120"/>
        <w:ind w:firstLine="420"/>
      </w:pPr>
      <w:r>
        <w:rPr>
          <w:rFonts w:ascii="微软雅黑" w:hAnsi="微软雅黑" w:eastAsia="微软雅黑"/>
          <w:b w:val="0"/>
          <w:sz w:val="22"/>
        </w:rPr>
        <w:t>核查公司专利申请和授权情况（发明专利 vs 实用新型）；评估核心算法和硬件设计的自主知识产权比例；进行FTO检索，排除侵权风险。</w:t>
      </w:r>
    </w:p>
    <w:p>
      <w:pPr>
        <w:pStyle w:val="Heading2"/>
      </w:pPr>
      <w:r>
        <w:rPr>
          <w:rFonts w:ascii="微软雅黑" w:hAnsi="微软雅黑" w:eastAsia="微软雅黑"/>
        </w:rPr>
        <w:t>9.7 竞争差异化验证</w:t>
      </w:r>
    </w:p>
    <w:p>
      <w:pPr>
        <w:spacing w:line="360" w:lineRule="auto" w:after="120"/>
        <w:ind w:firstLine="420"/>
      </w:pPr>
      <w:r>
        <w:rPr>
          <w:rFonts w:ascii="微软雅黑" w:hAnsi="微软雅黑" w:eastAsia="微软雅黑"/>
          <w:b w:val="0"/>
          <w:sz w:val="22"/>
        </w:rPr>
        <w:t>实地对比竞品产品（百度小度养老版、鹰瞳AI诊断、鱼跃健康监测等），从产品体验、价格、渠道三个维度评估岁锦科技的差异化竞争力是否真实成立。</w:t>
      </w:r>
    </w:p>
    <w:p>
      <w:pPr>
        <w:pStyle w:val="Heading2"/>
      </w:pPr>
      <w:r>
        <w:rPr>
          <w:rFonts w:ascii="微软雅黑" w:hAnsi="微软雅黑" w:eastAsia="微软雅黑"/>
        </w:rPr>
        <w:t>9.8 财务法务尽调</w:t>
      </w:r>
    </w:p>
    <w:p>
      <w:pPr>
        <w:spacing w:line="360" w:lineRule="auto" w:after="120"/>
        <w:ind w:firstLine="420"/>
      </w:pPr>
      <w:r>
        <w:rPr>
          <w:rFonts w:ascii="微软雅黑" w:hAnsi="微软雅黑" w:eastAsia="微软雅黑"/>
          <w:b w:val="0"/>
          <w:sz w:val="22"/>
        </w:rPr>
        <w:t>审查公司注册资本、股权结构、现有债务和担保、员工期权池设置（是否存在但未披露）、历史融资条款、关联交易、核心员工劳动合同和竞业限制协议。</w:t>
      </w:r>
    </w:p>
    <w:p>
      <w:r>
        <w:br w:type="page"/>
      </w:r>
    </w:p>
    <w:p>
      <w:pPr>
        <w:pStyle w:val="Heading1"/>
      </w:pPr>
      <w:r>
        <w:rPr>
          <w:rFonts w:ascii="微软雅黑" w:hAnsi="微软雅黑" w:eastAsia="微软雅黑"/>
        </w:rPr>
        <w:t>附录</w:t>
      </w:r>
    </w:p>
    <w:p>
      <w:pPr>
        <w:pStyle w:val="Heading2"/>
      </w:pPr>
      <w:r>
        <w:rPr>
          <w:rFonts w:ascii="微软雅黑" w:hAnsi="微软雅黑" w:eastAsia="微软雅黑"/>
        </w:rPr>
        <w:t>附录A：估值模型核心假设汇总</w:t>
      </w:r>
    </w:p>
    <w:p>
      <w:pPr>
        <w:spacing w:line="360" w:lineRule="auto" w:after="120"/>
        <w:ind w:firstLine="420"/>
      </w:pPr>
      <w:r>
        <w:rPr>
          <w:rFonts w:ascii="微软雅黑" w:hAnsi="微软雅黑" w:eastAsia="微软雅黑"/>
          <w:b w:val="0"/>
          <w:sz w:val="22"/>
        </w:rPr>
        <w:t>以下是估值模型中使用的主要假设参数，供追溯和验证。</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F4E79"/>
          </w:tcPr>
          <w:p>
            <w:pPr>
              <w:jc w:val="center"/>
            </w:pPr>
            <w:r>
              <w:rPr>
                <w:rFonts w:ascii="微软雅黑" w:hAnsi="微软雅黑" w:eastAsia="微软雅黑"/>
                <w:b/>
                <w:color w:val="FFFFFF"/>
                <w:sz w:val="18"/>
              </w:rPr>
              <w:t>参数</w:t>
            </w:r>
          </w:p>
        </w:tc>
        <w:tc>
          <w:tcPr>
            <w:tcW w:type="dxa" w:w="2268"/>
            <w:shd w:fill="1F4E79"/>
          </w:tcPr>
          <w:p>
            <w:pPr>
              <w:jc w:val="center"/>
            </w:pPr>
            <w:r>
              <w:rPr>
                <w:rFonts w:ascii="微软雅黑" w:hAnsi="微软雅黑" w:eastAsia="微软雅黑"/>
                <w:b/>
                <w:color w:val="FFFFFF"/>
                <w:sz w:val="18"/>
              </w:rPr>
              <w:t>假设值</w:t>
            </w:r>
          </w:p>
        </w:tc>
        <w:tc>
          <w:tcPr>
            <w:tcW w:type="dxa" w:w="3118"/>
            <w:shd w:fill="1F4E79"/>
          </w:tcPr>
          <w:p>
            <w:pPr>
              <w:jc w:val="center"/>
            </w:pPr>
            <w:r>
              <w:rPr>
                <w:rFonts w:ascii="微软雅黑" w:hAnsi="微软雅黑" w:eastAsia="微软雅黑"/>
                <w:b/>
                <w:color w:val="FFFFFF"/>
                <w:sz w:val="18"/>
              </w:rPr>
              <w:t>依据来源</w:t>
            </w:r>
          </w:p>
        </w:tc>
        <w:tc>
          <w:tcPr>
            <w:tcW w:type="dxa" w:w="850"/>
            <w:shd w:fill="1F4E79"/>
          </w:tcPr>
          <w:p>
            <w:pPr>
              <w:jc w:val="center"/>
            </w:pPr>
            <w:r>
              <w:rPr>
                <w:rFonts w:ascii="微软雅黑" w:hAnsi="微软雅黑" w:eastAsia="微软雅黑"/>
                <w:b/>
                <w:color w:val="FFFFFF"/>
                <w:sz w:val="18"/>
              </w:rPr>
              <w:t>置信度</w:t>
            </w:r>
          </w:p>
        </w:tc>
      </w:tr>
      <w:tr>
        <w:tc>
          <w:tcPr>
            <w:tcW w:type="dxa" w:w="1984"/>
          </w:tcPr>
          <w:p>
            <w:pPr>
              <w:jc w:val="left"/>
            </w:pPr>
            <w:r>
              <w:rPr>
                <w:rFonts w:ascii="微软雅黑" w:hAnsi="微软雅黑" w:eastAsia="微软雅黑"/>
                <w:b/>
                <w:sz w:val="18"/>
              </w:rPr>
              <w:t>退出年份</w:t>
            </w:r>
          </w:p>
        </w:tc>
        <w:tc>
          <w:tcPr>
            <w:tcW w:type="dxa" w:w="2268"/>
          </w:tcPr>
          <w:p>
            <w:pPr>
              <w:jc w:val="center"/>
            </w:pPr>
            <w:r>
              <w:rPr>
                <w:rFonts w:ascii="微软雅黑" w:hAnsi="微软雅黑" w:eastAsia="微软雅黑"/>
                <w:b w:val="0"/>
                <w:sz w:val="18"/>
              </w:rPr>
              <w:t>2030年（5年后）</w:t>
            </w:r>
          </w:p>
        </w:tc>
        <w:tc>
          <w:tcPr>
            <w:tcW w:type="dxa" w:w="3118"/>
          </w:tcPr>
          <w:p>
            <w:pPr>
              <w:jc w:val="center"/>
            </w:pPr>
            <w:r>
              <w:rPr>
                <w:rFonts w:ascii="微软雅黑" w:hAnsi="微软雅黑" w:eastAsia="微软雅黑"/>
                <w:b w:val="0"/>
                <w:sz w:val="18"/>
              </w:rPr>
              <w:t>天使轮典型持有期5-7年</w:t>
            </w:r>
          </w:p>
        </w:tc>
        <w:tc>
          <w:tcPr>
            <w:tcW w:type="dxa" w:w="850"/>
          </w:tcPr>
          <w:p>
            <w:pPr>
              <w:jc w:val="center"/>
            </w:pPr>
            <w:r>
              <w:rPr>
                <w:rFonts w:ascii="微软雅黑" w:hAnsi="微软雅黑" w:eastAsia="微软雅黑"/>
                <w:b w:val="0"/>
                <w:sz w:val="18"/>
              </w:rPr>
              <w:t>中</w:t>
            </w:r>
          </w:p>
        </w:tc>
      </w:tr>
      <w:tr>
        <w:tc>
          <w:tcPr>
            <w:tcW w:type="dxa" w:w="1984"/>
            <w:shd w:fill="D6E4F0"/>
          </w:tcPr>
          <w:p>
            <w:pPr>
              <w:jc w:val="left"/>
            </w:pPr>
            <w:r>
              <w:rPr>
                <w:rFonts w:ascii="微软雅黑" w:hAnsi="微软雅黑" w:eastAsia="微软雅黑"/>
                <w:b/>
                <w:sz w:val="18"/>
              </w:rPr>
              <w:t>退出方式</w:t>
            </w:r>
          </w:p>
        </w:tc>
        <w:tc>
          <w:tcPr>
            <w:tcW w:type="dxa" w:w="2268"/>
            <w:shd w:fill="D6E4F0"/>
          </w:tcPr>
          <w:p>
            <w:pPr>
              <w:jc w:val="center"/>
            </w:pPr>
            <w:r>
              <w:rPr>
                <w:rFonts w:ascii="微软雅黑" w:hAnsi="微软雅黑" w:eastAsia="微软雅黑"/>
                <w:b w:val="0"/>
                <w:sz w:val="18"/>
              </w:rPr>
              <w:t>IPO/战略并购</w:t>
            </w:r>
          </w:p>
        </w:tc>
        <w:tc>
          <w:tcPr>
            <w:tcW w:type="dxa" w:w="3118"/>
            <w:shd w:fill="D6E4F0"/>
          </w:tcPr>
          <w:p>
            <w:pPr>
              <w:jc w:val="center"/>
            </w:pPr>
            <w:r>
              <w:rPr>
                <w:rFonts w:ascii="微软雅黑" w:hAnsi="微软雅黑" w:eastAsia="微软雅黑"/>
                <w:b w:val="0"/>
                <w:sz w:val="18"/>
              </w:rPr>
              <w:t>行业通用退出路径</w:t>
            </w:r>
          </w:p>
        </w:tc>
        <w:tc>
          <w:tcPr>
            <w:tcW w:type="dxa" w:w="850"/>
            <w:shd w:fill="D6E4F0"/>
          </w:tcPr>
          <w:p>
            <w:pPr>
              <w:jc w:val="center"/>
            </w:pPr>
            <w:r>
              <w:rPr>
                <w:rFonts w:ascii="微软雅黑" w:hAnsi="微软雅黑" w:eastAsia="微软雅黑"/>
                <w:b w:val="0"/>
                <w:sz w:val="18"/>
              </w:rPr>
              <w:t>中</w:t>
            </w:r>
          </w:p>
        </w:tc>
      </w:tr>
      <w:tr>
        <w:tc>
          <w:tcPr>
            <w:tcW w:type="dxa" w:w="1984"/>
          </w:tcPr>
          <w:p>
            <w:pPr>
              <w:jc w:val="left"/>
            </w:pPr>
            <w:r>
              <w:rPr>
                <w:rFonts w:ascii="微软雅黑" w:hAnsi="微软雅黑" w:eastAsia="微软雅黑"/>
                <w:b/>
                <w:sz w:val="18"/>
              </w:rPr>
              <w:t>目标回报（MOIC）</w:t>
            </w:r>
          </w:p>
        </w:tc>
        <w:tc>
          <w:tcPr>
            <w:tcW w:type="dxa" w:w="2268"/>
          </w:tcPr>
          <w:p>
            <w:pPr>
              <w:jc w:val="center"/>
            </w:pPr>
            <w:r>
              <w:rPr>
                <w:rFonts w:ascii="微软雅黑" w:hAnsi="微软雅黑" w:eastAsia="微软雅黑"/>
                <w:b w:val="0"/>
                <w:sz w:val="18"/>
              </w:rPr>
              <w:t>≥ 8x</w:t>
            </w:r>
          </w:p>
        </w:tc>
        <w:tc>
          <w:tcPr>
            <w:tcW w:type="dxa" w:w="3118"/>
          </w:tcPr>
          <w:p>
            <w:pPr>
              <w:jc w:val="center"/>
            </w:pPr>
            <w:r>
              <w:rPr>
                <w:rFonts w:ascii="微软雅黑" w:hAnsi="微软雅黑" w:eastAsia="微软雅黑"/>
                <w:b w:val="0"/>
                <w:sz w:val="18"/>
              </w:rPr>
              <w:t>天使轮风险对应的行业标准回报</w:t>
            </w:r>
          </w:p>
        </w:tc>
        <w:tc>
          <w:tcPr>
            <w:tcW w:type="dxa" w:w="850"/>
          </w:tcPr>
          <w:p>
            <w:pPr>
              <w:jc w:val="center"/>
            </w:pPr>
            <w:r>
              <w:rPr>
                <w:rFonts w:ascii="微软雅黑" w:hAnsi="微软雅黑" w:eastAsia="微软雅黑"/>
                <w:b w:val="0"/>
                <w:sz w:val="18"/>
              </w:rPr>
              <w:t>中高</w:t>
            </w:r>
          </w:p>
        </w:tc>
      </w:tr>
      <w:tr>
        <w:tc>
          <w:tcPr>
            <w:tcW w:type="dxa" w:w="1984"/>
            <w:shd w:fill="D6E4F0"/>
          </w:tcPr>
          <w:p>
            <w:pPr>
              <w:jc w:val="left"/>
            </w:pPr>
            <w:r>
              <w:rPr>
                <w:rFonts w:ascii="微软雅黑" w:hAnsi="微软雅黑" w:eastAsia="微软雅黑"/>
                <w:b/>
                <w:sz w:val="18"/>
              </w:rPr>
              <w:t>2030E营收（基准）</w:t>
            </w:r>
          </w:p>
        </w:tc>
        <w:tc>
          <w:tcPr>
            <w:tcW w:type="dxa" w:w="2268"/>
            <w:shd w:fill="D6E4F0"/>
          </w:tcPr>
          <w:p>
            <w:pPr>
              <w:jc w:val="center"/>
            </w:pPr>
            <w:r>
              <w:rPr>
                <w:rFonts w:ascii="微软雅黑" w:hAnsi="微软雅黑" w:eastAsia="微软雅黑"/>
                <w:b w:val="0"/>
                <w:sz w:val="18"/>
              </w:rPr>
              <w:t>20亿元</w:t>
            </w:r>
          </w:p>
        </w:tc>
        <w:tc>
          <w:tcPr>
            <w:tcW w:type="dxa" w:w="3118"/>
            <w:shd w:fill="D6E4F0"/>
          </w:tcPr>
          <w:p>
            <w:pPr>
              <w:jc w:val="center"/>
            </w:pPr>
            <w:r>
              <w:rPr>
                <w:rFonts w:ascii="微软雅黑" w:hAnsi="微软雅黑" w:eastAsia="微软雅黑"/>
                <w:b w:val="0"/>
                <w:sz w:val="18"/>
              </w:rPr>
              <w:t>公司BP预测</w:t>
            </w:r>
          </w:p>
        </w:tc>
        <w:tc>
          <w:tcPr>
            <w:tcW w:type="dxa" w:w="850"/>
            <w:shd w:fill="D6E4F0"/>
          </w:tcPr>
          <w:p>
            <w:pPr>
              <w:jc w:val="center"/>
            </w:pPr>
            <w:r>
              <w:rPr>
                <w:rFonts w:ascii="微软雅黑" w:hAnsi="微软雅黑" w:eastAsia="微软雅黑"/>
                <w:b w:val="0"/>
                <w:sz w:val="18"/>
              </w:rPr>
              <w:t>中低</w:t>
            </w:r>
          </w:p>
        </w:tc>
      </w:tr>
      <w:tr>
        <w:tc>
          <w:tcPr>
            <w:tcW w:type="dxa" w:w="1984"/>
          </w:tcPr>
          <w:p>
            <w:pPr>
              <w:jc w:val="left"/>
            </w:pPr>
            <w:r>
              <w:rPr>
                <w:rFonts w:ascii="微软雅黑" w:hAnsi="微软雅黑" w:eastAsia="微软雅黑"/>
                <w:b/>
                <w:sz w:val="18"/>
              </w:rPr>
              <w:t>退出PS倍数（基准）</w:t>
            </w:r>
          </w:p>
        </w:tc>
        <w:tc>
          <w:tcPr>
            <w:tcW w:type="dxa" w:w="2268"/>
          </w:tcPr>
          <w:p>
            <w:pPr>
              <w:jc w:val="center"/>
            </w:pPr>
            <w:r>
              <w:rPr>
                <w:rFonts w:ascii="微软雅黑" w:hAnsi="微软雅黑" w:eastAsia="微软雅黑"/>
                <w:b w:val="0"/>
                <w:sz w:val="18"/>
              </w:rPr>
              <w:t>1.8x</w:t>
            </w:r>
          </w:p>
        </w:tc>
        <w:tc>
          <w:tcPr>
            <w:tcW w:type="dxa" w:w="3118"/>
          </w:tcPr>
          <w:p>
            <w:pPr>
              <w:jc w:val="center"/>
            </w:pPr>
            <w:r>
              <w:rPr>
                <w:rFonts w:ascii="微软雅黑" w:hAnsi="微软雅黑" w:eastAsia="微软雅黑"/>
                <w:b w:val="0"/>
                <w:sz w:val="18"/>
              </w:rPr>
              <w:t>低于可比上市公司中位数3.5x，体现流动性折价</w:t>
            </w:r>
          </w:p>
        </w:tc>
        <w:tc>
          <w:tcPr>
            <w:tcW w:type="dxa" w:w="850"/>
          </w:tcPr>
          <w:p>
            <w:pPr>
              <w:jc w:val="center"/>
            </w:pPr>
            <w:r>
              <w:rPr>
                <w:rFonts w:ascii="微软雅黑" w:hAnsi="微软雅黑" w:eastAsia="微软雅黑"/>
                <w:b w:val="0"/>
                <w:sz w:val="18"/>
              </w:rPr>
              <w:t>中低</w:t>
            </w:r>
          </w:p>
        </w:tc>
      </w:tr>
      <w:tr>
        <w:tc>
          <w:tcPr>
            <w:tcW w:type="dxa" w:w="1984"/>
            <w:shd w:fill="D6E4F0"/>
          </w:tcPr>
          <w:p>
            <w:pPr>
              <w:jc w:val="left"/>
            </w:pPr>
            <w:r>
              <w:rPr>
                <w:rFonts w:ascii="微软雅黑" w:hAnsi="微软雅黑" w:eastAsia="微软雅黑"/>
                <w:b/>
                <w:sz w:val="18"/>
              </w:rPr>
              <w:t>2030E营收（乐观）</w:t>
            </w:r>
          </w:p>
        </w:tc>
        <w:tc>
          <w:tcPr>
            <w:tcW w:type="dxa" w:w="2268"/>
            <w:shd w:fill="D6E4F0"/>
          </w:tcPr>
          <w:p>
            <w:pPr>
              <w:jc w:val="center"/>
            </w:pPr>
            <w:r>
              <w:rPr>
                <w:rFonts w:ascii="微软雅黑" w:hAnsi="微软雅黑" w:eastAsia="微软雅黑"/>
                <w:b w:val="0"/>
                <w:sz w:val="18"/>
              </w:rPr>
              <w:t>25亿元</w:t>
            </w:r>
          </w:p>
        </w:tc>
        <w:tc>
          <w:tcPr>
            <w:tcW w:type="dxa" w:w="3118"/>
            <w:shd w:fill="D6E4F0"/>
          </w:tcPr>
          <w:p>
            <w:pPr>
              <w:jc w:val="center"/>
            </w:pPr>
            <w:r>
              <w:rPr>
                <w:rFonts w:ascii="微软雅黑" w:hAnsi="微软雅黑" w:eastAsia="微软雅黑"/>
                <w:b w:val="0"/>
                <w:sz w:val="18"/>
              </w:rPr>
              <w:t>BP预测上浮25%</w:t>
            </w:r>
          </w:p>
        </w:tc>
        <w:tc>
          <w:tcPr>
            <w:tcW w:type="dxa" w:w="850"/>
            <w:shd w:fill="D6E4F0"/>
          </w:tcPr>
          <w:p>
            <w:pPr>
              <w:jc w:val="center"/>
            </w:pPr>
            <w:r>
              <w:rPr>
                <w:rFonts w:ascii="微软雅黑" w:hAnsi="微软雅黑" w:eastAsia="微软雅黑"/>
                <w:b w:val="0"/>
                <w:sz w:val="18"/>
              </w:rPr>
              <w:t>低</w:t>
            </w:r>
          </w:p>
        </w:tc>
      </w:tr>
      <w:tr>
        <w:tc>
          <w:tcPr>
            <w:tcW w:type="dxa" w:w="1984"/>
          </w:tcPr>
          <w:p>
            <w:pPr>
              <w:jc w:val="left"/>
            </w:pPr>
            <w:r>
              <w:rPr>
                <w:rFonts w:ascii="微软雅黑" w:hAnsi="微软雅黑" w:eastAsia="微软雅黑"/>
                <w:b/>
                <w:sz w:val="18"/>
              </w:rPr>
              <w:t>2030E营收（悲观）</w:t>
            </w:r>
          </w:p>
        </w:tc>
        <w:tc>
          <w:tcPr>
            <w:tcW w:type="dxa" w:w="2268"/>
          </w:tcPr>
          <w:p>
            <w:pPr>
              <w:jc w:val="center"/>
            </w:pPr>
            <w:r>
              <w:rPr>
                <w:rFonts w:ascii="微软雅黑" w:hAnsi="微软雅黑" w:eastAsia="微软雅黑"/>
                <w:b w:val="0"/>
                <w:sz w:val="18"/>
              </w:rPr>
              <w:t>12亿元</w:t>
            </w:r>
          </w:p>
        </w:tc>
        <w:tc>
          <w:tcPr>
            <w:tcW w:type="dxa" w:w="3118"/>
          </w:tcPr>
          <w:p>
            <w:pPr>
              <w:jc w:val="center"/>
            </w:pPr>
            <w:r>
              <w:rPr>
                <w:rFonts w:ascii="微软雅黑" w:hAnsi="微软雅黑" w:eastAsia="微软雅黑"/>
                <w:b w:val="0"/>
                <w:sz w:val="18"/>
              </w:rPr>
              <w:t>BP预测下浮40%</w:t>
            </w:r>
          </w:p>
        </w:tc>
        <w:tc>
          <w:tcPr>
            <w:tcW w:type="dxa" w:w="850"/>
          </w:tcPr>
          <w:p>
            <w:pPr>
              <w:jc w:val="center"/>
            </w:pPr>
            <w:r>
              <w:rPr>
                <w:rFonts w:ascii="微软雅黑" w:hAnsi="微软雅黑" w:eastAsia="微软雅黑"/>
                <w:b w:val="0"/>
                <w:sz w:val="18"/>
              </w:rPr>
              <w:t>中</w:t>
            </w:r>
          </w:p>
        </w:tc>
      </w:tr>
      <w:tr>
        <w:tc>
          <w:tcPr>
            <w:tcW w:type="dxa" w:w="1984"/>
            <w:shd w:fill="D6E4F0"/>
          </w:tcPr>
          <w:p>
            <w:pPr>
              <w:jc w:val="left"/>
            </w:pPr>
            <w:r>
              <w:rPr>
                <w:rFonts w:ascii="微软雅黑" w:hAnsi="微软雅黑" w:eastAsia="微软雅黑"/>
                <w:b/>
                <w:sz w:val="18"/>
              </w:rPr>
              <w:t>退出PS倍数（乐观）</w:t>
            </w:r>
          </w:p>
        </w:tc>
        <w:tc>
          <w:tcPr>
            <w:tcW w:type="dxa" w:w="2268"/>
            <w:shd w:fill="D6E4F0"/>
          </w:tcPr>
          <w:p>
            <w:pPr>
              <w:jc w:val="center"/>
            </w:pPr>
            <w:r>
              <w:rPr>
                <w:rFonts w:ascii="微软雅黑" w:hAnsi="微软雅黑" w:eastAsia="微软雅黑"/>
                <w:b w:val="0"/>
                <w:sz w:val="18"/>
              </w:rPr>
              <w:t>2.8x</w:t>
            </w:r>
          </w:p>
        </w:tc>
        <w:tc>
          <w:tcPr>
            <w:tcW w:type="dxa" w:w="3118"/>
            <w:shd w:fill="D6E4F0"/>
          </w:tcPr>
          <w:p>
            <w:pPr>
              <w:jc w:val="center"/>
            </w:pPr>
            <w:r>
              <w:rPr>
                <w:rFonts w:ascii="微软雅黑" w:hAnsi="微软雅黑" w:eastAsia="微软雅黑"/>
                <w:b w:val="0"/>
                <w:sz w:val="18"/>
              </w:rPr>
              <w:t>接近可比上市公司中位数</w:t>
            </w:r>
          </w:p>
        </w:tc>
        <w:tc>
          <w:tcPr>
            <w:tcW w:type="dxa" w:w="850"/>
            <w:shd w:fill="D6E4F0"/>
          </w:tcPr>
          <w:p>
            <w:pPr>
              <w:jc w:val="center"/>
            </w:pPr>
            <w:r>
              <w:rPr>
                <w:rFonts w:ascii="微软雅黑" w:hAnsi="微软雅黑" w:eastAsia="微软雅黑"/>
                <w:b w:val="0"/>
                <w:sz w:val="18"/>
              </w:rPr>
              <w:t>低</w:t>
            </w:r>
          </w:p>
        </w:tc>
      </w:tr>
      <w:tr>
        <w:tc>
          <w:tcPr>
            <w:tcW w:type="dxa" w:w="1984"/>
          </w:tcPr>
          <w:p>
            <w:pPr>
              <w:jc w:val="left"/>
            </w:pPr>
            <w:r>
              <w:rPr>
                <w:rFonts w:ascii="微软雅黑" w:hAnsi="微软雅黑" w:eastAsia="微软雅黑"/>
                <w:b/>
                <w:sz w:val="18"/>
              </w:rPr>
              <w:t>退出PS倍数（悲观）</w:t>
            </w:r>
          </w:p>
        </w:tc>
        <w:tc>
          <w:tcPr>
            <w:tcW w:type="dxa" w:w="2268"/>
          </w:tcPr>
          <w:p>
            <w:pPr>
              <w:jc w:val="center"/>
            </w:pPr>
            <w:r>
              <w:rPr>
                <w:rFonts w:ascii="微软雅黑" w:hAnsi="微软雅黑" w:eastAsia="微软雅黑"/>
                <w:b w:val="0"/>
                <w:sz w:val="18"/>
              </w:rPr>
              <w:t>1.0x</w:t>
            </w:r>
          </w:p>
        </w:tc>
        <w:tc>
          <w:tcPr>
            <w:tcW w:type="dxa" w:w="3118"/>
          </w:tcPr>
          <w:p>
            <w:pPr>
              <w:jc w:val="center"/>
            </w:pPr>
            <w:r>
              <w:rPr>
                <w:rFonts w:ascii="微软雅黑" w:hAnsi="微软雅黑" w:eastAsia="微软雅黑"/>
                <w:b w:val="0"/>
                <w:sz w:val="18"/>
              </w:rPr>
              <w:t>极端保守假设，接近清算价值</w:t>
            </w:r>
          </w:p>
        </w:tc>
        <w:tc>
          <w:tcPr>
            <w:tcW w:type="dxa" w:w="850"/>
          </w:tcPr>
          <w:p>
            <w:pPr>
              <w:jc w:val="center"/>
            </w:pPr>
            <w:r>
              <w:rPr>
                <w:rFonts w:ascii="微软雅黑" w:hAnsi="微软雅黑" w:eastAsia="微软雅黑"/>
                <w:b w:val="0"/>
                <w:sz w:val="18"/>
              </w:rPr>
              <w:t>中</w:t>
            </w:r>
          </w:p>
        </w:tc>
      </w:tr>
      <w:tr>
        <w:tc>
          <w:tcPr>
            <w:tcW w:type="dxa" w:w="1984"/>
            <w:shd w:fill="D6E4F0"/>
          </w:tcPr>
          <w:p>
            <w:pPr>
              <w:jc w:val="left"/>
            </w:pPr>
            <w:r>
              <w:rPr>
                <w:rFonts w:ascii="微软雅黑" w:hAnsi="微软雅黑" w:eastAsia="微软雅黑"/>
                <w:b/>
                <w:sz w:val="18"/>
              </w:rPr>
              <w:t>综合毛利率</w:t>
            </w:r>
          </w:p>
        </w:tc>
        <w:tc>
          <w:tcPr>
            <w:tcW w:type="dxa" w:w="2268"/>
            <w:shd w:fill="D6E4F0"/>
          </w:tcPr>
          <w:p>
            <w:pPr>
              <w:jc w:val="center"/>
            </w:pPr>
            <w:r>
              <w:rPr>
                <w:rFonts w:ascii="微软雅黑" w:hAnsi="微软雅黑" w:eastAsia="微软雅黑"/>
                <w:b w:val="0"/>
                <w:sz w:val="18"/>
              </w:rPr>
              <w:t>52%</w:t>
            </w:r>
          </w:p>
        </w:tc>
        <w:tc>
          <w:tcPr>
            <w:tcW w:type="dxa" w:w="3118"/>
            <w:shd w:fill="D6E4F0"/>
          </w:tcPr>
          <w:p>
            <w:pPr>
              <w:jc w:val="center"/>
            </w:pPr>
            <w:r>
              <w:rPr>
                <w:rFonts w:ascii="微软雅黑" w:hAnsi="微软雅黑" w:eastAsia="微软雅黑"/>
                <w:b w:val="0"/>
                <w:sz w:val="18"/>
              </w:rPr>
              <w:t>公司BP（硬件35-40%+SaaS 75-80%加权）</w:t>
            </w:r>
          </w:p>
        </w:tc>
        <w:tc>
          <w:tcPr>
            <w:tcW w:type="dxa" w:w="850"/>
            <w:shd w:fill="D6E4F0"/>
          </w:tcPr>
          <w:p>
            <w:pPr>
              <w:jc w:val="center"/>
            </w:pPr>
            <w:r>
              <w:rPr>
                <w:rFonts w:ascii="微软雅黑" w:hAnsi="微软雅黑" w:eastAsia="微软雅黑"/>
                <w:b w:val="0"/>
                <w:sz w:val="18"/>
              </w:rPr>
              <w:t>中</w:t>
            </w:r>
          </w:p>
        </w:tc>
      </w:tr>
      <w:tr>
        <w:tc>
          <w:tcPr>
            <w:tcW w:type="dxa" w:w="1984"/>
          </w:tcPr>
          <w:p>
            <w:pPr>
              <w:jc w:val="left"/>
            </w:pPr>
            <w:r>
              <w:rPr>
                <w:rFonts w:ascii="微软雅黑" w:hAnsi="微软雅黑" w:eastAsia="微软雅黑"/>
                <w:b/>
                <w:sz w:val="18"/>
              </w:rPr>
              <w:t>2030E净利率</w:t>
            </w:r>
          </w:p>
        </w:tc>
        <w:tc>
          <w:tcPr>
            <w:tcW w:type="dxa" w:w="2268"/>
          </w:tcPr>
          <w:p>
            <w:pPr>
              <w:jc w:val="center"/>
            </w:pPr>
            <w:r>
              <w:rPr>
                <w:rFonts w:ascii="微软雅黑" w:hAnsi="微软雅黑" w:eastAsia="微软雅黑"/>
                <w:b w:val="0"/>
                <w:sz w:val="18"/>
              </w:rPr>
              <w:t>22.9%</w:t>
            </w:r>
          </w:p>
        </w:tc>
        <w:tc>
          <w:tcPr>
            <w:tcW w:type="dxa" w:w="3118"/>
          </w:tcPr>
          <w:p>
            <w:pPr>
              <w:jc w:val="center"/>
            </w:pPr>
            <w:r>
              <w:rPr>
                <w:rFonts w:ascii="微软雅黑" w:hAnsi="微软雅黑" w:eastAsia="微软雅黑"/>
                <w:b w:val="0"/>
                <w:sz w:val="18"/>
              </w:rPr>
              <w:t>公司BP预测</w:t>
            </w:r>
          </w:p>
        </w:tc>
        <w:tc>
          <w:tcPr>
            <w:tcW w:type="dxa" w:w="850"/>
          </w:tcPr>
          <w:p>
            <w:pPr>
              <w:jc w:val="center"/>
            </w:pPr>
            <w:r>
              <w:rPr>
                <w:rFonts w:ascii="微软雅黑" w:hAnsi="微软雅黑" w:eastAsia="微软雅黑"/>
                <w:b w:val="0"/>
                <w:sz w:val="18"/>
              </w:rPr>
              <w:t>中低</w:t>
            </w:r>
          </w:p>
        </w:tc>
      </w:tr>
      <w:tr>
        <w:tc>
          <w:tcPr>
            <w:tcW w:type="dxa" w:w="1984"/>
            <w:shd w:fill="D6E4F0"/>
          </w:tcPr>
          <w:p>
            <w:pPr>
              <w:jc w:val="left"/>
            </w:pPr>
            <w:r>
              <w:rPr>
                <w:rFonts w:ascii="微软雅黑" w:hAnsi="微软雅黑" w:eastAsia="微软雅黑"/>
                <w:b/>
                <w:sz w:val="18"/>
              </w:rPr>
              <w:t>累计稀释（基准）</w:t>
            </w:r>
          </w:p>
        </w:tc>
        <w:tc>
          <w:tcPr>
            <w:tcW w:type="dxa" w:w="2268"/>
            <w:shd w:fill="D6E4F0"/>
          </w:tcPr>
          <w:p>
            <w:pPr>
              <w:jc w:val="center"/>
            </w:pPr>
            <w:r>
              <w:rPr>
                <w:rFonts w:ascii="微软雅黑" w:hAnsi="微软雅黑" w:eastAsia="微软雅黑"/>
                <w:b w:val="0"/>
                <w:sz w:val="18"/>
              </w:rPr>
              <w:t>55%</w:t>
            </w:r>
          </w:p>
        </w:tc>
        <w:tc>
          <w:tcPr>
            <w:tcW w:type="dxa" w:w="3118"/>
            <w:shd w:fill="D6E4F0"/>
          </w:tcPr>
          <w:p>
            <w:pPr>
              <w:jc w:val="center"/>
            </w:pPr>
            <w:r>
              <w:rPr>
                <w:rFonts w:ascii="微软雅黑" w:hAnsi="微软雅黑" w:eastAsia="微软雅黑"/>
                <w:b w:val="0"/>
                <w:sz w:val="18"/>
              </w:rPr>
              <w:t>A/B/C/Pre-IPO四轮合计，行业经验值</w:t>
            </w:r>
          </w:p>
        </w:tc>
        <w:tc>
          <w:tcPr>
            <w:tcW w:type="dxa" w:w="850"/>
            <w:shd w:fill="D6E4F0"/>
          </w:tcPr>
          <w:p>
            <w:pPr>
              <w:jc w:val="center"/>
            </w:pPr>
            <w:r>
              <w:rPr>
                <w:rFonts w:ascii="微软雅黑" w:hAnsi="微软雅黑" w:eastAsia="微软雅黑"/>
                <w:b w:val="0"/>
                <w:sz w:val="18"/>
              </w:rPr>
              <w:t>中低</w:t>
            </w:r>
          </w:p>
        </w:tc>
      </w:tr>
      <w:tr>
        <w:tc>
          <w:tcPr>
            <w:tcW w:type="dxa" w:w="1984"/>
          </w:tcPr>
          <w:p>
            <w:pPr>
              <w:jc w:val="left"/>
            </w:pPr>
            <w:r>
              <w:rPr>
                <w:rFonts w:ascii="微软雅黑" w:hAnsi="微软雅黑" w:eastAsia="微软雅黑"/>
                <w:b/>
                <w:sz w:val="18"/>
              </w:rPr>
              <w:t>乐观情景概率</w:t>
            </w:r>
          </w:p>
        </w:tc>
        <w:tc>
          <w:tcPr>
            <w:tcW w:type="dxa" w:w="2268"/>
          </w:tcPr>
          <w:p>
            <w:pPr>
              <w:jc w:val="center"/>
            </w:pPr>
            <w:r>
              <w:rPr>
                <w:rFonts w:ascii="微软雅黑" w:hAnsi="微软雅黑" w:eastAsia="微软雅黑"/>
                <w:b w:val="0"/>
                <w:sz w:val="18"/>
              </w:rPr>
              <w:t>20%</w:t>
            </w:r>
          </w:p>
        </w:tc>
        <w:tc>
          <w:tcPr>
            <w:tcW w:type="dxa" w:w="3118"/>
          </w:tcPr>
          <w:p>
            <w:pPr>
              <w:jc w:val="center"/>
            </w:pPr>
            <w:r>
              <w:rPr>
                <w:rFonts w:ascii="微软雅黑" w:hAnsi="微软雅黑" w:eastAsia="微软雅黑"/>
                <w:b w:val="0"/>
                <w:sz w:val="18"/>
              </w:rPr>
              <w:t>分析师判断</w:t>
            </w:r>
          </w:p>
        </w:tc>
        <w:tc>
          <w:tcPr>
            <w:tcW w:type="dxa" w:w="850"/>
          </w:tcPr>
          <w:p>
            <w:pPr>
              <w:jc w:val="center"/>
            </w:pPr>
            <w:r>
              <w:rPr>
                <w:rFonts w:ascii="微软雅黑" w:hAnsi="微软雅黑" w:eastAsia="微软雅黑"/>
                <w:b w:val="0"/>
                <w:sz w:val="18"/>
              </w:rPr>
              <w:t>低</w:t>
            </w:r>
          </w:p>
        </w:tc>
      </w:tr>
      <w:tr>
        <w:tc>
          <w:tcPr>
            <w:tcW w:type="dxa" w:w="1984"/>
            <w:shd w:fill="D6E4F0"/>
          </w:tcPr>
          <w:p>
            <w:pPr>
              <w:jc w:val="left"/>
            </w:pPr>
            <w:r>
              <w:rPr>
                <w:rFonts w:ascii="微软雅黑" w:hAnsi="微软雅黑" w:eastAsia="微软雅黑"/>
                <w:b/>
                <w:sz w:val="18"/>
              </w:rPr>
              <w:t>基准情景概率</w:t>
            </w:r>
          </w:p>
        </w:tc>
        <w:tc>
          <w:tcPr>
            <w:tcW w:type="dxa" w:w="2268"/>
            <w:shd w:fill="D6E4F0"/>
          </w:tcPr>
          <w:p>
            <w:pPr>
              <w:jc w:val="center"/>
            </w:pPr>
            <w:r>
              <w:rPr>
                <w:rFonts w:ascii="微软雅黑" w:hAnsi="微软雅黑" w:eastAsia="微软雅黑"/>
                <w:b w:val="0"/>
                <w:sz w:val="18"/>
              </w:rPr>
              <w:t>55%</w:t>
            </w:r>
          </w:p>
        </w:tc>
        <w:tc>
          <w:tcPr>
            <w:tcW w:type="dxa" w:w="3118"/>
            <w:shd w:fill="D6E4F0"/>
          </w:tcPr>
          <w:p>
            <w:pPr>
              <w:jc w:val="center"/>
            </w:pPr>
            <w:r>
              <w:rPr>
                <w:rFonts w:ascii="微软雅黑" w:hAnsi="微软雅黑" w:eastAsia="微软雅黑"/>
                <w:b w:val="0"/>
                <w:sz w:val="18"/>
              </w:rPr>
              <w:t>分析师判断</w:t>
            </w:r>
          </w:p>
        </w:tc>
        <w:tc>
          <w:tcPr>
            <w:tcW w:type="dxa" w:w="850"/>
            <w:shd w:fill="D6E4F0"/>
          </w:tcPr>
          <w:p>
            <w:pPr>
              <w:jc w:val="center"/>
            </w:pPr>
            <w:r>
              <w:rPr>
                <w:rFonts w:ascii="微软雅黑" w:hAnsi="微软雅黑" w:eastAsia="微软雅黑"/>
                <w:b w:val="0"/>
                <w:sz w:val="18"/>
              </w:rPr>
              <w:t>中低</w:t>
            </w:r>
          </w:p>
        </w:tc>
      </w:tr>
      <w:tr>
        <w:tc>
          <w:tcPr>
            <w:tcW w:type="dxa" w:w="1984"/>
          </w:tcPr>
          <w:p>
            <w:pPr>
              <w:jc w:val="left"/>
            </w:pPr>
            <w:r>
              <w:rPr>
                <w:rFonts w:ascii="微软雅黑" w:hAnsi="微软雅黑" w:eastAsia="微软雅黑"/>
                <w:b/>
                <w:sz w:val="18"/>
              </w:rPr>
              <w:t>悲观情景概率</w:t>
            </w:r>
          </w:p>
        </w:tc>
        <w:tc>
          <w:tcPr>
            <w:tcW w:type="dxa" w:w="2268"/>
          </w:tcPr>
          <w:p>
            <w:pPr>
              <w:jc w:val="center"/>
            </w:pPr>
            <w:r>
              <w:rPr>
                <w:rFonts w:ascii="微软雅黑" w:hAnsi="微软雅黑" w:eastAsia="微软雅黑"/>
                <w:b w:val="0"/>
                <w:sz w:val="18"/>
              </w:rPr>
              <w:t>25%</w:t>
            </w:r>
          </w:p>
        </w:tc>
        <w:tc>
          <w:tcPr>
            <w:tcW w:type="dxa" w:w="3118"/>
          </w:tcPr>
          <w:p>
            <w:pPr>
              <w:jc w:val="center"/>
            </w:pPr>
            <w:r>
              <w:rPr>
                <w:rFonts w:ascii="微软雅黑" w:hAnsi="微软雅黑" w:eastAsia="微软雅黑"/>
                <w:b w:val="0"/>
                <w:sz w:val="18"/>
              </w:rPr>
              <w:t>分析师判断</w:t>
            </w:r>
          </w:p>
        </w:tc>
        <w:tc>
          <w:tcPr>
            <w:tcW w:type="dxa" w:w="850"/>
          </w:tcPr>
          <w:p>
            <w:pPr>
              <w:jc w:val="center"/>
            </w:pPr>
            <w:r>
              <w:rPr>
                <w:rFonts w:ascii="微软雅黑" w:hAnsi="微软雅黑" w:eastAsia="微软雅黑"/>
                <w:b w:val="0"/>
                <w:sz w:val="18"/>
              </w:rPr>
              <w:t>中</w:t>
            </w:r>
          </w:p>
        </w:tc>
      </w:tr>
      <w:tr>
        <w:tc>
          <w:tcPr>
            <w:tcW w:type="dxa" w:w="1984"/>
            <w:shd w:fill="D6E4F0"/>
          </w:tcPr>
          <w:p>
            <w:pPr>
              <w:jc w:val="left"/>
            </w:pPr>
            <w:r>
              <w:rPr>
                <w:rFonts w:ascii="微软雅黑" w:hAnsi="微软雅黑" w:eastAsia="微软雅黑"/>
                <w:b/>
                <w:sz w:val="18"/>
              </w:rPr>
              <w:t>所得税率</w:t>
            </w:r>
          </w:p>
        </w:tc>
        <w:tc>
          <w:tcPr>
            <w:tcW w:type="dxa" w:w="2268"/>
            <w:shd w:fill="D6E4F0"/>
          </w:tcPr>
          <w:p>
            <w:pPr>
              <w:jc w:val="center"/>
            </w:pPr>
            <w:r>
              <w:rPr>
                <w:rFonts w:ascii="微软雅黑" w:hAnsi="微软雅黑" w:eastAsia="微软雅黑"/>
                <w:b w:val="0"/>
                <w:sz w:val="18"/>
              </w:rPr>
              <w:t>15%（高新技术企业）</w:t>
            </w:r>
          </w:p>
        </w:tc>
        <w:tc>
          <w:tcPr>
            <w:tcW w:type="dxa" w:w="3118"/>
            <w:shd w:fill="D6E4F0"/>
          </w:tcPr>
          <w:p>
            <w:pPr>
              <w:jc w:val="center"/>
            </w:pPr>
            <w:r>
              <w:rPr>
                <w:rFonts w:ascii="微软雅黑" w:hAnsi="微软雅黑" w:eastAsia="微软雅黑"/>
                <w:b w:val="0"/>
                <w:sz w:val="18"/>
              </w:rPr>
              <w:t>公司BP（需关注资质认定进度）</w:t>
            </w:r>
          </w:p>
        </w:tc>
        <w:tc>
          <w:tcPr>
            <w:tcW w:type="dxa" w:w="850"/>
            <w:shd w:fill="D6E4F0"/>
          </w:tcPr>
          <w:p>
            <w:pPr>
              <w:jc w:val="center"/>
            </w:pPr>
            <w:r>
              <w:rPr>
                <w:rFonts w:ascii="微软雅黑" w:hAnsi="微软雅黑" w:eastAsia="微软雅黑"/>
                <w:b w:val="0"/>
                <w:sz w:val="18"/>
              </w:rPr>
              <w:t>中</w:t>
            </w:r>
          </w:p>
        </w:tc>
      </w:tr>
    </w:tbl>
    <w:p/>
    <w:p>
      <w:pPr>
        <w:pStyle w:val="Heading2"/>
      </w:pPr>
      <w:r>
        <w:rPr>
          <w:rFonts w:ascii="微软雅黑" w:hAnsi="微软雅黑" w:eastAsia="微软雅黑"/>
        </w:rPr>
        <w:t>附录B：数据来源与可靠性说明</w:t>
      </w:r>
    </w:p>
    <w:p>
      <w:pPr>
        <w:spacing w:line="360" w:lineRule="auto" w:after="120"/>
        <w:ind w:firstLine="420"/>
      </w:pPr>
      <w:r>
        <w:rPr>
          <w:rFonts w:ascii="微软雅黑" w:hAnsi="微软雅黑" w:eastAsia="微软雅黑"/>
          <w:b w:val="0"/>
          <w:sz w:val="22"/>
        </w:rPr>
        <w:t>• 公司商业计划书（岁锦科技_商业计划书.pptx，2026年4月）：本报告主要输入来源，涵盖公司介绍、市场分析、产品矩阵、商业模式、财务预测和融资条款。该文件为公司提供，未经独立审计或验证。</w:t>
      </w:r>
    </w:p>
    <w:p>
      <w:pPr>
        <w:spacing w:line="360" w:lineRule="auto" w:after="120"/>
        <w:ind w:firstLine="420"/>
      </w:pPr>
      <w:r>
        <w:rPr>
          <w:rFonts w:ascii="微软雅黑" w:hAnsi="微软雅黑" w:eastAsia="微软雅黑"/>
          <w:b w:val="0"/>
          <w:sz w:val="22"/>
        </w:rPr>
        <w:t>• 市场数据（国家统计局、CB Insights、中商产业研究院、前瞻产业研究院等）：用于市场规模和行业趋势分析。上述数据来源于BP中引用的第三方研究报告，原始URL和报告全文未提供。建议在尽调中补充原始数据来源。</w:t>
      </w:r>
    </w:p>
    <w:p>
      <w:pPr>
        <w:spacing w:line="360" w:lineRule="auto" w:after="120"/>
        <w:ind w:firstLine="420"/>
      </w:pPr>
      <w:r>
        <w:rPr>
          <w:rFonts w:ascii="微软雅黑" w:hAnsi="微软雅黑" w:eastAsia="微软雅黑"/>
          <w:b w:val="0"/>
          <w:sz w:val="22"/>
        </w:rPr>
        <w:t>• 政策文件（国务院、工信部、民政部、卫健委等）：用于政策环境分析。政策内容来源于公开渠道，但具体文件编号和条款建议在尽调中核实。</w:t>
      </w:r>
    </w:p>
    <w:p>
      <w:pPr>
        <w:spacing w:line="360" w:lineRule="auto" w:after="120"/>
        <w:ind w:firstLine="420"/>
      </w:pPr>
      <w:r>
        <w:rPr>
          <w:rFonts w:ascii="微软雅黑" w:hAnsi="微软雅黑" w:eastAsia="微软雅黑"/>
          <w:b w:val="0"/>
          <w:sz w:val="22"/>
        </w:rPr>
        <w:t>• 可比公司数据（Wind金融终端、上市公司年报、企查查、IT桔子、36氪等）：用于可比上市公司估值倍数和可比融资案例分析。上市公司数据截至2026年6月公开可得信息，一级市场融资数据多数为媒体报道估计值，非官方确认数据。</w:t>
      </w:r>
    </w:p>
    <w:p>
      <w:pPr>
        <w:spacing w:line="360" w:lineRule="auto" w:after="120"/>
        <w:ind w:firstLine="420"/>
      </w:pPr>
      <w:r>
        <w:rPr>
          <w:rFonts w:ascii="微软雅黑" w:hAnsi="微软雅黑" w:eastAsia="微软雅黑"/>
          <w:b w:val="0"/>
          <w:sz w:val="22"/>
        </w:rPr>
        <w:t>• 分析师判断：所有标注为'分析师判断'的假设（包括但不限于退出倍数、目标MOIC、情景概率、累计稀释率）均基于行业通用实践和合理推断做出，不代表市场共识或投资建议。</w:t>
      </w:r>
    </w:p>
    <w:p>
      <w:pPr>
        <w:pStyle w:val="Heading2"/>
      </w:pPr>
      <w:r>
        <w:rPr>
          <w:rFonts w:ascii="微软雅黑" w:hAnsi="微软雅黑" w:eastAsia="微软雅黑"/>
        </w:rPr>
        <w:t>附录C：假设追溯表</w:t>
      </w:r>
    </w:p>
    <w:p>
      <w:pPr>
        <w:spacing w:line="360" w:lineRule="auto" w:after="120"/>
        <w:ind w:firstLine="420"/>
      </w:pPr>
      <w:r>
        <w:rPr>
          <w:rFonts w:ascii="微软雅黑" w:hAnsi="微软雅黑" w:eastAsia="微软雅黑"/>
          <w:b w:val="0"/>
          <w:sz w:val="22"/>
        </w:rPr>
        <w:t>本报告中所有估值假设均已在正文中明确标注来源类型：</w:t>
        <w:br/>
        <w:t>• [公司提供] — 来源于公司商业计划书</w:t>
        <w:br/>
        <w:t>• [行业数据] — 来源于公开行业研究报告</w:t>
        <w:br/>
        <w:t>• [分析师判断] — 基于行业实践和合理推断的分析师假设</w:t>
        <w:br/>
        <w:t>• [公开市场数据] — 来源于上市公司公开披露信息</w:t>
        <w:br/>
        <w:t>• [一级市场数据] — 来源于媒体报道和数据库（未经官方确认）</w:t>
        <w:br/>
        <w:br/>
        <w:t>所有判断性假设（'假设'、'预计'、'估计'等措辞）与事实性陈述有明确区分，建议投资人在使用本报告时结合自身判断和尽调结果。</w:t>
      </w:r>
    </w:p>
    <w:p>
      <w:r>
        <w:br w:type="page"/>
      </w:r>
    </w:p>
    <w:p>
      <w:pPr>
        <w:pStyle w:val="Heading1"/>
      </w:pPr>
      <w:r>
        <w:rPr>
          <w:rFonts w:ascii="微软雅黑" w:hAnsi="微软雅黑" w:eastAsia="微软雅黑"/>
        </w:rPr>
        <w:t>免责声明</w:t>
      </w:r>
    </w:p>
    <w:p>
      <w:pPr>
        <w:spacing w:line="360" w:lineRule="auto" w:after="120"/>
        <w:ind w:firstLine="420"/>
      </w:pPr>
      <w:r>
        <w:rPr>
          <w:rFonts w:ascii="微软雅黑" w:hAnsi="微软雅黑" w:eastAsia="微软雅黑"/>
          <w:b w:val="0"/>
          <w:sz w:val="22"/>
        </w:rPr>
        <w:t>1. 本估值报告仅供内部投资决策参考，不构成任何形式的投资建议、要约、承诺或推介。投资人应基于自身的独立判断和尽职调查结果做出投资决策。</w:t>
      </w:r>
    </w:p>
    <w:p>
      <w:pPr>
        <w:spacing w:line="360" w:lineRule="auto" w:after="120"/>
        <w:ind w:firstLine="420"/>
      </w:pPr>
      <w:r>
        <w:rPr>
          <w:rFonts w:ascii="微软雅黑" w:hAnsi="微软雅黑" w:eastAsia="微软雅黑"/>
          <w:b w:val="0"/>
          <w:sz w:val="22"/>
        </w:rPr>
        <w:t>2. 本报告中的财务预测数据完全来源于公司商业计划书，分析师未对其进行独立审计、验证或调整。天使轮公司的财务预测具有高度不确定性，实际经营结果可能与预测存在重大甚至根本性偏差。历史回报和预测不构成对未来表现的保证。</w:t>
      </w:r>
    </w:p>
    <w:p>
      <w:pPr>
        <w:spacing w:line="360" w:lineRule="auto" w:after="120"/>
        <w:ind w:firstLine="420"/>
      </w:pPr>
      <w:r>
        <w:rPr>
          <w:rFonts w:ascii="微软雅黑" w:hAnsi="微软雅黑" w:eastAsia="微软雅黑"/>
          <w:b w:val="0"/>
          <w:sz w:val="22"/>
        </w:rPr>
        <w:t>3. 本报告使用的可比公司数据、市场数据和行业数据来源于公开渠道和第三方报告，分析师对其准确性、完整性和时效性不作任何明示或默示的保证。部分数据（尤其是一级市场融资数据）为媒体报道估计值，未经公司或投资方确认。</w:t>
      </w:r>
    </w:p>
    <w:p>
      <w:pPr>
        <w:spacing w:line="360" w:lineRule="auto" w:after="120"/>
        <w:ind w:firstLine="420"/>
      </w:pPr>
      <w:r>
        <w:rPr>
          <w:rFonts w:ascii="微软雅黑" w:hAnsi="微软雅黑" w:eastAsia="微软雅黑"/>
          <w:b w:val="0"/>
          <w:sz w:val="22"/>
        </w:rPr>
        <w:t>4. 估值结果基于一系列假设和判断（详见附录A和C），任何关键假设的变动均可能导致估值结果发生重大变化。不同的估值方法、参数选择和情景假设可能得出显著不同的结论。本报告呈现的估值区间不代表价值被低估或高估的判断。</w:t>
      </w:r>
    </w:p>
    <w:p>
      <w:pPr>
        <w:spacing w:line="360" w:lineRule="auto" w:after="120"/>
        <w:ind w:firstLine="420"/>
      </w:pPr>
      <w:r>
        <w:rPr>
          <w:rFonts w:ascii="微软雅黑" w:hAnsi="微软雅黑" w:eastAsia="微软雅黑"/>
          <w:b w:val="0"/>
          <w:sz w:val="22"/>
        </w:rPr>
        <w:t>5. 分析师与被估值公司及其关联方之间不存在利益冲突。本报告的编制遵循独立、客观、审慎的原则。分析师不持有被估值公司的任何股权或经济利益。</w:t>
      </w:r>
    </w:p>
    <w:p>
      <w:pPr>
        <w:spacing w:line="360" w:lineRule="auto" w:after="120"/>
        <w:ind w:firstLine="420"/>
      </w:pPr>
      <w:r>
        <w:rPr>
          <w:rFonts w:ascii="微软雅黑" w:hAnsi="微软雅黑" w:eastAsia="微软雅黑"/>
          <w:b w:val="0"/>
          <w:sz w:val="22"/>
        </w:rPr>
        <w:t>6. 本报告的估值基准日为2026年6月10日，估值结论仅在该基准日有效。基准日之后，市场环境、公司经营状况、行业竞争格局和监管政策等因素的变化均可能导致估值结论不再适用。报告使用者应关注估值时效性。</w:t>
      </w:r>
    </w:p>
    <w:p>
      <w:pPr>
        <w:spacing w:line="360" w:lineRule="auto" w:after="120"/>
        <w:ind w:firstLine="420"/>
      </w:pPr>
      <w:r>
        <w:rPr>
          <w:rFonts w:ascii="微软雅黑" w:hAnsi="微软雅黑" w:eastAsia="微软雅黑"/>
          <w:b w:val="0"/>
          <w:sz w:val="22"/>
        </w:rPr>
        <w:t>7. 本报告中的风险因素分析并非穷尽性的，实际投资可能面临本报告未提及的其他风险。投资人应根据自身风险承受能力和投资目标审慎决策。</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