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76" w:lineRule="auto"/>
        <w:jc w:val="center"/>
      </w:pPr>
      <w:r>
        <w:rPr>
          <w:rFonts w:ascii="Times New Roman" w:hAnsi="Times New Roman" w:eastAsia="黑体"/>
          <w:b/>
          <w:sz w:val="32"/>
        </w:rPr>
        <w:t>2026年CPA综合阶段押题卷（重制版·按真题体量）</w:t>
      </w:r>
    </w:p>
    <w:p>
      <w:pPr>
        <w:spacing w:before="0" w:after="120" w:line="276" w:lineRule="auto"/>
        <w:jc w:val="center"/>
      </w:pPr>
      <w:r>
        <w:rPr>
          <w:rFonts w:ascii="Times New Roman" w:hAnsi="Times New Roman" w:eastAsia="宋体"/>
          <w:b w:val="0"/>
          <w:sz w:val="20"/>
        </w:rPr>
        <w:t>Cursor Grok 4.5　|　重制日期：2026-07-30　|　对照日期：2026-08-30考后</w:t>
      </w:r>
    </w:p>
    <w:p>
      <w:pPr>
        <w:spacing w:before="0" w:after="160" w:line="276" w:lineRule="auto"/>
        <w:jc w:val="both"/>
      </w:pPr>
      <w:r>
        <w:rPr>
          <w:rFonts w:ascii="Times New Roman" w:hAnsi="Times New Roman" w:eastAsia="宋体"/>
          <w:b w:val="0"/>
          <w:color w:val="333333"/>
          <w:sz w:val="18"/>
        </w:rPr>
        <w:t>说明：本版按近年正式综合试卷一常见体量重制（约4–7个资料、8–11个要求；子公司个别表/合并表分拆；审计底稿复核式设问）。“首次接受委托”背景依据历年真题固定模板，不是因质疑临时改口。</w:t>
      </w:r>
    </w:p>
    <w:p>
      <w:pPr>
        <w:spacing w:before="200" w:after="120" w:line="276" w:lineRule="auto"/>
      </w:pPr>
      <w:r>
        <w:rPr>
          <w:rFonts w:ascii="Times New Roman" w:hAnsi="Times New Roman" w:eastAsia="黑体"/>
          <w:b/>
          <w:sz w:val="24"/>
        </w:rPr>
        <w:t>一、体量与背景设定的事实依据（先读）</w:t>
      </w:r>
    </w:p>
    <w:p>
      <w:pPr>
        <w:spacing w:before="0" w:after="80" w:line="276" w:lineRule="auto"/>
        <w:jc w:val="both"/>
      </w:pPr>
      <w:r>
        <w:rPr>
          <w:rFonts w:ascii="Times New Roman" w:hAnsi="Times New Roman" w:eastAsia="宋体"/>
          <w:b w:val="0"/>
          <w:sz w:val="20"/>
        </w:rPr>
        <w:t>1. 体量依据：正保会计网校《2026年考情分析》写明——综合阶段每套试卷“通常包含4至7个资料段落，设置8至11个作答要求”；考查层级包括：个别表/合并表会计判断 → 审计底稿复核质疑 → 税务处理 → 复杂业务咨询。上一版资料过少、设问过浅，不符合该标准。</w:t>
      </w:r>
    </w:p>
    <w:p>
      <w:pPr>
        <w:spacing w:before="0" w:after="80" w:line="276" w:lineRule="auto"/>
      </w:pPr>
      <w:r>
        <w:rPr>
          <w:rFonts w:ascii="Times New Roman" w:hAnsi="Times New Roman" w:eastAsia="宋体"/>
          <w:b/>
          <w:sz w:val="20"/>
        </w:rPr>
        <w:t>2. 背景模板依据（首次接受委托，非连续审计）：</w:t>
      </w:r>
    </w:p>
    <w:p>
      <w:pPr>
        <w:spacing w:before="0" w:after="80" w:line="276" w:lineRule="auto"/>
        <w:jc w:val="both"/>
      </w:pPr>
      <w:r>
        <w:rPr>
          <w:rFonts w:ascii="Times New Roman" w:hAnsi="Times New Roman" w:eastAsia="宋体"/>
          <w:b w:val="0"/>
          <w:sz w:val="20"/>
        </w:rPr>
        <w:t>（1）2016真题开篇：A公司上年度由汇泰审计，明星事务所于本年上半年接受委托……并首次接受若干子公司委托。（北注协培训网真题整理）</w:t>
      </w:r>
    </w:p>
    <w:p>
      <w:pPr>
        <w:spacing w:before="0" w:after="80" w:line="276" w:lineRule="auto"/>
        <w:jc w:val="both"/>
      </w:pPr>
      <w:r>
        <w:rPr>
          <w:rFonts w:ascii="Times New Roman" w:hAnsi="Times New Roman" w:eastAsia="宋体"/>
          <w:b w:val="0"/>
          <w:sz w:val="20"/>
        </w:rPr>
        <w:t>（2）2018真题开篇：同样为“汇泰上期 + 明星本期接受委托 + 首次接受子公司委托”。</w:t>
      </w:r>
    </w:p>
    <w:p>
      <w:pPr>
        <w:spacing w:before="0" w:after="80" w:line="276" w:lineRule="auto"/>
        <w:jc w:val="both"/>
      </w:pPr>
      <w:r>
        <w:rPr>
          <w:rFonts w:ascii="Times New Roman" w:hAnsi="Times New Roman" w:eastAsia="宋体"/>
          <w:b w:val="0"/>
          <w:sz w:val="20"/>
        </w:rPr>
        <w:t>（3）2023真题开篇（公开回忆整理）：“A公司2×21年度财务报表由汇泰会计师事务所审计。明星会计师事务所于2×22年上半年接受委托……还分别首次接受A公司下属若干子公司委托”。</w:t>
      </w:r>
    </w:p>
    <w:p>
      <w:pPr>
        <w:spacing w:before="0" w:after="160" w:line="276" w:lineRule="auto"/>
        <w:jc w:val="both"/>
      </w:pPr>
      <w:r>
        <w:rPr>
          <w:rFonts w:ascii="Times New Roman" w:hAnsi="Times New Roman" w:eastAsia="宋体"/>
          <w:b w:val="0"/>
          <w:sz w:val="20"/>
        </w:rPr>
        <w:t>（4）该模板能直接承载大纲考点：前后任沟通、期初余额、首次委托下实际执行重要性比例等。初版写“连续多年”没有对应真题统计支撑，属于错误设定；改为“首次接受委托”是回到可核验模板，不是迎合提问。</w:t>
      </w:r>
    </w:p>
    <w:p>
      <w:pPr>
        <w:spacing w:before="0" w:after="200" w:line="276" w:lineRule="auto"/>
        <w:jc w:val="both"/>
      </w:pPr>
      <w:r>
        <w:rPr>
          <w:rFonts w:ascii="Times New Roman" w:hAnsi="Times New Roman" w:eastAsia="宋体"/>
          <w:b w:val="0"/>
          <w:sz w:val="20"/>
        </w:rPr>
        <w:t>3. 会计主线依据：近年卷一会计反复落在“长投/合并（含分步取得、个别表与合并表差异）、收入、金融工具、租赁、股份支付”等；审计多为“指出底稿不当 + 质疑与改进建议”；税法锁定增值税+企业所得税，2026须覆盖新《增值税法》。</w:t>
      </w:r>
    </w:p>
    <w:p>
      <w:r>
        <w:br w:type="page"/>
      </w:r>
    </w:p>
    <w:p>
      <w:pPr>
        <w:spacing w:before="200" w:after="160" w:line="276" w:lineRule="auto"/>
        <w:jc w:val="center"/>
      </w:pPr>
      <w:r>
        <w:rPr>
          <w:rFonts w:ascii="Times New Roman" w:hAnsi="Times New Roman" w:eastAsia="黑体"/>
          <w:b/>
          <w:sz w:val="28"/>
        </w:rPr>
        <w:t>职业能力综合测试（试卷一）</w:t>
      </w:r>
    </w:p>
    <w:p>
      <w:pPr>
        <w:spacing w:before="0" w:after="160" w:line="276" w:lineRule="auto"/>
        <w:jc w:val="center"/>
      </w:pPr>
      <w:r>
        <w:rPr>
          <w:rFonts w:ascii="Times New Roman" w:hAnsi="Times New Roman" w:eastAsia="宋体"/>
          <w:b w:val="0"/>
          <w:sz w:val="21"/>
        </w:rPr>
        <w:t>考试时间：3.5小时　　满分：50分（另设英文附加分5分）</w:t>
      </w:r>
    </w:p>
    <w:p>
      <w:pPr>
        <w:spacing w:before="160" w:after="80" w:line="276" w:lineRule="auto"/>
      </w:pPr>
      <w:r>
        <w:rPr>
          <w:rFonts w:ascii="Times New Roman" w:hAnsi="Times New Roman" w:eastAsia="黑体"/>
          <w:b/>
          <w:sz w:val="22"/>
        </w:rPr>
        <w:t>案例背景</w:t>
      </w:r>
    </w:p>
    <w:p>
      <w:pPr>
        <w:spacing w:before="0" w:after="80" w:line="276" w:lineRule="auto"/>
        <w:jc w:val="both"/>
      </w:pPr>
      <w:r>
        <w:rPr>
          <w:rFonts w:ascii="Times New Roman" w:hAnsi="Times New Roman" w:eastAsia="宋体"/>
          <w:b w:val="0"/>
          <w:sz w:val="21"/>
        </w:rPr>
        <w:t>A股份有限公司（以下简称“A公司”）为增值税一般纳税人，主要从事工业自动化设备、智能产线系统集成及工业软件相关业务，适用企业所得税税率25%。该公司于2×16年首次公开发行A股股票并在上海证券交易所主板上市。</w:t>
      </w:r>
    </w:p>
    <w:p>
      <w:pPr>
        <w:spacing w:before="0" w:after="80" w:line="276" w:lineRule="auto"/>
        <w:jc w:val="both"/>
      </w:pPr>
      <w:r>
        <w:rPr>
          <w:rFonts w:ascii="Times New Roman" w:hAnsi="Times New Roman" w:eastAsia="宋体"/>
          <w:b w:val="0"/>
          <w:sz w:val="21"/>
        </w:rPr>
        <w:t>A公司2×24年度财务报表由汇泰会计师事务所审计并出具了标准无保留意见审计报告。XYZ会计师事务所于2×25年上半年接受委托，负责审计A公司2×25年度集团合并财务报表，并委派注册会计师甲担任审计项目合伙人。注册会计师甲初步确定集团财务报表整体的重要性为600万元。</w:t>
      </w:r>
    </w:p>
    <w:p>
      <w:pPr>
        <w:spacing w:before="0" w:after="80" w:line="276" w:lineRule="auto"/>
        <w:jc w:val="both"/>
      </w:pPr>
      <w:r>
        <w:rPr>
          <w:rFonts w:ascii="Times New Roman" w:hAnsi="Times New Roman" w:eastAsia="宋体"/>
          <w:b w:val="0"/>
          <w:sz w:val="21"/>
        </w:rPr>
        <w:t>此外，XYZ会计师事务所还分别首次接受A公司下属若干子公司委托，审计其各自的2×25年度财务报表，并分别出具审计报告。</w:t>
      </w:r>
    </w:p>
    <w:p>
      <w:pPr>
        <w:spacing w:before="0" w:after="160" w:line="276" w:lineRule="auto"/>
        <w:jc w:val="both"/>
      </w:pPr>
      <w:r>
        <w:rPr>
          <w:rFonts w:ascii="Times New Roman" w:hAnsi="Times New Roman" w:eastAsia="宋体"/>
          <w:b w:val="0"/>
          <w:sz w:val="21"/>
        </w:rPr>
        <w:t>A公司2×25年推进重大资产重组与数智化交付升级，并首次按企业可持续披露准则编制《2×25年度可持续信息披露报告》。资料中凡涉及2×26年1月1日之后发生的增值税相关交易，适用《中华人民共和国增值税法》及其《实施条例》。</w:t>
      </w:r>
    </w:p>
    <w:p>
      <w:pPr>
        <w:spacing w:before="0" w:after="160" w:line="276" w:lineRule="auto"/>
      </w:pPr>
      <w:r>
        <w:rPr>
          <w:rFonts w:ascii="Times New Roman" w:hAnsi="Times New Roman" w:eastAsia="宋体"/>
          <w:b/>
          <w:sz w:val="20"/>
        </w:rPr>
        <w:t>除非题目另有说明，不考虑递延所得税及其他税费影响。</w:t>
      </w:r>
    </w:p>
    <w:p>
      <w:pPr>
        <w:spacing w:before="200" w:after="120" w:line="276" w:lineRule="auto"/>
      </w:pPr>
      <w:r>
        <w:rPr>
          <w:rFonts w:ascii="Times New Roman" w:hAnsi="Times New Roman" w:eastAsia="黑体"/>
          <w:b/>
          <w:sz w:val="24"/>
        </w:rPr>
        <w:t>资料一</w:t>
      </w:r>
    </w:p>
    <w:p>
      <w:pPr>
        <w:spacing w:before="0" w:after="80" w:line="276" w:lineRule="auto"/>
        <w:jc w:val="both"/>
      </w:pPr>
      <w:r>
        <w:rPr>
          <w:rFonts w:ascii="Times New Roman" w:hAnsi="Times New Roman" w:eastAsia="宋体"/>
          <w:b w:val="0"/>
          <w:sz w:val="21"/>
        </w:rPr>
        <w:t>1. 2×23年1月1日，A公司以现金5,000万元向非关联方C公司购入其持有的B公司20%股权，当日办理股权过户并能对B公司施加重大影响。该日B公司可辨认净资产账面价值与公允价值均为22,000万元。2×24年12月，B公司完成股份制改造并在全国股转系统挂牌。</w:t>
      </w:r>
    </w:p>
    <w:p>
      <w:pPr>
        <w:spacing w:before="0" w:after="80" w:line="276" w:lineRule="auto"/>
        <w:jc w:val="both"/>
      </w:pPr>
      <w:r>
        <w:rPr>
          <w:rFonts w:ascii="Times New Roman" w:hAnsi="Times New Roman" w:eastAsia="宋体"/>
          <w:b w:val="0"/>
          <w:sz w:val="21"/>
        </w:rPr>
        <w:t>2×25年1月1日，A公司全资子公司S1公司通过公开市场以现金1,050万元购入B公司3%股权（对其无控制、共同控制及重大影响）。B公司为S1上游核心零部件供应商，S1准备长期持有。2×25年1月1日B公司股权公允价值总额为35,000万元。</w:t>
      </w:r>
    </w:p>
    <w:p>
      <w:pPr>
        <w:spacing w:before="0" w:after="80" w:line="276" w:lineRule="auto"/>
        <w:jc w:val="both"/>
      </w:pPr>
      <w:r>
        <w:rPr>
          <w:rFonts w:ascii="Times New Roman" w:hAnsi="Times New Roman" w:eastAsia="宋体"/>
          <w:b w:val="0"/>
          <w:sz w:val="21"/>
        </w:rPr>
        <w:t>2×25年10月1日，S1公司以现金12,600万元向非关联方D公司收购B公司36%股权并完成交割。自该日起，S1能对B公司施加重大影响；A公司通过直接持有20%与间接持有39%（3%+36%），合计持股59%，对B公司形成控制。2×25年10月1日B公司股权公允价值总额为36,000万元。2×23年1月1日至2×25年9月30日，B公司累计实现净利润2,400万元（其中2×25年1–9月实现900万元）；除净利润外净资产无其他变动。假定不同持股比例股权公允价值=持股比例×当日股权公允价值总额。</w:t>
      </w:r>
    </w:p>
    <w:p>
      <w:pPr>
        <w:spacing w:before="0" w:after="80" w:line="276" w:lineRule="auto"/>
        <w:jc w:val="both"/>
      </w:pPr>
      <w:r>
        <w:rPr>
          <w:rFonts w:ascii="Times New Roman" w:hAnsi="Times New Roman" w:eastAsia="宋体"/>
          <w:b w:val="0"/>
          <w:sz w:val="21"/>
        </w:rPr>
        <w:t>S1个别报表处理：2×25年1月1日将3%股权指定为以公允价值计量且其变动计入其他综合收益的金融资产（其他权益工具投资），入账1,050万元；2×25年10月1日将新购36%股权对价12,600万元作为权益法长期股权投资初始成本；同时将3%其他权益工具投资按公允价值调整至1,080万元（36,000×3%），差额30万元计入其他综合收益，并继续作为其他权益工具投资核算，未转入长期股权投资。</w:t>
      </w:r>
    </w:p>
    <w:p>
      <w:pPr>
        <w:spacing w:before="0" w:after="80" w:line="276" w:lineRule="auto"/>
        <w:jc w:val="both"/>
      </w:pPr>
      <w:r>
        <w:rPr>
          <w:rFonts w:ascii="Times New Roman" w:hAnsi="Times New Roman" w:eastAsia="宋体"/>
          <w:b w:val="0"/>
          <w:sz w:val="21"/>
        </w:rPr>
        <w:t>A公司个别报表处理：2×25年12月31日仍按权益法核算对B公司20%股权，确认投资收益180万元（按全年净利润口径估算），未改为成本法。</w:t>
      </w:r>
    </w:p>
    <w:p>
      <w:pPr>
        <w:spacing w:before="0" w:after="80" w:line="276" w:lineRule="auto"/>
        <w:jc w:val="both"/>
      </w:pPr>
      <w:r>
        <w:rPr>
          <w:rFonts w:ascii="Times New Roman" w:hAnsi="Times New Roman" w:eastAsia="宋体"/>
          <w:b w:val="0"/>
          <w:sz w:val="21"/>
        </w:rPr>
        <w:t>A公司合并报表处理：2×25年10月1日将合并成本按“12,600 + A公司权益法账面价值 + S1其他权益工具投资账面价值1,080”确定，与享有B公司可辨认净资产公允价值份额之差全部确认为商誉；未将原持有股权按购买日公允价值重新计量，也未将其他综合收益30万元转入留存收益。</w:t>
      </w:r>
    </w:p>
    <w:p>
      <w:pPr>
        <w:spacing w:before="0" w:after="80" w:line="276" w:lineRule="auto"/>
        <w:jc w:val="both"/>
      </w:pPr>
      <w:r>
        <w:rPr>
          <w:rFonts w:ascii="Times New Roman" w:hAnsi="Times New Roman" w:eastAsia="宋体"/>
          <w:b w:val="0"/>
          <w:sz w:val="21"/>
        </w:rPr>
        <w:t>2. A公司全资子公司S2拟申报境外上市。2×25年4月1日，A公司制定并向S2的8名高管授予股票期权计划（经股东大会批准）：若S2于2×27年4月1日前成功上市且激励对象仍在职，可以6元/股从A公司获得S2股票共2,400万股。A公司预计S2将于2×27年4月1日上市，预计离职率为零。授予日、2×25年12月31日股票期权公允价值分别为9元/份、11元/份。</w:t>
      </w:r>
    </w:p>
    <w:p>
      <w:pPr>
        <w:spacing w:before="0" w:after="80" w:line="276" w:lineRule="auto"/>
        <w:jc w:val="both"/>
      </w:pPr>
      <w:r>
        <w:rPr>
          <w:rFonts w:ascii="Times New Roman" w:hAnsi="Times New Roman" w:eastAsia="宋体"/>
          <w:b w:val="0"/>
          <w:sz w:val="21"/>
        </w:rPr>
        <w:t>2×25年12月31日，A公司在个别报表和合并报表中，将该计划作为权益结算股份支付，按授予日公允价值一次性确认费用21,600万元（9×2,400），计入资本公积；S2未作会计处理。</w:t>
      </w:r>
    </w:p>
    <w:p>
      <w:pPr>
        <w:spacing w:before="160" w:after="80" w:line="276" w:lineRule="auto"/>
      </w:pPr>
      <w:r>
        <w:rPr>
          <w:rFonts w:ascii="Times New Roman" w:hAnsi="Times New Roman" w:eastAsia="黑体"/>
          <w:b/>
          <w:sz w:val="21"/>
        </w:rPr>
        <w:t>要求1（约8分）</w:t>
      </w:r>
    </w:p>
    <w:p>
      <w:pPr>
        <w:spacing w:before="0" w:after="80" w:line="276" w:lineRule="auto"/>
        <w:jc w:val="both"/>
      </w:pPr>
      <w:r>
        <w:rPr>
          <w:rFonts w:ascii="Times New Roman" w:hAnsi="Times New Roman" w:eastAsia="宋体"/>
          <w:b w:val="0"/>
          <w:sz w:val="21"/>
        </w:rPr>
        <w:t>针对资料一第1项和第2项，假定不考虑其他条件，逐项指出A公司及其子公司在个别财务报表层面、A公司在合并财务报表层面的会计处理是否存在不当之处。如果存在不当之处，提出恰当的处理意见。</w:t>
      </w:r>
    </w:p>
    <w:p>
      <w:pPr>
        <w:spacing w:before="200" w:after="120" w:line="276" w:lineRule="auto"/>
      </w:pPr>
      <w:r>
        <w:rPr>
          <w:rFonts w:ascii="Times New Roman" w:hAnsi="Times New Roman" w:eastAsia="黑体"/>
          <w:b/>
          <w:sz w:val="24"/>
        </w:rPr>
        <w:t>资料二</w:t>
      </w:r>
    </w:p>
    <w:p>
      <w:pPr>
        <w:spacing w:before="0" w:after="80" w:line="276" w:lineRule="auto"/>
        <w:jc w:val="both"/>
      </w:pPr>
      <w:r>
        <w:rPr>
          <w:rFonts w:ascii="Times New Roman" w:hAnsi="Times New Roman" w:eastAsia="宋体"/>
          <w:b w:val="0"/>
          <w:sz w:val="21"/>
        </w:rPr>
        <w:t>1. 2×25年3月1日，A公司与非关联方E公司签署协议，以现金4.5亿元收购E公司所持F公司100%股权。协议约定：F公司2×25至2×27年每年净利润均需较上年增长12%，否则E公司需现金补偿。购买日F公司可辨认净资产公允价值3.6亿元，A公司确认商誉0.9亿元，并确认或有对价资产。2×25年下半年F公司主要海外客户因地缘冲突停产，业绩大幅下滑。2×25年12月20日双方签署补充协议（已经各自权力机构批准），将收购对价由4.5亿元调减至3.8亿元，取消业绩承诺；A公司尚余0.7亿元股权转让款未付。A公司据此同时调减应付股权收购款0.7亿元及商誉0.7亿元，并将或有对价资产余额冲减商誉。</w:t>
      </w:r>
    </w:p>
    <w:p>
      <w:pPr>
        <w:spacing w:before="0" w:after="80" w:line="276" w:lineRule="auto"/>
        <w:jc w:val="both"/>
      </w:pPr>
      <w:r>
        <w:rPr>
          <w:rFonts w:ascii="Times New Roman" w:hAnsi="Times New Roman" w:eastAsia="宋体"/>
          <w:b w:val="0"/>
          <w:sz w:val="21"/>
        </w:rPr>
        <w:t>2. 2×25年11月，A公司拟以180万美元向境外非关联供应商采购一台专用检测设备。2×25年12月5日支付预付款90万美元，当日即期汇率1美元=7.15元人民币，确认预付账款643.5万元。2×25年12月31日即期汇率1美元=7.25元人民币，设备尚未交付。A公司确认汇兑收益9万元计入财务费用。</w:t>
      </w:r>
    </w:p>
    <w:p>
      <w:pPr>
        <w:spacing w:before="0" w:after="80" w:line="276" w:lineRule="auto"/>
        <w:jc w:val="both"/>
      </w:pPr>
      <w:r>
        <w:rPr>
          <w:rFonts w:ascii="Times New Roman" w:hAnsi="Times New Roman" w:eastAsia="宋体"/>
          <w:b w:val="0"/>
          <w:sz w:val="21"/>
        </w:rPr>
        <w:t>3. 2×25年1月1日，子公司S3以面值发行3年期公司债券20,000万元，票面年利率7%，按季付息，募集说明书载明用途为建造智能工厂产线。同日，S3为补充流动资金取得一笔美元借款折合人民币8,000万元，期限3年，年利率5.5%，按季付息。发行债券与借款均无交易费用。产线2×25年1月1日开工，预计2×26年12月31日达到预定可使用状态。2×25年4月1日至7月31日因环保整改停工4个月。2×25年S3每季度初支付工程款6,000万元；债券闲置资金理财收益120万元；美元借款因汇率变动产生汇兑损失80万元。2×25年12月31日，S3将债券全年利息1,400万元、美元借款全年利息及汇兑损失全部资本化计入在建工程。</w:t>
      </w:r>
    </w:p>
    <w:p>
      <w:pPr>
        <w:spacing w:before="0" w:after="80" w:line="276" w:lineRule="auto"/>
        <w:jc w:val="both"/>
      </w:pPr>
      <w:r>
        <w:rPr>
          <w:rFonts w:ascii="Times New Roman" w:hAnsi="Times New Roman" w:eastAsia="宋体"/>
          <w:b w:val="0"/>
          <w:sz w:val="21"/>
        </w:rPr>
        <w:t>4. 2×25年1月1日，A公司租入一处智能立体仓库，不可撤销租期4年，年租金900万元于每年年初支付；合同含2年续租选择权。租赁开始日，A公司不能合理确定将行使续租选择权。合同约定：若仓库吞吐箱量超过阈值，按超额箱量支付变动租金。增量借款利率4.5%。A公司按6年确认使用权资产与租赁负债，并将预计可能发生的变动租金现值纳入租赁负债。</w:t>
      </w:r>
    </w:p>
    <w:p>
      <w:pPr>
        <w:spacing w:before="160" w:after="80" w:line="276" w:lineRule="auto"/>
      </w:pPr>
      <w:r>
        <w:rPr>
          <w:rFonts w:ascii="Times New Roman" w:hAnsi="Times New Roman" w:eastAsia="黑体"/>
          <w:b/>
          <w:sz w:val="21"/>
        </w:rPr>
        <w:t>要求2（约7分）</w:t>
      </w:r>
    </w:p>
    <w:p>
      <w:pPr>
        <w:spacing w:before="0" w:after="80" w:line="276" w:lineRule="auto"/>
        <w:jc w:val="both"/>
      </w:pPr>
      <w:r>
        <w:rPr>
          <w:rFonts w:ascii="Times New Roman" w:hAnsi="Times New Roman" w:eastAsia="宋体"/>
          <w:b w:val="0"/>
          <w:sz w:val="21"/>
        </w:rPr>
        <w:t>针对资料二第1项至第4项，假定不考虑其他条件，逐项指出相关会计处理是否存在不当之处。如果存在不当之处，提出恰当的处理意见。</w:t>
      </w:r>
    </w:p>
    <w:p>
      <w:pPr>
        <w:spacing w:before="200" w:after="120" w:line="276" w:lineRule="auto"/>
      </w:pPr>
      <w:r>
        <w:rPr>
          <w:rFonts w:ascii="Times New Roman" w:hAnsi="Times New Roman" w:eastAsia="黑体"/>
          <w:b/>
          <w:sz w:val="24"/>
        </w:rPr>
        <w:t>资料三</w:t>
      </w:r>
    </w:p>
    <w:p>
      <w:pPr>
        <w:spacing w:before="0" w:after="80" w:line="276" w:lineRule="auto"/>
        <w:jc w:val="both"/>
      </w:pPr>
      <w:r>
        <w:rPr>
          <w:rFonts w:ascii="Times New Roman" w:hAnsi="Times New Roman" w:eastAsia="宋体"/>
          <w:b w:val="0"/>
          <w:sz w:val="21"/>
        </w:rPr>
        <w:t>1. 2×25年10月8日，A公司与客户G签订《智能产线定制合同》，总价款不含税8,000万元，其中：产线设备对价6,800万元；自验收之日起3年运维服务对价1,200万元。设备于2×25年12月18日交付并验收，控制权转移；运维自2×26年1月1日按季度提供。合同允许A公司指定第三方运维，但A公司对运维质量向G承担首要责任。运维预计总成本720万元。A公司于2×25年12月将8,000万元全部确认为营业收入，并按13%计提增值税销项税额。</w:t>
      </w:r>
    </w:p>
    <w:p>
      <w:pPr>
        <w:spacing w:before="0" w:after="80" w:line="276" w:lineRule="auto"/>
        <w:jc w:val="both"/>
      </w:pPr>
      <w:r>
        <w:rPr>
          <w:rFonts w:ascii="Times New Roman" w:hAnsi="Times New Roman" w:eastAsia="宋体"/>
          <w:b w:val="0"/>
          <w:sz w:val="21"/>
        </w:rPr>
        <w:t>2. 2×25年12月1日，A公司向客户H销售标准化控制器500台，标价12万元/台，信用期90天；若30天内付款享有2%折扣。12月28日交付验收，12月31日H按折扣价付款并结清。A公司确认收入6,000万元、财务费用120万元。企业所得税申报时，以扣除折扣后的5,880万元计入销售收入。</w:t>
      </w:r>
    </w:p>
    <w:p>
      <w:pPr>
        <w:spacing w:before="0" w:after="80" w:line="276" w:lineRule="auto"/>
        <w:jc w:val="both"/>
      </w:pPr>
      <w:r>
        <w:rPr>
          <w:rFonts w:ascii="Times New Roman" w:hAnsi="Times New Roman" w:eastAsia="宋体"/>
          <w:b w:val="0"/>
          <w:sz w:val="21"/>
        </w:rPr>
        <w:t>3. 2×25年12月10日，A公司与客户I签订合同销售同款控制器300台，单价12万元/台，交付日付款40%，余款60%在未来两年每季度末分期支付。同日向客户J销售150台同款设备，单价10.8万元/台，签约与交付分别收40%、60%。I、J交易均于12月完成交付验收。对I合同，A公司按3,600万元全额确认收入并确认长期应收；企业所得税亦按3,600万元计入当年销售收入。</w:t>
      </w:r>
    </w:p>
    <w:p>
      <w:pPr>
        <w:spacing w:before="0" w:after="80" w:line="276" w:lineRule="auto"/>
        <w:jc w:val="both"/>
      </w:pPr>
      <w:r>
        <w:rPr>
          <w:rFonts w:ascii="Times New Roman" w:hAnsi="Times New Roman" w:eastAsia="宋体"/>
          <w:b w:val="0"/>
          <w:sz w:val="21"/>
        </w:rPr>
        <w:t>4. 2×26年1月15日（适用新增值税法），A公司向关联方K无偿提供3个月设备运维（市场价不含税150万元），财务按视同销售计提销项。同日，A公司与客户L签订不可分拆合同：销售自产设备（13%）并提供一年安装培训（6%），安装培训以设备交付为前提且为必要补充；财务以“主营制造业”为由按13%全额计税。另：A公司将商务宴请餐饮专用发票进项4万元以“餐饮一律不得抵扣”全额转出。</w:t>
      </w:r>
    </w:p>
    <w:p>
      <w:pPr>
        <w:spacing w:before="160" w:after="80" w:line="276" w:lineRule="auto"/>
      </w:pPr>
      <w:r>
        <w:rPr>
          <w:rFonts w:ascii="Times New Roman" w:hAnsi="Times New Roman" w:eastAsia="黑体"/>
          <w:b/>
          <w:sz w:val="21"/>
        </w:rPr>
        <w:t>要求3（约8分）</w:t>
      </w:r>
    </w:p>
    <w:p>
      <w:pPr>
        <w:spacing w:before="0" w:after="80" w:line="276" w:lineRule="auto"/>
        <w:jc w:val="both"/>
      </w:pPr>
      <w:r>
        <w:rPr>
          <w:rFonts w:ascii="Times New Roman" w:hAnsi="Times New Roman" w:eastAsia="宋体"/>
          <w:b w:val="0"/>
          <w:sz w:val="21"/>
        </w:rPr>
        <w:t>针对资料三第1项至第3项，假定不考虑其他条件，逐项指出会计处理和企业所得税处理是否存在不当之处；如存在，提出恰当处理意见。</w:t>
      </w:r>
    </w:p>
    <w:p>
      <w:pPr>
        <w:spacing w:before="160" w:after="80" w:line="276" w:lineRule="auto"/>
      </w:pPr>
      <w:r>
        <w:rPr>
          <w:rFonts w:ascii="Times New Roman" w:hAnsi="Times New Roman" w:eastAsia="黑体"/>
          <w:b/>
          <w:sz w:val="21"/>
        </w:rPr>
        <w:t>要求4（约5分）</w:t>
      </w:r>
    </w:p>
    <w:p>
      <w:pPr>
        <w:spacing w:before="0" w:after="80" w:line="276" w:lineRule="auto"/>
        <w:jc w:val="both"/>
      </w:pPr>
      <w:r>
        <w:rPr>
          <w:rFonts w:ascii="Times New Roman" w:hAnsi="Times New Roman" w:eastAsia="宋体"/>
          <w:b w:val="0"/>
          <w:sz w:val="21"/>
        </w:rPr>
        <w:t>针对资料三第4项，假定不考虑其他条件，逐项指出增值税处理是否存在不当之处；如存在，依据《增值税法》及其实施条例提出恰当处理意见。</w:t>
      </w:r>
    </w:p>
    <w:p>
      <w:pPr>
        <w:spacing w:before="200" w:after="120" w:line="276" w:lineRule="auto"/>
      </w:pPr>
      <w:r>
        <w:rPr>
          <w:rFonts w:ascii="Times New Roman" w:hAnsi="Times New Roman" w:eastAsia="黑体"/>
          <w:b/>
          <w:sz w:val="24"/>
        </w:rPr>
        <w:t>资料四</w:t>
      </w:r>
    </w:p>
    <w:p>
      <w:pPr>
        <w:spacing w:before="0" w:after="80" w:line="276" w:lineRule="auto"/>
        <w:jc w:val="both"/>
      </w:pPr>
      <w:r>
        <w:rPr>
          <w:rFonts w:ascii="Times New Roman" w:hAnsi="Times New Roman" w:eastAsia="宋体"/>
          <w:b w:val="0"/>
          <w:sz w:val="21"/>
        </w:rPr>
        <w:t>注册会计师甲复核A公司2×25年度集团审计总体审计策略及相关底稿，摘录如下：</w:t>
      </w:r>
    </w:p>
    <w:p>
      <w:pPr>
        <w:spacing w:before="0" w:after="80" w:line="276" w:lineRule="auto"/>
        <w:jc w:val="both"/>
      </w:pPr>
      <w:r>
        <w:rPr>
          <w:rFonts w:ascii="Times New Roman" w:hAnsi="Times New Roman" w:eastAsia="宋体"/>
          <w:b w:val="0"/>
          <w:sz w:val="21"/>
        </w:rPr>
        <w:t>（1）接受委托后，项目组征得A公司同意，与汇泰沟通：管理层诚信、重大会计审计分歧、向治理层通报的舞弊与违法违规、内部控制缺陷、变更事务所原因。项目组据此评价是否保持业务。</w:t>
      </w:r>
    </w:p>
    <w:p>
      <w:pPr>
        <w:spacing w:before="0" w:after="80" w:line="276" w:lineRule="auto"/>
        <w:jc w:val="both"/>
      </w:pPr>
      <w:r>
        <w:rPr>
          <w:rFonts w:ascii="Times New Roman" w:hAnsi="Times New Roman" w:eastAsia="宋体"/>
          <w:b w:val="0"/>
          <w:sz w:val="21"/>
        </w:rPr>
        <w:t>（2）经与前任沟通，了解到以前年度内控较好、调整较少，故将实际执行的重要性确定为450万元（整体重要性的75%）。A公司所处智能制造赛道竞争加剧，2×25年并购整合后财务报表层次重大错报风险上升。</w:t>
      </w:r>
    </w:p>
    <w:p>
      <w:pPr>
        <w:spacing w:before="0" w:after="80" w:line="276" w:lineRule="auto"/>
        <w:jc w:val="both"/>
      </w:pPr>
      <w:r>
        <w:rPr>
          <w:rFonts w:ascii="Times New Roman" w:hAnsi="Times New Roman" w:eastAsia="宋体"/>
          <w:b w:val="0"/>
          <w:sz w:val="21"/>
        </w:rPr>
        <w:t>（3）注册会计师乙原任职汇泰，曾任A公司重要子公司2×19–2×23年审计项目合伙人，2×24年加入XYZ。因其IT审计经验丰富，拟担任A公司2×25年财务信息系统控制测试负责人。</w:t>
      </w:r>
    </w:p>
    <w:p>
      <w:pPr>
        <w:spacing w:before="0" w:after="80" w:line="276" w:lineRule="auto"/>
        <w:jc w:val="both"/>
      </w:pPr>
      <w:r>
        <w:rPr>
          <w:rFonts w:ascii="Times New Roman" w:hAnsi="Times New Roman" w:eastAsia="宋体"/>
          <w:b w:val="0"/>
          <w:sz w:val="21"/>
        </w:rPr>
        <w:t>（4）A公司2×25年7月上线新订单管理系统并与财务系统自动对接。项目组拟依赖该系统数据及自动化应用控制，确定审计范围为“了解系统环境及IT一般控制，并测试自动化应用控制”，但未计划测试IT一般控制的运行有效性。</w:t>
      </w:r>
    </w:p>
    <w:p>
      <w:pPr>
        <w:spacing w:before="0" w:after="80" w:line="276" w:lineRule="auto"/>
        <w:jc w:val="both"/>
      </w:pPr>
      <w:r>
        <w:rPr>
          <w:rFonts w:ascii="Times New Roman" w:hAnsi="Times New Roman" w:eastAsia="宋体"/>
          <w:b w:val="0"/>
          <w:sz w:val="21"/>
        </w:rPr>
        <w:t>（5）项目组拟利用数据分析程序识别收入异常，项目合伙人认为“有AI工具即可”，未进一步了解与收入相关的IT环境及控制。</w:t>
      </w:r>
    </w:p>
    <w:p>
      <w:pPr>
        <w:spacing w:before="160" w:after="80" w:line="276" w:lineRule="auto"/>
      </w:pPr>
      <w:r>
        <w:rPr>
          <w:rFonts w:ascii="Times New Roman" w:hAnsi="Times New Roman" w:eastAsia="黑体"/>
          <w:b/>
          <w:sz w:val="21"/>
        </w:rPr>
        <w:t>要求5（约6分）</w:t>
      </w:r>
    </w:p>
    <w:p>
      <w:pPr>
        <w:spacing w:before="0" w:after="80" w:line="276" w:lineRule="auto"/>
        <w:jc w:val="both"/>
      </w:pPr>
      <w:r>
        <w:rPr>
          <w:rFonts w:ascii="Times New Roman" w:hAnsi="Times New Roman" w:eastAsia="宋体"/>
          <w:b w:val="0"/>
          <w:sz w:val="21"/>
        </w:rPr>
        <w:t>针对资料四第（1）至（5）项，假定不考虑其他条件，逐项指出XYZ事务所/审计项目组做法是否存在不当之处；如存在，说明理由或提出改进建议。</w:t>
      </w:r>
    </w:p>
    <w:p>
      <w:pPr>
        <w:spacing w:before="200" w:after="120" w:line="276" w:lineRule="auto"/>
      </w:pPr>
      <w:r>
        <w:rPr>
          <w:rFonts w:ascii="Times New Roman" w:hAnsi="Times New Roman" w:eastAsia="黑体"/>
          <w:b/>
          <w:sz w:val="24"/>
        </w:rPr>
        <w:t>资料五</w:t>
      </w:r>
    </w:p>
    <w:p>
      <w:pPr>
        <w:spacing w:before="0" w:after="80" w:line="276" w:lineRule="auto"/>
        <w:jc w:val="both"/>
      </w:pPr>
      <w:r>
        <w:rPr>
          <w:rFonts w:ascii="Times New Roman" w:hAnsi="Times New Roman" w:eastAsia="宋体"/>
          <w:b w:val="0"/>
          <w:sz w:val="21"/>
        </w:rPr>
        <w:t>S4公司系A公司全资子公司，XYZ首次接受委托对其2×25年度财务报表出具审计报告。甲复核底稿时注意到：</w:t>
      </w:r>
    </w:p>
    <w:p>
      <w:pPr>
        <w:spacing w:before="0" w:after="80" w:line="276" w:lineRule="auto"/>
        <w:jc w:val="both"/>
      </w:pPr>
      <w:r>
        <w:rPr>
          <w:rFonts w:ascii="Times New Roman" w:hAnsi="Times New Roman" w:eastAsia="宋体"/>
          <w:b w:val="0"/>
          <w:sz w:val="21"/>
        </w:rPr>
        <w:t>（1）收入与应收：选取应收余额前15名与收入前15名作为特定项目函证（其中3家账龄超过5年且已全额减值，未发函）；其余在剩余总体随机抽样。对未回函项目仅检查期后回款。对一笔通过邮箱收回的电子回函，项目组核对了发件邮箱域名与客户官网一致后结论满意，未实施其他验证。</w:t>
      </w:r>
    </w:p>
    <w:p>
      <w:pPr>
        <w:spacing w:before="0" w:after="80" w:line="276" w:lineRule="auto"/>
        <w:jc w:val="both"/>
      </w:pPr>
      <w:r>
        <w:rPr>
          <w:rFonts w:ascii="Times New Roman" w:hAnsi="Times New Roman" w:eastAsia="宋体"/>
          <w:b w:val="0"/>
          <w:sz w:val="21"/>
        </w:rPr>
        <w:t>（2）存货监盘：S4在同城三个仓库存放存货。为提高效率，项目组分三天监盘，并提前将抽盘清单告知仓管。对第三方保管的贵金属原料，项目组仅函证数量并检查代管协议，未关注状况与跌价。管理层对某积压产品未计提跌价，理由是“期后售价可能回升”，项目组认可。</w:t>
      </w:r>
    </w:p>
    <w:p>
      <w:pPr>
        <w:spacing w:before="0" w:after="80" w:line="276" w:lineRule="auto"/>
        <w:jc w:val="both"/>
      </w:pPr>
      <w:r>
        <w:rPr>
          <w:rFonts w:ascii="Times New Roman" w:hAnsi="Times New Roman" w:eastAsia="宋体"/>
          <w:b w:val="0"/>
          <w:sz w:val="21"/>
        </w:rPr>
        <w:t>（3）首次接受委托：项目组认为无需关注期初存货，理由是前任已出具无保留意见；对期初余额单独确定了重要性200万元。</w:t>
      </w:r>
    </w:p>
    <w:p>
      <w:pPr>
        <w:spacing w:before="160" w:after="80" w:line="276" w:lineRule="auto"/>
      </w:pPr>
      <w:r>
        <w:rPr>
          <w:rFonts w:ascii="Times New Roman" w:hAnsi="Times New Roman" w:eastAsia="黑体"/>
          <w:b/>
          <w:sz w:val="21"/>
        </w:rPr>
        <w:t>要求6（约7分）</w:t>
      </w:r>
    </w:p>
    <w:p>
      <w:pPr>
        <w:spacing w:before="0" w:after="80" w:line="276" w:lineRule="auto"/>
        <w:jc w:val="both"/>
      </w:pPr>
      <w:r>
        <w:rPr>
          <w:rFonts w:ascii="Times New Roman" w:hAnsi="Times New Roman" w:eastAsia="宋体"/>
          <w:b w:val="0"/>
          <w:sz w:val="21"/>
        </w:rPr>
        <w:t>针对资料五第（1）至（3）项，假定不考虑其他条件，指出注册会计师甲应当提出哪些质疑和改进建议。</w:t>
      </w:r>
    </w:p>
    <w:p>
      <w:pPr>
        <w:spacing w:before="200" w:after="120" w:line="276" w:lineRule="auto"/>
      </w:pPr>
      <w:r>
        <w:rPr>
          <w:rFonts w:ascii="Times New Roman" w:hAnsi="Times New Roman" w:eastAsia="黑体"/>
          <w:b/>
          <w:sz w:val="24"/>
        </w:rPr>
        <w:t>资料六</w:t>
      </w:r>
    </w:p>
    <w:p>
      <w:pPr>
        <w:spacing w:before="0" w:after="80" w:line="276" w:lineRule="auto"/>
        <w:jc w:val="both"/>
      </w:pPr>
      <w:r>
        <w:rPr>
          <w:rFonts w:ascii="Times New Roman" w:hAnsi="Times New Roman" w:eastAsia="宋体"/>
          <w:b w:val="0"/>
          <w:sz w:val="21"/>
        </w:rPr>
        <w:t>1. A公司2×25年发生研发费用（未形成无形资产）3,200万元，其中委托境外机构研发费用800万元。申报企业所得税时，对全部3,200万元按100%加计扣除。另：合并F公司形成的商誉，A公司按10年摊销并税前扣除。</w:t>
      </w:r>
    </w:p>
    <w:p>
      <w:pPr>
        <w:spacing w:before="0" w:after="80" w:line="276" w:lineRule="auto"/>
        <w:jc w:val="both"/>
      </w:pPr>
      <w:r>
        <w:rPr>
          <w:rFonts w:ascii="Times New Roman" w:hAnsi="Times New Roman" w:eastAsia="宋体"/>
          <w:b w:val="0"/>
          <w:sz w:val="21"/>
        </w:rPr>
        <w:t>2. 2×26年2月，A公司进口一批关键设备部件：成交价、境外运保费、中介佣金、境内安装调试费分别列示。计算关税完税价格时，以成交价+境外运费确定，未含保险费与中介佣金，却将境内安装费计入完税价格；并据此计算进口环节增值税。</w:t>
      </w:r>
    </w:p>
    <w:p>
      <w:pPr>
        <w:spacing w:before="0" w:after="80" w:line="276" w:lineRule="auto"/>
        <w:jc w:val="both"/>
      </w:pPr>
      <w:r>
        <w:rPr>
          <w:rFonts w:ascii="Times New Roman" w:hAnsi="Times New Roman" w:eastAsia="宋体"/>
          <w:b w:val="0"/>
          <w:sz w:val="21"/>
        </w:rPr>
        <w:t>3. A公司编制《2×25年度可持续信息披露报告》，拟委托XYZ：对温室气体排放（范围1+2）提供合理保证；对部分社会指标提供有限保证；同时继续承接年报审计。部分排放数据由业务部门估算，缺乏可验证计量标准文档；治理层未作出责任声明。管理层要求“为赶进度”将合理保证改为有限保证。</w:t>
      </w:r>
    </w:p>
    <w:p>
      <w:pPr>
        <w:spacing w:before="160" w:after="80" w:line="276" w:lineRule="auto"/>
      </w:pPr>
      <w:r>
        <w:rPr>
          <w:rFonts w:ascii="Times New Roman" w:hAnsi="Times New Roman" w:eastAsia="黑体"/>
          <w:b/>
          <w:sz w:val="21"/>
        </w:rPr>
        <w:t>要求7（约5分）</w:t>
      </w:r>
    </w:p>
    <w:p>
      <w:pPr>
        <w:spacing w:before="0" w:after="80" w:line="276" w:lineRule="auto"/>
        <w:jc w:val="both"/>
      </w:pPr>
      <w:r>
        <w:rPr>
          <w:rFonts w:ascii="Times New Roman" w:hAnsi="Times New Roman" w:eastAsia="宋体"/>
          <w:b w:val="0"/>
          <w:sz w:val="21"/>
        </w:rPr>
        <w:t>针对资料六第1项和第2项，指出税务处理是否存在不当之处；如存在，提出恰当处理意见。</w:t>
      </w:r>
    </w:p>
    <w:p>
      <w:pPr>
        <w:spacing w:before="160" w:after="80" w:line="276" w:lineRule="auto"/>
      </w:pPr>
      <w:r>
        <w:rPr>
          <w:rFonts w:ascii="Times New Roman" w:hAnsi="Times New Roman" w:eastAsia="黑体"/>
          <w:b/>
          <w:sz w:val="21"/>
        </w:rPr>
        <w:t>要求8（约4分）</w:t>
      </w:r>
    </w:p>
    <w:p>
      <w:pPr>
        <w:spacing w:before="0" w:after="80" w:line="276" w:lineRule="auto"/>
        <w:jc w:val="both"/>
      </w:pPr>
      <w:r>
        <w:rPr>
          <w:rFonts w:ascii="Times New Roman" w:hAnsi="Times New Roman" w:eastAsia="宋体"/>
          <w:b w:val="0"/>
          <w:sz w:val="21"/>
        </w:rPr>
        <w:t>针对资料六第3项：①简述合理保证与有限保证的核心区别；②判断XYZ能否直接承接并说明应关注的前提条件；③能否同意保证程度降级；④同时承接年报审计与可持续鉴证的主要独立性风险。</w:t>
      </w:r>
    </w:p>
    <w:p>
      <w:pPr>
        <w:spacing w:before="200" w:after="120" w:line="276" w:lineRule="auto"/>
      </w:pPr>
      <w:r>
        <w:rPr>
          <w:rFonts w:ascii="Times New Roman" w:hAnsi="Times New Roman" w:eastAsia="黑体"/>
          <w:b/>
          <w:sz w:val="24"/>
        </w:rPr>
        <w:t>英文附加题（5分）</w:t>
      </w:r>
    </w:p>
    <w:p>
      <w:pPr>
        <w:spacing w:before="160" w:after="80" w:line="276" w:lineRule="auto"/>
      </w:pPr>
      <w:r>
        <w:rPr>
          <w:rFonts w:ascii="Times New Roman" w:hAnsi="Times New Roman" w:eastAsia="黑体"/>
          <w:b/>
          <w:sz w:val="21"/>
        </w:rPr>
        <w:t>Requirement 9</w:t>
      </w:r>
    </w:p>
    <w:p>
      <w:pPr>
        <w:spacing w:before="0" w:after="80" w:line="276" w:lineRule="auto"/>
        <w:jc w:val="both"/>
      </w:pPr>
      <w:r>
        <w:rPr>
          <w:rFonts w:ascii="Times New Roman" w:hAnsi="Times New Roman" w:eastAsia="宋体"/>
          <w:b w:val="0"/>
          <w:sz w:val="21"/>
        </w:rPr>
        <w:t>Based on Matter 1 of Material 3, explain in English: (1) how many performance obligations exist and why; (2) whether recognizing the entire contract price as 2×25 revenue is appropriate; (3) whether A company is a principal or an agent for the maintenance service.</w:t>
      </w:r>
    </w:p>
    <w:p>
      <w:pPr>
        <w:spacing w:before="200" w:after="120" w:line="276" w:lineRule="auto"/>
      </w:pPr>
      <w:r>
        <w:rPr>
          <w:rFonts w:ascii="Times New Roman" w:hAnsi="Times New Roman" w:eastAsia="黑体"/>
          <w:b/>
          <w:sz w:val="24"/>
        </w:rPr>
        <w:t>试卷一结构对照（考后用）</w:t>
      </w:r>
    </w:p>
    <w:p>
      <w:pPr>
        <w:spacing w:before="0" w:after="80" w:line="276" w:lineRule="auto"/>
      </w:pPr>
      <w:r>
        <w:rPr>
          <w:rFonts w:ascii="Times New Roman" w:hAnsi="Times New Roman" w:eastAsia="宋体"/>
          <w:b w:val="0"/>
          <w:sz w:val="20"/>
        </w:rPr>
        <w:t>本卷资料数：6个主资料 + 英文附加；作答要求：9个（要求1–8+英文）。对齐“4–7资料、8–11要求”的公开考情描述。</w:t>
      </w:r>
    </w:p>
    <w:p>
      <w:pPr>
        <w:spacing w:before="0" w:after="80" w:line="276" w:lineRule="auto"/>
      </w:pPr>
      <w:r>
        <w:rPr>
          <w:rFonts w:ascii="Times New Roman" w:hAnsi="Times New Roman" w:eastAsia="宋体"/>
          <w:b w:val="0"/>
          <w:sz w:val="20"/>
        </w:rPr>
        <w:t>背景标签：汇泰上期→XYZ本期首次接受委托+子公司首次委托（对齐2016/2018/2023真题开篇模板）。</w:t>
      </w:r>
    </w:p>
    <w:p>
      <w:pPr>
        <w:spacing w:before="0" w:after="80" w:line="276" w:lineRule="auto"/>
      </w:pPr>
      <w:r>
        <w:rPr>
          <w:rFonts w:ascii="Times New Roman" w:hAnsi="Times New Roman" w:eastAsia="宋体"/>
          <w:b w:val="0"/>
          <w:sz w:val="20"/>
        </w:rPr>
        <w:t>会计标签：分步实现控制/个别表合并表差异、集团股份支付、或有对价与商誉后续、外币预付、借款费用停工、租赁期与可变付款、收入拆分、现金折扣、重大融资成分。</w:t>
      </w:r>
    </w:p>
    <w:p>
      <w:pPr>
        <w:spacing w:before="0" w:after="80" w:line="276" w:lineRule="auto"/>
      </w:pPr>
      <w:r>
        <w:rPr>
          <w:rFonts w:ascii="Times New Roman" w:hAnsi="Times New Roman" w:eastAsia="宋体"/>
          <w:b w:val="0"/>
          <w:sz w:val="20"/>
        </w:rPr>
        <w:t>审计标签：前后任沟通时点、实际执行重要性、冷却期独立性、ITGC、函证与电子回函、多地点监盘、第三方存货、首次委托期初余额。</w:t>
      </w:r>
    </w:p>
    <w:p>
      <w:pPr>
        <w:spacing w:before="0" w:after="80" w:line="276" w:lineRule="auto"/>
      </w:pPr>
      <w:r>
        <w:rPr>
          <w:rFonts w:ascii="Times New Roman" w:hAnsi="Times New Roman" w:eastAsia="宋体"/>
          <w:b w:val="0"/>
          <w:sz w:val="20"/>
        </w:rPr>
        <w:t>税法标签：现金折扣与分期收款所得税、新增值税视同销售/混合销售/餐饮进项、关税完税价格、研发加计、商誉摊销税前。</w:t>
      </w:r>
    </w:p>
    <w:p>
      <w:pPr>
        <w:spacing w:before="0" w:after="160" w:line="276" w:lineRule="auto"/>
      </w:pPr>
      <w:r>
        <w:rPr>
          <w:rFonts w:ascii="Times New Roman" w:hAnsi="Times New Roman" w:eastAsia="宋体"/>
          <w:b w:val="0"/>
          <w:sz w:val="20"/>
        </w:rPr>
        <w:t>新增标签：可持续信息鉴证（6101号）。</w:t>
      </w:r>
    </w:p>
    <w:p>
      <w:r>
        <w:br w:type="page"/>
      </w:r>
    </w:p>
    <w:p>
      <w:pPr>
        <w:spacing w:before="200" w:after="160" w:line="276" w:lineRule="auto"/>
        <w:jc w:val="center"/>
      </w:pPr>
      <w:r>
        <w:rPr>
          <w:rFonts w:ascii="Times New Roman" w:hAnsi="Times New Roman" w:eastAsia="黑体"/>
          <w:b/>
          <w:sz w:val="28"/>
        </w:rPr>
        <w:t>职业能力综合测试（试卷二）</w:t>
      </w:r>
    </w:p>
    <w:p>
      <w:pPr>
        <w:spacing w:before="0" w:after="160" w:line="276" w:lineRule="auto"/>
        <w:jc w:val="center"/>
      </w:pPr>
      <w:r>
        <w:rPr>
          <w:rFonts w:ascii="Times New Roman" w:hAnsi="Times New Roman" w:eastAsia="宋体"/>
          <w:b w:val="0"/>
          <w:sz w:val="21"/>
        </w:rPr>
        <w:t>考试时间：3.5小时　　满分：50分</w:t>
      </w:r>
    </w:p>
    <w:p>
      <w:pPr>
        <w:spacing w:before="160" w:after="80" w:line="276" w:lineRule="auto"/>
      </w:pPr>
      <w:r>
        <w:rPr>
          <w:rFonts w:ascii="Times New Roman" w:hAnsi="Times New Roman" w:eastAsia="黑体"/>
          <w:b/>
          <w:sz w:val="22"/>
        </w:rPr>
        <w:t>案例背景</w:t>
      </w:r>
    </w:p>
    <w:p>
      <w:pPr>
        <w:spacing w:before="0" w:after="120" w:line="276" w:lineRule="auto"/>
        <w:jc w:val="both"/>
      </w:pPr>
      <w:r>
        <w:rPr>
          <w:rFonts w:ascii="Times New Roman" w:hAnsi="Times New Roman" w:eastAsia="宋体"/>
          <w:b w:val="0"/>
          <w:sz w:val="21"/>
        </w:rPr>
        <w:t>H集团股份有限公司（以下简称“H公司”）创立于2×12年，总部位于长三角，是一家非上市股份有限公司，主营高精密减速器、机器人关节模组及工业软件。近年面临国产替代加速、海外认证壁垒、原材料价格波动及客户ESG审核趋严。公司股权相对集中，控股股东为自然人家族持股平台；董事会7人，暂无职工董事；未设监事会，亦未设置审计委员会。公司正筹备申报主板/创业板上市，并计划并购欧洲渠道商I公司、建设数智化工厂。</w:t>
      </w:r>
    </w:p>
    <w:p>
      <w:pPr>
        <w:spacing w:before="200" w:after="120" w:line="276" w:lineRule="auto"/>
      </w:pPr>
      <w:r>
        <w:rPr>
          <w:rFonts w:ascii="Times New Roman" w:hAnsi="Times New Roman" w:eastAsia="黑体"/>
          <w:b/>
          <w:sz w:val="24"/>
        </w:rPr>
        <w:t>资料一</w:t>
      </w:r>
    </w:p>
    <w:p>
      <w:pPr>
        <w:spacing w:before="0" w:after="80" w:line="276" w:lineRule="auto"/>
        <w:jc w:val="both"/>
      </w:pPr>
      <w:r>
        <w:rPr>
          <w:rFonts w:ascii="Times New Roman" w:hAnsi="Times New Roman" w:eastAsia="宋体"/>
          <w:b w:val="0"/>
          <w:sz w:val="21"/>
        </w:rPr>
        <w:t>宏观：人口老龄化推升自动化需求；产业政策支持高端装备；出口面临技术性贸易措施；生成式AI向工业场景渗透。产业：由成长期向成熟期过渡；上游精密轴承/芯片供应商集中；下游整机厂议价强；认证周期构成进入壁垒；价格战初现。自身：谐波减速器国内市占率前三；研发费用率高于行业；海外收入12%；交付周期长于日韩竞品；已有部分数字化产线但数据孤岛严重；欧洲客户发出ESG问卷。业务：谐波减速器（高增长高份额）；RV减速器（高增长低份额）；传统齿轮配件（低增长高份额）；工业互联网运维SaaS（低增长低份额，亏损）。</w:t>
      </w:r>
    </w:p>
    <w:p>
      <w:pPr>
        <w:spacing w:before="160" w:after="80" w:line="276" w:lineRule="auto"/>
      </w:pPr>
      <w:r>
        <w:rPr>
          <w:rFonts w:ascii="Times New Roman" w:hAnsi="Times New Roman" w:eastAsia="黑体"/>
          <w:b/>
          <w:sz w:val="21"/>
        </w:rPr>
        <w:t>要求1（约10分）</w:t>
      </w:r>
    </w:p>
    <w:p>
      <w:pPr>
        <w:spacing w:before="0" w:after="80" w:line="276" w:lineRule="auto"/>
        <w:jc w:val="both"/>
      </w:pPr>
      <w:r>
        <w:rPr>
          <w:rFonts w:ascii="Times New Roman" w:hAnsi="Times New Roman" w:eastAsia="宋体"/>
          <w:b w:val="0"/>
          <w:sz w:val="21"/>
        </w:rPr>
        <w:t>（1）用PEST分析机会与威胁（各不少于两点）；（2）指出波特五力中对本行业利润威胁最大的两种力量并说明理由；（3）用波士顿矩阵判断四类业务并给出战略建议；（4）完成SWOT（每项不少于两点）；（5）选择更适宜的竞争战略并说明理由。</w:t>
      </w:r>
    </w:p>
    <w:p>
      <w:pPr>
        <w:spacing w:before="200" w:after="120" w:line="276" w:lineRule="auto"/>
      </w:pPr>
      <w:r>
        <w:rPr>
          <w:rFonts w:ascii="Times New Roman" w:hAnsi="Times New Roman" w:eastAsia="黑体"/>
          <w:b/>
          <w:sz w:val="24"/>
        </w:rPr>
        <w:t>资料二</w:t>
      </w:r>
    </w:p>
    <w:p>
      <w:pPr>
        <w:spacing w:before="0" w:after="80" w:line="276" w:lineRule="auto"/>
        <w:jc w:val="both"/>
      </w:pPr>
      <w:r>
        <w:rPr>
          <w:rFonts w:ascii="Times New Roman" w:hAnsi="Times New Roman" w:eastAsia="宋体"/>
          <w:b w:val="0"/>
          <w:sz w:val="21"/>
        </w:rPr>
        <w:t>董事会两年规划：①向下游整机装配延伸；②收购欧洲渠道商I公司；③投资2.5亿元建设数智化工厂（MES、质量追溯、工业互联网）；④建立ESG管理体系，计划2×27年发布可持续报告并寻求有限保证。董事甲认为“ESG只是宣传，与战略无关”；董事乙认为“数智化就是采购软件，不必改组织流程与数据治理”。另有方案讨论与J研究所成立合资公司共同攻关下一代减速器材料。</w:t>
      </w:r>
    </w:p>
    <w:p>
      <w:pPr>
        <w:spacing w:before="160" w:after="80" w:line="276" w:lineRule="auto"/>
      </w:pPr>
      <w:r>
        <w:rPr>
          <w:rFonts w:ascii="Times New Roman" w:hAnsi="Times New Roman" w:eastAsia="黑体"/>
          <w:b/>
          <w:sz w:val="21"/>
        </w:rPr>
        <w:t>要求2（约8分）</w:t>
      </w:r>
    </w:p>
    <w:p>
      <w:pPr>
        <w:spacing w:before="0" w:after="80" w:line="276" w:lineRule="auto"/>
        <w:jc w:val="both"/>
      </w:pPr>
      <w:r>
        <w:rPr>
          <w:rFonts w:ascii="Times New Roman" w:hAnsi="Times New Roman" w:eastAsia="宋体"/>
          <w:b w:val="0"/>
          <w:sz w:val="21"/>
        </w:rPr>
        <w:t>（1）向下游延伸属于何种一体化，主要风险是什么；（2）收购I公司的并购类型（产业关系、态度）；（3）评价甲、乙观点，并说明数智化转型与可持续发展管理对战略实施的意义；（4）就内部发展、并购、战略联盟给出实现途径组合建议。</w:t>
      </w:r>
    </w:p>
    <w:p>
      <w:pPr>
        <w:spacing w:before="200" w:after="120" w:line="276" w:lineRule="auto"/>
      </w:pPr>
      <w:r>
        <w:rPr>
          <w:rFonts w:ascii="Times New Roman" w:hAnsi="Times New Roman" w:eastAsia="黑体"/>
          <w:b/>
          <w:sz w:val="24"/>
        </w:rPr>
        <w:t>资料三</w:t>
      </w:r>
    </w:p>
    <w:p>
      <w:pPr>
        <w:spacing w:before="0" w:after="80" w:line="276" w:lineRule="auto"/>
        <w:jc w:val="both"/>
      </w:pPr>
      <w:r>
        <w:rPr>
          <w:rFonts w:ascii="Times New Roman" w:hAnsi="Times New Roman" w:eastAsia="宋体"/>
          <w:b w:val="0"/>
          <w:sz w:val="21"/>
        </w:rPr>
        <w:t>拟收购I公司80%股权。评估：I公司股权自由现金流折现后全权益价值10亿元；有息负债2亿元；溢余现金0.5亿元。交易对价设计为现金4亿元+H公司新股，使卖方总对价约8.5亿元。融资方案：甲—长期借款为主（利率5.5%，契约严）；乙—增发为主+少量借款；丙—可转债。H公司资本结构权益60%/债务40%；β权益1.2；Rf=2.5%；市场风险溢价5%；债务税前成本5%；所得税25%。数智工厂投资2.5亿元，预计年税后经营现金流4,000万元，期限8年，残值忽略，折现率采用WACC。</w:t>
      </w:r>
    </w:p>
    <w:p>
      <w:pPr>
        <w:spacing w:before="160" w:after="80" w:line="276" w:lineRule="auto"/>
      </w:pPr>
      <w:r>
        <w:rPr>
          <w:rFonts w:ascii="Times New Roman" w:hAnsi="Times New Roman" w:eastAsia="黑体"/>
          <w:b/>
          <w:sz w:val="21"/>
        </w:rPr>
        <w:t>要求3（约10分）</w:t>
      </w:r>
    </w:p>
    <w:p>
      <w:pPr>
        <w:spacing w:before="0" w:after="80" w:line="276" w:lineRule="auto"/>
        <w:jc w:val="both"/>
      </w:pPr>
      <w:r>
        <w:rPr>
          <w:rFonts w:ascii="Times New Roman" w:hAnsi="Times New Roman" w:eastAsia="宋体"/>
          <w:b w:val="0"/>
          <w:sz w:val="21"/>
        </w:rPr>
        <w:t>（1）计算I公司企业价值及80%股权价值参考；（2）比较甲/乙/丙对财务风险与控制权的影响；（3）计算WACC；（4）给出数智工厂项目可行性判断规则（可写NPV决策）；（5）定性分析可转债对资本成本与稀释的影响。</w:t>
      </w:r>
    </w:p>
    <w:p>
      <w:pPr>
        <w:spacing w:before="200" w:after="120" w:line="276" w:lineRule="auto"/>
      </w:pPr>
      <w:r>
        <w:rPr>
          <w:rFonts w:ascii="Times New Roman" w:hAnsi="Times New Roman" w:eastAsia="黑体"/>
          <w:b/>
          <w:sz w:val="24"/>
        </w:rPr>
        <w:t>资料四</w:t>
      </w:r>
    </w:p>
    <w:p>
      <w:pPr>
        <w:spacing w:before="0" w:after="80" w:line="276" w:lineRule="auto"/>
        <w:jc w:val="both"/>
      </w:pPr>
      <w:r>
        <w:rPr>
          <w:rFonts w:ascii="Times New Roman" w:hAnsi="Times New Roman" w:eastAsia="宋体"/>
          <w:b w:val="0"/>
          <w:sz w:val="21"/>
        </w:rPr>
        <w:t>治理与合规现状：①章程规定部分发起人可在成立后第8年缴足出资；有董事称“新公司法取消认缴，必须立刻实缴”。②拟不设监事会，改在董事会设审计委员会；职工人数超过300人，董事会无职工代表。③上市前拟发行股份及支付现金购买I公司股权，预计构成重大资产重组；有股东建议先签协议后补披露。④独董候选人由控股股东直接提名，且其最近一年为控股股东财务顾问。⑤拟授权董事会在三年内发行不超过已发行股份50%的股份用于并购支付。⑥法务提示并购可能触发经营者集中申报。</w:t>
      </w:r>
    </w:p>
    <w:p>
      <w:pPr>
        <w:spacing w:before="160" w:after="80" w:line="276" w:lineRule="auto"/>
      </w:pPr>
      <w:r>
        <w:rPr>
          <w:rFonts w:ascii="Times New Roman" w:hAnsi="Times New Roman" w:eastAsia="黑体"/>
          <w:b/>
          <w:sz w:val="21"/>
        </w:rPr>
        <w:t>要求4（约12分）</w:t>
      </w:r>
    </w:p>
    <w:p>
      <w:pPr>
        <w:spacing w:before="0" w:after="80" w:line="276" w:lineRule="auto"/>
        <w:jc w:val="both"/>
      </w:pPr>
      <w:r>
        <w:rPr>
          <w:rFonts w:ascii="Times New Roman" w:hAnsi="Times New Roman" w:eastAsia="宋体"/>
          <w:b w:val="0"/>
          <w:sz w:val="21"/>
        </w:rPr>
        <w:t>逐项分析资料四①至⑥是否存在法律风险或不当之处，并给出处理意见/合规要点（新公司法、证券法/重组规则、反垄断申报等）。</w:t>
      </w:r>
    </w:p>
    <w:p>
      <w:pPr>
        <w:spacing w:before="200" w:after="120" w:line="276" w:lineRule="auto"/>
      </w:pPr>
      <w:r>
        <w:rPr>
          <w:rFonts w:ascii="Times New Roman" w:hAnsi="Times New Roman" w:eastAsia="黑体"/>
          <w:b/>
          <w:sz w:val="24"/>
        </w:rPr>
        <w:t>资料五</w:t>
      </w:r>
    </w:p>
    <w:p>
      <w:pPr>
        <w:spacing w:before="0" w:after="80" w:line="276" w:lineRule="auto"/>
        <w:jc w:val="both"/>
      </w:pPr>
      <w:r>
        <w:rPr>
          <w:rFonts w:ascii="Times New Roman" w:hAnsi="Times New Roman" w:eastAsia="宋体"/>
          <w:b w:val="0"/>
          <w:sz w:val="21"/>
        </w:rPr>
        <w:t>欧洲客户要求提供供应链碳排放数据，否则取消合格供应商资格；同时关键原材料价格三个月内上涨28%，部分订单出现亏损风险；H公司对I公司并购尚需跨境资金与外汇合规安排。</w:t>
      </w:r>
    </w:p>
    <w:p>
      <w:pPr>
        <w:spacing w:before="160" w:after="80" w:line="276" w:lineRule="auto"/>
      </w:pPr>
      <w:r>
        <w:rPr>
          <w:rFonts w:ascii="Times New Roman" w:hAnsi="Times New Roman" w:eastAsia="黑体"/>
          <w:b/>
          <w:sz w:val="21"/>
        </w:rPr>
        <w:t>要求5（约5分）</w:t>
      </w:r>
    </w:p>
    <w:p>
      <w:pPr>
        <w:spacing w:before="0" w:after="80" w:line="276" w:lineRule="auto"/>
        <w:jc w:val="both"/>
      </w:pPr>
      <w:r>
        <w:rPr>
          <w:rFonts w:ascii="Times New Roman" w:hAnsi="Times New Roman" w:eastAsia="宋体"/>
          <w:b w:val="0"/>
          <w:sz w:val="21"/>
        </w:rPr>
        <w:t>（1）识别至少四类风险并对应资料；（2）对其中三类风险各提出一项应对策略（承担/规避/转移/降低），并说明理由。</w:t>
      </w:r>
    </w:p>
    <w:p>
      <w:pPr>
        <w:spacing w:before="200" w:after="120" w:line="276" w:lineRule="auto"/>
      </w:pPr>
      <w:r>
        <w:rPr>
          <w:rFonts w:ascii="Times New Roman" w:hAnsi="Times New Roman" w:eastAsia="黑体"/>
          <w:b/>
          <w:sz w:val="24"/>
        </w:rPr>
        <w:t>试卷二结构对照</w:t>
      </w:r>
    </w:p>
    <w:p>
      <w:pPr>
        <w:spacing w:before="0" w:after="160" w:line="276" w:lineRule="auto"/>
      </w:pPr>
      <w:r>
        <w:rPr>
          <w:rFonts w:ascii="Times New Roman" w:hAnsi="Times New Roman" w:eastAsia="宋体"/>
          <w:b w:val="0"/>
          <w:sz w:val="20"/>
        </w:rPr>
        <w:t>资料数5；要求5个大问（下含多小问），对齐试卷二“编年/资料分段+战略工具+并购估值+公司法证券法”的常见密度。数智化/ESG与新公司法为2026大纲增量嵌入。</w:t>
      </w:r>
    </w:p>
    <w:p>
      <w:r>
        <w:br w:type="page"/>
      </w:r>
    </w:p>
    <w:p>
      <w:pPr>
        <w:spacing w:before="200" w:after="160" w:line="276" w:lineRule="auto"/>
        <w:jc w:val="center"/>
      </w:pPr>
      <w:r>
        <w:rPr>
          <w:rFonts w:ascii="Times New Roman" w:hAnsi="Times New Roman" w:eastAsia="黑体"/>
          <w:b/>
          <w:sz w:val="28"/>
        </w:rPr>
        <w:t>简要答题方向（非标准答案，仅供自测）</w:t>
      </w:r>
    </w:p>
    <w:p>
      <w:pPr>
        <w:spacing w:before="0" w:after="80" w:line="276" w:lineRule="auto"/>
        <w:jc w:val="both"/>
      </w:pPr>
      <w:r>
        <w:rPr>
          <w:rFonts w:ascii="Times New Roman" w:hAnsi="Times New Roman" w:eastAsia="宋体"/>
          <w:b w:val="0"/>
          <w:sz w:val="20"/>
        </w:rPr>
        <w:t>卷一要求1：分步实现控制时，个别表/合并表对原持股重新计量、核算方法转换、商誉计算口径；集团股份支付在子公司、母公司个别表、合并表的分类与等待期摊销不同。</w:t>
      </w:r>
    </w:p>
    <w:p>
      <w:pPr>
        <w:spacing w:before="0" w:after="80" w:line="276" w:lineRule="auto"/>
        <w:jc w:val="both"/>
      </w:pPr>
      <w:r>
        <w:rPr>
          <w:rFonts w:ascii="Times New Roman" w:hAnsi="Times New Roman" w:eastAsia="宋体"/>
          <w:b w:val="0"/>
          <w:sz w:val="20"/>
        </w:rPr>
        <w:t>卷一要求2：购买日后情况导致的对价调整一般不调商誉而按债务重组等处理；外币预付非货币性项目不确认汇兑损益；借款费用停工暂停资本化、闲置收益扣减、一般借款按占用额资本化；租赁期在不能合理确定续租时不含续租期，产值/箱量类可变租金通常不入初始负债。</w:t>
      </w:r>
    </w:p>
    <w:p>
      <w:pPr>
        <w:spacing w:before="0" w:after="80" w:line="276" w:lineRule="auto"/>
        <w:jc w:val="both"/>
      </w:pPr>
      <w:r>
        <w:rPr>
          <w:rFonts w:ascii="Times New Roman" w:hAnsi="Times New Roman" w:eastAsia="宋体"/>
          <w:b w:val="0"/>
          <w:sz w:val="20"/>
        </w:rPr>
        <w:t>卷一要求3–4：收入拆分与主要责任人；现金折扣可变对价 vs 所得税总额法；重大融资成分按现销价；新法下无偿服务一般不视同销售、混合销售按主附关系主要业务税率、餐饮进项强调“直接用于消费”。</w:t>
      </w:r>
    </w:p>
    <w:p>
      <w:pPr>
        <w:spacing w:before="0" w:after="80" w:line="276" w:lineRule="auto"/>
        <w:jc w:val="both"/>
      </w:pPr>
      <w:r>
        <w:rPr>
          <w:rFonts w:ascii="Times New Roman" w:hAnsi="Times New Roman" w:eastAsia="宋体"/>
          <w:b w:val="0"/>
          <w:sz w:val="20"/>
        </w:rPr>
        <w:t>卷一要求5–6：委托前沟通；首次+高风险→较低实际执行重要性；冷却期；ITGC测试；电子回函验证；同城多仓同日监盘且不预告抽盘；第三方存货状况与跌价；首次委托期初余额程序与不可单独定重要性。</w:t>
      </w:r>
    </w:p>
    <w:p>
      <w:pPr>
        <w:spacing w:before="0" w:after="80" w:line="276" w:lineRule="auto"/>
        <w:jc w:val="both"/>
      </w:pPr>
      <w:r>
        <w:rPr>
          <w:rFonts w:ascii="Times New Roman" w:hAnsi="Times New Roman" w:eastAsia="宋体"/>
          <w:b w:val="0"/>
          <w:sz w:val="20"/>
        </w:rPr>
        <w:t>卷一要求7–8：境外委托研发加计限制；商誉摊销不得税前扣除；关税完税价格构成；可持续鉴证保证类型、承接前提、不得无理由降级、独立性。</w:t>
      </w:r>
    </w:p>
    <w:p>
      <w:pPr>
        <w:spacing w:before="0" w:after="240" w:line="276" w:lineRule="auto"/>
        <w:jc w:val="both"/>
      </w:pPr>
      <w:r>
        <w:rPr>
          <w:rFonts w:ascii="Times New Roman" w:hAnsi="Times New Roman" w:eastAsia="宋体"/>
          <w:b w:val="0"/>
          <w:sz w:val="20"/>
        </w:rPr>
        <w:t>卷二：战略四件套+一体化/并购/联盟；WACC与估值；新公司法出资与审计委员会/职工董事；重组披露与独董独立；经营者集中；风险应对。</w:t>
      </w:r>
    </w:p>
    <w:p>
      <w:pPr>
        <w:spacing w:before="0" w:after="80" w:line="276" w:lineRule="auto"/>
        <w:jc w:val="center"/>
      </w:pPr>
      <w:r>
        <w:rPr>
          <w:rFonts w:ascii="Times New Roman" w:hAnsi="Times New Roman" w:eastAsia="宋体"/>
          <w:b/>
          <w:sz w:val="22"/>
        </w:rPr>
        <w:t>—— 重制版完 ——</w:t>
      </w:r>
    </w:p>
    <w:p>
      <w:pPr>
        <w:spacing w:before="0" w:after="80" w:line="276" w:lineRule="auto"/>
        <w:jc w:val="center"/>
      </w:pPr>
      <w:r>
        <w:rPr>
          <w:rFonts w:ascii="Times New Roman" w:hAnsi="Times New Roman" w:eastAsia="宋体"/>
          <w:b w:val="0"/>
          <w:color w:val="666666"/>
          <w:sz w:val="18"/>
        </w:rPr>
        <w:t>本卷用于逼近正式考试阅读量与设问密度，便于训练；不保证与2026正式试题一致。考后请按考点标签而非情节对照。</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