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120" w:line="300" w:lineRule="auto"/>
        <w:jc w:val="center"/>
      </w:pPr>
      <w:r>
        <w:rPr>
          <w:rFonts w:ascii="Times New Roman" w:hAnsi="Times New Roman" w:eastAsia="黑体"/>
          <w:b/>
          <w:sz w:val="36"/>
        </w:rPr>
        <w:t>2026年注册会计师全国统一考试</w:t>
      </w:r>
    </w:p>
    <w:p>
      <w:pPr>
        <w:spacing w:after="160" w:before="120" w:line="300" w:lineRule="auto"/>
        <w:jc w:val="center"/>
      </w:pPr>
      <w:r>
        <w:rPr>
          <w:rFonts w:ascii="Times New Roman" w:hAnsi="Times New Roman" w:eastAsia="黑体"/>
          <w:b/>
          <w:sz w:val="36"/>
        </w:rPr>
        <w:t>综合阶段押题卷（Cursor Grok 版）</w:t>
      </w:r>
    </w:p>
    <w:p>
      <w:pPr>
        <w:spacing w:after="240" w:before="0" w:line="300" w:lineRule="auto"/>
        <w:jc w:val="center"/>
      </w:pPr>
      <w:r>
        <w:rPr>
          <w:rFonts w:ascii="Times New Roman" w:hAnsi="Times New Roman" w:eastAsia="黑体"/>
          <w:b/>
          <w:sz w:val="28"/>
        </w:rPr>
        <w:t>职业能力综合测试（试卷一 + 试卷二）</w:t>
      </w:r>
    </w:p>
    <w:p>
      <w:pPr>
        <w:spacing w:after="80" w:before="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押题人：Cursor Grok 4.5　　押题日期：2026-07-30　　考试日期：2026-08-30</w:t>
      </w:r>
    </w:p>
    <w:p>
      <w:pPr>
        <w:spacing w:after="240" w:before="0" w:line="300" w:lineRule="auto"/>
        <w:jc w:val="center"/>
      </w:pPr>
      <w:r>
        <w:rPr>
          <w:rFonts w:ascii="Times New Roman" w:hAnsi="Times New Roman" w:eastAsia="宋体"/>
          <w:b w:val="0"/>
          <w:sz w:val="21"/>
        </w:rPr>
        <w:t>用途：考后与其他AI对照「考点命中率」　　计分规则见文末</w:t>
      </w:r>
    </w:p>
    <w:p>
      <w:pPr>
        <w:spacing w:after="320" w:before="0" w:line="300" w:lineRule="auto"/>
        <w:jc w:val="both"/>
      </w:pPr>
      <w:r>
        <w:rPr>
          <w:rFonts w:ascii="Times New Roman" w:hAnsi="Times New Roman" w:eastAsia="宋体"/>
          <w:b w:val="0"/>
          <w:sz w:val="21"/>
        </w:rPr>
        <w:t>重要说明：本卷依据2026年综合阶段大纲、近年命题规律及已施行法规结构化押题，并非试题泄露，不保证与正式试卷一致。考后请用「考点标签」对照，勿用故事情节对照。</w:t>
      </w:r>
    </w:p>
    <w:p>
      <w:pPr>
        <w:spacing w:after="160" w:before="240" w:line="300" w:lineRule="auto"/>
      </w:pPr>
      <w:r>
        <w:rPr>
          <w:rFonts w:ascii="Times New Roman" w:hAnsi="Times New Roman" w:eastAsia="黑体"/>
          <w:b/>
          <w:sz w:val="28"/>
        </w:rPr>
        <w:t>考后对照计分规则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1. 只按「考点标签」命中计分，不按案例行业/公司名是否一致。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2. 正式考试回忆版中出现对应考点，即计命中1分。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3. 不算命中：仅行业相同但考点不同；算命中：考点相同即可。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D9E2F3" w:val="clea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统计项</w:t>
            </w:r>
          </w:p>
        </w:tc>
        <w:tc>
          <w:tcPr>
            <w:tcW w:type="dxa" w:w="4703"/>
            <w:shd w:fill="D9E2F3" w:val="clea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口径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卷一命中率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命中的V1标签数 / 14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卷二命中率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命中的V2标签数 / 18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加权总分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卷一命中×1.2 + 卷二命中×1.0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新增点专项</w:t>
            </w:r>
          </w:p>
        </w:tc>
        <w:tc>
          <w:tcPr>
            <w:tcW w:type="dxa" w:w="4703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V1-9~V1-14 + V2-8 + V2-13~V2-14</w:t>
            </w:r>
          </w:p>
        </w:tc>
      </w:tr>
    </w:tbl>
    <w:p/>
    <w:p>
      <w:pPr>
        <w:spacing w:after="240" w:before="0" w:line="300" w:lineRule="auto"/>
      </w:pPr>
      <w:r>
        <w:rPr>
          <w:rFonts w:ascii="Times New Roman" w:hAnsi="Times New Roman" w:eastAsia="宋体"/>
          <w:b w:val="0"/>
          <w:sz w:val="21"/>
        </w:rPr>
        <w:t>主押承诺——卷一：长投合并+收入+金融工具（租赁次之）；新增值税差异；可持续信息鉴证小问。卷二：战略四件套+并购；估值与融资；公司法/重组与治理（含新公司法）。</w:t>
      </w:r>
    </w:p>
    <w:p>
      <w:r>
        <w:br w:type="page"/>
      </w:r>
    </w:p>
    <w:p>
      <w:pPr>
        <w:spacing w:after="200" w:before="280" w:line="300" w:lineRule="auto"/>
        <w:jc w:val="center"/>
      </w:pPr>
      <w:r>
        <w:rPr>
          <w:rFonts w:ascii="Times New Roman" w:hAnsi="Times New Roman" w:eastAsia="黑体"/>
          <w:b/>
          <w:sz w:val="32"/>
        </w:rPr>
        <w:t>职业能力综合测试（试卷一）押题卷</w:t>
      </w:r>
    </w:p>
    <w:p>
      <w:pPr>
        <w:spacing w:after="200" w:before="0" w:line="300" w:lineRule="auto"/>
        <w:jc w:val="center"/>
      </w:pPr>
      <w:r>
        <w:rPr>
          <w:rFonts w:ascii="Times New Roman" w:hAnsi="Times New Roman" w:eastAsia="宋体"/>
          <w:b w:val="0"/>
          <w:sz w:val="22"/>
        </w:rPr>
        <w:t>考试时间：3.5小时　　满分：50分（另设英文附加分5分）</w:t>
      </w:r>
    </w:p>
    <w:p>
      <w:pPr>
        <w:spacing w:after="120" w:before="200" w:line="300" w:lineRule="auto"/>
      </w:pPr>
      <w:r>
        <w:rPr>
          <w:rFonts w:ascii="Times New Roman" w:hAnsi="Times New Roman" w:eastAsia="黑体"/>
          <w:b/>
          <w:sz w:val="24"/>
        </w:rPr>
        <w:t>案例背景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A股份有限公司（以下简称“A公司”）为上海证券交易所主板上市公司，股票代码600XXX，主要从事工业自动化设备及智能产线系统集成。XYZ会计师事务所连续多年担任A公司年报审计机构，并对A公司2025年度财务报表执行审计（审计报告日拟定为2026年3月20日）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2025年，A公司实施重大资产重组，收购从事工业软件与工业互联网平台运营的B科技有限公司（以下简称“B公司”）控股权；同时推进数字化交付模式升级，并首次按企业可持续披露准则编制《2025年度可持续信息披露报告》，拟委托XYZ事务所对其中部分指标提供鉴证。</w:t>
      </w:r>
    </w:p>
    <w:p>
      <w:pPr>
        <w:spacing w:after="20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资料中涉及的增值税相关交易均发生在2026年1月1日之后（适用《增值税法》及《实施条例》）。</w:t>
      </w:r>
    </w:p>
    <w:p>
      <w:pPr>
        <w:spacing w:after="160" w:before="240" w:line="300" w:lineRule="auto"/>
      </w:pPr>
      <w:r>
        <w:rPr>
          <w:rFonts w:ascii="Times New Roman" w:hAnsi="Times New Roman" w:eastAsia="黑体"/>
          <w:b/>
          <w:sz w:val="28"/>
        </w:rPr>
        <w:t>资料一（会计 + 税法交叉）</w:t>
      </w:r>
    </w:p>
    <w:p>
      <w:pPr>
        <w:spacing w:after="120" w:before="200" w:line="300" w:lineRule="auto"/>
      </w:pPr>
      <w:r>
        <w:rPr>
          <w:rFonts w:ascii="Times New Roman" w:hAnsi="Times New Roman" w:eastAsia="黑体"/>
          <w:b/>
          <w:sz w:val="24"/>
        </w:rPr>
        <w:t>事项1　非同一控制下企业合并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2025年4月1日，A公司以支付现金1.8亿元、并向B公司原股东定向发行普通股2,000万股（每股公允价值8元）的方式，取得B公司80%股权。购买日B公司可辨认净资产账面价值2.5亿元，经评估公允价值为2.8亿元（差异主要来自：存货高估公允价值3,000万元；一项尚在开发中的工业软件技术公允价值较账面高出2,000万元，该技术尚未达到可使用状态）。A公司支付中介评估费200万元，计入管理费用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A公司个别报表按成本法核算对B公司长期股权投资。合并报表确认商誉时，未考虑少数股东商誉。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/>
          <w:sz w:val="22"/>
        </w:rPr>
        <w:t>要求1（约6分）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（1）判断该项合并属于同一控制还是非同一控制，并说明理由。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（2）计算购买日A公司合并成本及应确认的商誉（列出算式）。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（3）说明购买日存货增值、开发中软件技术在合并报表中的后续会计处理原则（减值/摊销）。</w:t>
      </w:r>
    </w:p>
    <w:p>
      <w:pPr>
        <w:spacing w:after="160" w:before="0" w:line="300" w:lineRule="auto"/>
      </w:pPr>
      <w:r>
        <w:rPr>
          <w:rFonts w:ascii="Times New Roman" w:hAnsi="Times New Roman" w:eastAsia="宋体"/>
          <w:b w:val="0"/>
          <w:sz w:val="22"/>
        </w:rPr>
        <w:t>（4）中介评估费200万元的会计处理是否正确？说明理由。</w:t>
      </w:r>
    </w:p>
    <w:p>
      <w:pPr>
        <w:spacing w:after="120" w:before="200" w:line="300" w:lineRule="auto"/>
      </w:pPr>
      <w:r>
        <w:rPr>
          <w:rFonts w:ascii="Times New Roman" w:hAnsi="Times New Roman" w:eastAsia="黑体"/>
          <w:b/>
          <w:sz w:val="24"/>
        </w:rPr>
        <w:t>事项2　收入确认（定制产线 + 运维）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2025年11月1日，A公司与客户C签订《智能产线定制合同》，合同总价款6,000万元（不含增值税），其中：产线设备价款5,200万元；自设备验收之日起3年免费运维服务约定对价800万元。合同约定设备于2025年12月20日交付并经C验收后转移控制权；运维服务自2026年1月1日起按季度提供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A公司于2025年12月25日完成交付并取得验收单，将合同总价款6,000万元全部确认为2025年度营业收入，并按13%计提增值税销项税额。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另：合同约定A公司可自行指定第三方运维商履约，A公司对运维质量向C承担首要责任；运维成本预计总额480万元。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/>
          <w:sz w:val="22"/>
        </w:rPr>
        <w:t>要求2（约7分）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（1）判断合同中包含几项履约义务，并说明理由。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（2）A公司将6,000万元全部确认为2025年收入是否正确？正确的收入确认原则是什么（含金额分摊思路）？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（3）运维服务中，A公司属于主要责任人还是代理人？说明理由。</w:t>
      </w:r>
    </w:p>
    <w:p>
      <w:pPr>
        <w:spacing w:after="160" w:before="0" w:line="300" w:lineRule="auto"/>
      </w:pPr>
      <w:r>
        <w:rPr>
          <w:rFonts w:ascii="Times New Roman" w:hAnsi="Times New Roman" w:eastAsia="宋体"/>
          <w:b w:val="0"/>
          <w:sz w:val="22"/>
        </w:rPr>
        <w:t>（4）站在企业所得税角度：若会计上需递延确认运维收入，2025年企业所得税汇算时如何协调？</w:t>
      </w:r>
    </w:p>
    <w:p>
      <w:pPr>
        <w:spacing w:after="120" w:before="200" w:line="300" w:lineRule="auto"/>
      </w:pPr>
      <w:r>
        <w:rPr>
          <w:rFonts w:ascii="Times New Roman" w:hAnsi="Times New Roman" w:eastAsia="黑体"/>
          <w:b/>
          <w:sz w:val="24"/>
        </w:rPr>
        <w:t>事项3　金融工具分类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2025年7月1日，A公司以银行存款1.2亿元购入D集团发行的5年期债券，面值1亿元，票面利率5%（与购入时市场利率一致），每年6月30日付息。合同约定：若D集团任一年度末资产负债率超过70%，A公司有权于次年3月31日前按“面值+应计利息”要求D集团回购。2025年末D集团资产负债率72%，触发回售权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A公司管理层认为“持有至到期收取合同现金流量”，将该债券分类为以摊余成本计量的金融资产，初始确认1.2亿元，2025年确认利息收入300万元。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/>
          <w:sz w:val="22"/>
        </w:rPr>
        <w:t>要求3（约5分）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（1）分析该债券合同现金流量特征是否符合“本金加利息”（SPPI）。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（2）A公司将其分类为摊余成本计量是否正确？正确分类及理由。</w:t>
      </w:r>
    </w:p>
    <w:p>
      <w:pPr>
        <w:spacing w:after="160" w:before="0" w:line="300" w:lineRule="auto"/>
      </w:pPr>
      <w:r>
        <w:rPr>
          <w:rFonts w:ascii="Times New Roman" w:hAnsi="Times New Roman" w:eastAsia="宋体"/>
          <w:b w:val="0"/>
          <w:sz w:val="22"/>
        </w:rPr>
        <w:t>（3）若分类错误，简述对2025年损益及财务报表列报的主要影响方向（无需精确金额）。</w:t>
      </w:r>
    </w:p>
    <w:p>
      <w:pPr>
        <w:spacing w:after="120" w:before="200" w:line="300" w:lineRule="auto"/>
      </w:pPr>
      <w:r>
        <w:rPr>
          <w:rFonts w:ascii="Times New Roman" w:hAnsi="Times New Roman" w:eastAsia="黑体"/>
          <w:b/>
          <w:sz w:val="24"/>
        </w:rPr>
        <w:t>事项4　租赁（承租人）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2025年1月1日，A公司租入一处智能制造厂房，租期5年，年租金1,200万元（每年年初支付），无购货选择权。合同含2年续租选择权，A公司合理确定将行使。租赁内含利率无法确定，A公司增量借款利率4%。另约定：若A公司当年产值超过约定阈值，需按超额产值的1%支付或有租金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A公司仅按5年确认使用权资产与租赁负债，未考虑续租选择权；或有租金未纳入租赁负债，实际发生时计入当期损益。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/>
          <w:sz w:val="22"/>
        </w:rPr>
        <w:t>要求4（约4分）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（1）租赁期应如何确定？A公司按5年计量是否正确？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（2）或有租金（可变租赁付款额）是否应纳入租赁负债？说明原则。</w:t>
      </w:r>
    </w:p>
    <w:p>
      <w:pPr>
        <w:spacing w:after="160" w:before="0" w:line="300" w:lineRule="auto"/>
      </w:pPr>
      <w:r>
        <w:rPr>
          <w:rFonts w:ascii="Times New Roman" w:hAnsi="Times New Roman" w:eastAsia="宋体"/>
          <w:b w:val="0"/>
          <w:sz w:val="22"/>
        </w:rPr>
        <w:t>（3）简述正确会计处理思路（初始计量要点即可）。</w:t>
      </w:r>
    </w:p>
    <w:p>
      <w:pPr>
        <w:spacing w:after="160" w:before="240" w:line="300" w:lineRule="auto"/>
      </w:pPr>
      <w:r>
        <w:rPr>
          <w:rFonts w:ascii="Times New Roman" w:hAnsi="Times New Roman" w:eastAsia="黑体"/>
          <w:b/>
          <w:sz w:val="28"/>
        </w:rPr>
        <w:t>资料二（审计）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XYZ事务所对A公司2025年度财务报表审计中，项目组记录如下：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1. 针对事项2收入，项目组仅实施了检查销售合同与验收单、函证应收账款两项程序，认为可确认收入发生认定，未对运维服务递延部分执行程序。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2. 存货监盘日为2025年12月31日。B公司异地仓库存货约800万元（占合并存货15%），项目组因路程远未安排监盘，改为检查永续盘存记录。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3. 项目组将实际执行的重要性水平确定为财务报表整体重要性的75%。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4. A公司财务总监之子在XYZ事务所担任审计员，并被分派至A公司审计项目组参与存货监盘。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5. A公司使用自研工业互联网平台生成收入确认数据，项目组拟利用数据分析程序识别异常收入。项目组负责人认为“有AI工具就够了”，未了解与收入相关的信息技术一般控制（ITGC）。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/>
          <w:sz w:val="22"/>
        </w:rPr>
        <w:t>要求5（约10分）</w:t>
      </w:r>
    </w:p>
    <w:p>
      <w:pPr>
        <w:spacing w:after="160" w:before="0" w:line="300" w:lineRule="auto"/>
      </w:pPr>
      <w:r>
        <w:rPr>
          <w:rFonts w:ascii="Times New Roman" w:hAnsi="Times New Roman" w:eastAsia="宋体"/>
          <w:b w:val="0"/>
          <w:sz w:val="22"/>
        </w:rPr>
        <w:t>针对上述1–5项，逐项指出项目组做法是否存在不当；如存在，提出改进建议（或说明应实施的关键程序/应采取的措施）。</w:t>
      </w:r>
    </w:p>
    <w:p>
      <w:pPr>
        <w:spacing w:after="160" w:before="240" w:line="300" w:lineRule="auto"/>
      </w:pPr>
      <w:r>
        <w:rPr>
          <w:rFonts w:ascii="Times New Roman" w:hAnsi="Times New Roman" w:eastAsia="黑体"/>
          <w:b/>
          <w:sz w:val="28"/>
        </w:rPr>
        <w:t>资料三（税法·新增值税法 + 企业所得税）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以下交易发生在2026年1–2月（适用新《增值税法》）：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税事项A：A公司向关联方E公司无偿提供为期3个月的设备运维服务（市场公允价90万元）。财务人员按视同销售计提销项税额。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税事项B：A公司与客户F签订一份合同：销售自产自动化设备（税率13%）并提供为期一年的安装调试与操作培训（服务税率6%），合同总价不可拆分议价，培训与安装以设备交付为前提且为交付后必要补充。财务人员认为A公司主营为制造业，应按13%全额计税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税事项C：A公司购进商务宴请餐饮服务取得增值税专用发票进项税额3万元，财务人员以“餐饮服务一律不得抵扣”全额转出。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税事项D：事项2中运维服务对应的增值税：A公司在2025年12月设备交付时已就全部6,000万元按13%计提销项。假设运维服务适用6%税率。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税事项E（企业所得税）：A公司2025年发生研发费用（未形成无形资产）2,000万元，已按现行政策加计扣除。另：对B公司合并中确认的商誉，A公司自行摊销并税前扣除。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/>
          <w:sz w:val="22"/>
        </w:rPr>
        <w:t>要求6（约10分）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（1）税事项A：无偿运维服务是否应视同应税交易？财务处理是否正确？依据新法说明。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（2）税事项B：应按混合销售还是兼营处理？适用税率如何确定？财务人员按主营业务13%全额计税是否正确？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（3）税事项C：餐饮进项转出是否正确？说明新法口径。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（4）税事项D：指出增值税处理的主要错误，并说明运维服务销项应如何确认（原则即可）。</w:t>
      </w:r>
    </w:p>
    <w:p>
      <w:pPr>
        <w:spacing w:after="160" w:before="0" w:line="300" w:lineRule="auto"/>
      </w:pPr>
      <w:r>
        <w:rPr>
          <w:rFonts w:ascii="Times New Roman" w:hAnsi="Times New Roman" w:eastAsia="宋体"/>
          <w:b w:val="0"/>
          <w:sz w:val="22"/>
        </w:rPr>
        <w:t>（5）税事项E：商誉摊销能否税前扣除？说明理由。</w:t>
      </w:r>
    </w:p>
    <w:p>
      <w:pPr>
        <w:spacing w:after="160" w:before="240" w:line="300" w:lineRule="auto"/>
      </w:pPr>
      <w:r>
        <w:rPr>
          <w:rFonts w:ascii="Times New Roman" w:hAnsi="Times New Roman" w:eastAsia="黑体"/>
          <w:b/>
          <w:sz w:val="28"/>
        </w:rPr>
        <w:t>资料四（可持续信息鉴证·2026新增押点）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A公司编制了《2025年度可持续信息披露报告》，并希望XYZ事务所：对温室气体排放量（范围1+2）提供合理保证；对员工培训小时数、供应链ESG评级等定性/定量指标提供有限保证；同时继续承接年报审计。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项目合伙人拟直接承接。初步了解发现：A公司部分排放数据由业务部门自行估算，缺乏可验证的计量标准文档；治理层尚未明确对可持续信息的责任声明。另：A公司要求将合理保证业务“为赶进度”变更为有限保证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/>
          <w:sz w:val="22"/>
        </w:rPr>
        <w:t>要求7（约6分）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（1）简述合理保证与有限保证的核心区别（风险水平、意见表述方式）。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（2）判断XYZ事务所现阶段能否直接承接该项鉴证？应关注哪些承接前提条件？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（3）在缺乏合理理由时，能否同意从合理保证变更为有限保证？说明原则。</w:t>
      </w:r>
    </w:p>
    <w:p>
      <w:pPr>
        <w:spacing w:after="160" w:before="0" w:line="300" w:lineRule="auto"/>
      </w:pPr>
      <w:r>
        <w:rPr>
          <w:rFonts w:ascii="Times New Roman" w:hAnsi="Times New Roman" w:eastAsia="宋体"/>
          <w:b w:val="0"/>
          <w:sz w:val="22"/>
        </w:rPr>
        <w:t>（4）若同时承接年报审计与可持续信息鉴证，独立性方面需提示的主要风险点。</w:t>
      </w:r>
    </w:p>
    <w:p>
      <w:pPr>
        <w:spacing w:after="160" w:before="240" w:line="300" w:lineRule="auto"/>
      </w:pPr>
      <w:r>
        <w:rPr>
          <w:rFonts w:ascii="Times New Roman" w:hAnsi="Times New Roman" w:eastAsia="黑体"/>
          <w:b/>
          <w:sz w:val="28"/>
        </w:rPr>
        <w:t>英文附加题（5分，鼓励英文作答）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/>
          <w:sz w:val="22"/>
        </w:rPr>
        <w:t>Requirement 8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 w:val="0"/>
          <w:sz w:val="22"/>
        </w:rPr>
        <w:t>Based on Matter 2, explain in English: (1) how many performance obligations exist and why; (2) whether recognizing the entire RMB 60 million as 2025 revenue is appropriate.</w:t>
      </w:r>
    </w:p>
    <w:p>
      <w:pPr>
        <w:spacing w:after="160" w:before="240" w:line="300" w:lineRule="auto"/>
      </w:pPr>
      <w:r>
        <w:rPr>
          <w:rFonts w:ascii="Times New Roman" w:hAnsi="Times New Roman" w:eastAsia="黑体"/>
          <w:b/>
          <w:sz w:val="28"/>
        </w:rPr>
        <w:t>试卷一押点标签（考后对照用）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编号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押点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置信度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V1-1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非同控合并成本与商誉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极高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V1-2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收入履约义务拆分 + 主要责任人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极高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V1-3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金融工具分类（含回售等特殊条款）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极高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V1-4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租赁期与可变租赁付款额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V1-5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收入审计程序不到位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极高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V1-6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存货监盘（异地）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极高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V1-7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重要性 / 独立性（近亲属）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V1-8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IT/数据分析与控制了解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V1-9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新增值税：视同销售收缩（无偿服务）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极高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V1-10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新增值税：混合销售按主要业务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极高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V1-11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新增值税：餐饮进项“直接用于消费”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V1-12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企业所得税：商誉不得税前摊销扣除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V1-13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可持续信息鉴证：合理/有限保证 + 承接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V1-14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可持续鉴证：不得随意降级保证程度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中高</w:t>
            </w:r>
          </w:p>
        </w:tc>
      </w:tr>
    </w:tbl>
    <w:p/>
    <w:p>
      <w:r>
        <w:br w:type="page"/>
      </w:r>
    </w:p>
    <w:p>
      <w:pPr>
        <w:spacing w:after="200" w:before="280" w:line="300" w:lineRule="auto"/>
        <w:jc w:val="center"/>
      </w:pPr>
      <w:r>
        <w:rPr>
          <w:rFonts w:ascii="Times New Roman" w:hAnsi="Times New Roman" w:eastAsia="黑体"/>
          <w:b/>
          <w:sz w:val="32"/>
        </w:rPr>
        <w:t>职业能力综合测试（试卷二）押题卷</w:t>
      </w:r>
    </w:p>
    <w:p>
      <w:pPr>
        <w:spacing w:after="200" w:before="0" w:line="300" w:lineRule="auto"/>
        <w:jc w:val="center"/>
      </w:pPr>
      <w:r>
        <w:rPr>
          <w:rFonts w:ascii="Times New Roman" w:hAnsi="Times New Roman" w:eastAsia="宋体"/>
          <w:b w:val="0"/>
          <w:sz w:val="22"/>
        </w:rPr>
        <w:t>考试时间：3.5小时　　满分：50分</w:t>
      </w:r>
    </w:p>
    <w:p>
      <w:pPr>
        <w:spacing w:after="120" w:before="200" w:line="300" w:lineRule="auto"/>
      </w:pPr>
      <w:r>
        <w:rPr>
          <w:rFonts w:ascii="Times New Roman" w:hAnsi="Times New Roman" w:eastAsia="黑体"/>
          <w:b/>
          <w:sz w:val="24"/>
        </w:rPr>
        <w:t>案例背景（编年体）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H集团股份有限公司（以下简称“H公司”）为境内非上市股份有限公司，创立于2012年，总部位于长三角，主营高精密减速器与机器人核心零部件。近年面临：工业机器人国产替代加速、海外客户认证门槛提高、原材料价格波动、以及客户对供应商ESG表现要求上升。</w:t>
      </w:r>
    </w:p>
    <w:p>
      <w:pPr>
        <w:spacing w:after="16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H公司计划：①推进“数智化工厂”改造；②横向并购同业/渠道以补齐海外网络；③择机申报主板或创业板上市；④按新公司法完善治理与出资安排。</w:t>
      </w:r>
    </w:p>
    <w:p>
      <w:pPr>
        <w:spacing w:after="160" w:before="240" w:line="300" w:lineRule="auto"/>
      </w:pPr>
      <w:r>
        <w:rPr>
          <w:rFonts w:ascii="Times New Roman" w:hAnsi="Times New Roman" w:eastAsia="黑体"/>
          <w:b/>
          <w:sz w:val="28"/>
        </w:rPr>
        <w:t>资料一（战略分析）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1. 宏观：人口老龄化推升工业自动化需求；国家支持高端装备与智能制造；出口面临技术性贸易壁垒；AI与工业软件加速渗透。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2. 产业：行业处于成长期向成熟期过渡；上游轴承/芯片供应商集中度高；下游整机厂议价能力强；潜在进入者需通过长期认证；减速器国产替代加速导致价格战初现。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3. 公司自身：在谐波减速器细分市占率国内前三；研发费用率高于行业均值；海外收入占比仅12%；交付周期长于日韩竞品；已建成部分数字化产线但数据孤岛严重；尚未系统披露ESG信息，已有欧洲客户发出可持续问卷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4. 业务组合：谐波减速器（高增长高份额）；RV减速器（高增长低份额）；传统齿轮箱配件（低增长高份额）；工业互联网运维SaaS（低增长低份额，亏损）。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/>
          <w:sz w:val="22"/>
        </w:rPr>
        <w:t>要求1（约12分）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（1）用PEST分析H公司面临的机会与威胁（各至少两点）。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（2）用波特五力指出对本行业利润威胁最大的两种力量，并说明理由。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（3）用波士顿矩阵判断上述四类业务的类型，并分别给出战略建议。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（4）对H公司做SWOT分析（每项至少两点）。</w:t>
      </w:r>
    </w:p>
    <w:p>
      <w:pPr>
        <w:spacing w:after="160" w:before="0" w:line="300" w:lineRule="auto"/>
      </w:pPr>
      <w:r>
        <w:rPr>
          <w:rFonts w:ascii="Times New Roman" w:hAnsi="Times New Roman" w:eastAsia="宋体"/>
          <w:b w:val="0"/>
          <w:sz w:val="22"/>
        </w:rPr>
        <w:t>（5）基于资料，H公司更宜选择何种竞争战略（成本领先/差异化/集中化）？说明理由。</w:t>
      </w:r>
    </w:p>
    <w:p>
      <w:pPr>
        <w:spacing w:after="160" w:before="240" w:line="300" w:lineRule="auto"/>
      </w:pPr>
      <w:r>
        <w:rPr>
          <w:rFonts w:ascii="Times New Roman" w:hAnsi="Times New Roman" w:eastAsia="黑体"/>
          <w:b/>
          <w:sz w:val="28"/>
        </w:rPr>
        <w:t>资料二（发展战略 + 数智化/ESG·2026新增）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H公司董事会提出两年规划：向下游整机装配适度延伸；收购一家欧洲渠道商；投入2.5亿元建设数智化工厂（工业互联网、MES、质量追溯）；建立ESG管理体系，目标2027年发布首份可持续报告并寻求有限保证鉴证。有董事认为“ESG是宣传材料，与战略无关”；另有董事认为数智化只需买软件，不必改组织与流程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/>
          <w:sz w:val="22"/>
        </w:rPr>
        <w:t>要求2（约8分）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（1）指出“向下游整机装配延伸”属于哪种一体化战略，并说明主要风险。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（2）收购欧洲渠道商按并购双方产业关系属于何种并购？按被并购方态度若对方董事会配合属于何种并购？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（3）评价“ESG与战略无关”“数智化只需买软件”两种观点是否恰当，并简述数智化转型与可持续发展管理对H公司战略实施的意义。</w:t>
      </w:r>
    </w:p>
    <w:p>
      <w:pPr>
        <w:spacing w:after="160" w:before="0" w:line="300" w:lineRule="auto"/>
      </w:pPr>
      <w:r>
        <w:rPr>
          <w:rFonts w:ascii="Times New Roman" w:hAnsi="Times New Roman" w:eastAsia="宋体"/>
          <w:b w:val="0"/>
          <w:sz w:val="22"/>
        </w:rPr>
        <w:t>（4）给出H公司发展战略的实现途径组合建议（内部发展/并购/战略联盟，至少两种并说明用途）。</w:t>
      </w:r>
    </w:p>
    <w:p>
      <w:pPr>
        <w:spacing w:after="160" w:before="240" w:line="300" w:lineRule="auto"/>
      </w:pPr>
      <w:r>
        <w:rPr>
          <w:rFonts w:ascii="Times New Roman" w:hAnsi="Times New Roman" w:eastAsia="黑体"/>
          <w:b/>
          <w:sz w:val="28"/>
        </w:rPr>
        <w:t>资料三（财管·并购估值与融资）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H公司拟收购I公司80%股权。评估机构给出I公司股权自由现金流预测，折现后全权益价值为10亿元。I公司有息负债2亿元，溢余现金0.5亿元。交易对价拟为“现金4亿元 + H公司新股”，使卖方合计获得相当于8.5亿元的对价（对应80%股权）。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融资方案：甲—全部银行长期借款，利率5.5%，契约限制多；乙—增发股份+少量借款；丙—发行可转换公司债券。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H公司当前资本结构：权益比重60%，债务比重40%；β权益1.2；所得税税率25%；无风险利率2.5%，市场风险溢价5%；债务税前资本成本5%。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另：投产后数智化工厂项目初始投资2.5亿元，预计每年税后经营现金流4,000万元，期限8年，期末残值忽略。公司要求项目回报不低于加权平均资本成本。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/>
          <w:sz w:val="22"/>
        </w:rPr>
        <w:t>要求3（约12分）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（1）计算I公司实体价值（企业价值）与80%股权对应的合理价值区间参考（列出算式）。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（2）对比方案甲/乙/丙对财务风险与控制权稀释的影响（要点评价）。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（3）计算H公司当前WACC（列出算式）。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（4）用WACC粗略判断数智化工厂项目是否可行（写决策规则即可）。</w:t>
      </w:r>
    </w:p>
    <w:p>
      <w:pPr>
        <w:spacing w:after="160" w:before="0" w:line="300" w:lineRule="auto"/>
      </w:pPr>
      <w:r>
        <w:rPr>
          <w:rFonts w:ascii="Times New Roman" w:hAnsi="Times New Roman" w:eastAsia="宋体"/>
          <w:b w:val="0"/>
          <w:sz w:val="22"/>
        </w:rPr>
        <w:t>（5）简述可转债融资对资本成本与后续稀释的影响（定性）。</w:t>
      </w:r>
    </w:p>
    <w:p>
      <w:pPr>
        <w:spacing w:after="160" w:before="240" w:line="300" w:lineRule="auto"/>
      </w:pPr>
      <w:r>
        <w:rPr>
          <w:rFonts w:ascii="Times New Roman" w:hAnsi="Times New Roman" w:eastAsia="黑体"/>
          <w:b/>
          <w:sz w:val="28"/>
        </w:rPr>
        <w:t>资料四（经济法·公司法/证券法/重组）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H公司为股份有限公司，拟改制并申报上市。现有情况：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1. 公司章程规定部分发起人出资可在公司成立后第8年缴足；董事会有人认为新公司法下“认缴制取消了，必须立刻实缴”。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2. 公司拟不设监事会，在董事会中设审计委员会行使监事会职权；职工人数超过300人，董事会中尚无职工代表。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3. 上市前拟以发行股份及支付现金购买I公司资产，交易完成后将达到“重大资产重组”标准；有股东建议为加快进度，可先签订协议再补信息披露。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4. 独立董事候选人由控股股东直接指定一人，且该候选人最近一年在控股股东处担任财务顾问。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5. 公司讨论授权董事会在三年内发行不超过已发行股份50%的股份用于并购支付。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/>
          <w:sz w:val="22"/>
        </w:rPr>
        <w:t>要求4（约12分）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（1）针对出资期限：指出章程“成立后第8年缴足”是否符合新公司法精神；“必须立刻实缴”是否准确。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（2）不设监事会、设审计委员会是否可行？职工代表董事问题应如何处理？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（3）重大资产重组场景下，先签协议后补披露是否妥当？说明信息披露原则性要求。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（4）独立董事候选人安排是否存在不当？说明理由。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（5）授权董事会发行股份用于支付并购对价，需满足的主要法律要点。</w:t>
      </w:r>
    </w:p>
    <w:p>
      <w:pPr>
        <w:spacing w:after="160" w:before="0" w:line="300" w:lineRule="auto"/>
      </w:pPr>
      <w:r>
        <w:rPr>
          <w:rFonts w:ascii="Times New Roman" w:hAnsi="Times New Roman" w:eastAsia="宋体"/>
          <w:b w:val="0"/>
          <w:sz w:val="22"/>
        </w:rPr>
        <w:t>（6）简要提示并购中可能触及的经营者集中申报关注点。</w:t>
      </w:r>
    </w:p>
    <w:p>
      <w:pPr>
        <w:spacing w:after="160" w:before="240" w:line="300" w:lineRule="auto"/>
      </w:pPr>
      <w:r>
        <w:rPr>
          <w:rFonts w:ascii="Times New Roman" w:hAnsi="Times New Roman" w:eastAsia="黑体"/>
          <w:b/>
          <w:sz w:val="28"/>
        </w:rPr>
        <w:t>资料五（风险管理综合小问）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2"/>
        </w:rPr>
        <w:t>欧洲客户要求H公司提供供应链碳排放数据，否则取消合格供应商资格；同时原材料价格大幅波动。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/>
          <w:sz w:val="22"/>
        </w:rPr>
        <w:t>要求5（约6分）</w:t>
      </w:r>
    </w:p>
    <w:p>
      <w:pPr>
        <w:spacing w:after="120" w:before="0" w:line="300" w:lineRule="auto"/>
      </w:pPr>
      <w:r>
        <w:rPr>
          <w:rFonts w:ascii="Times New Roman" w:hAnsi="Times New Roman" w:eastAsia="宋体"/>
          <w:b w:val="0"/>
          <w:sz w:val="22"/>
        </w:rPr>
        <w:t>（1）识别H公司面临的主要风险类型（至少三种，并对应资料）。</w:t>
      </w:r>
    </w:p>
    <w:p>
      <w:pPr>
        <w:spacing w:after="200" w:before="0" w:line="300" w:lineRule="auto"/>
      </w:pPr>
      <w:r>
        <w:rPr>
          <w:rFonts w:ascii="Times New Roman" w:hAnsi="Times New Roman" w:eastAsia="宋体"/>
          <w:b w:val="0"/>
          <w:sz w:val="22"/>
        </w:rPr>
        <w:t>（2）分别提出一项风险应对策略（风险承担/规避/转移/降低中选择并说明）。</w:t>
      </w:r>
    </w:p>
    <w:p>
      <w:pPr>
        <w:spacing w:after="160" w:before="240" w:line="300" w:lineRule="auto"/>
      </w:pPr>
      <w:r>
        <w:rPr>
          <w:rFonts w:ascii="Times New Roman" w:hAnsi="Times New Roman" w:eastAsia="黑体"/>
          <w:b/>
          <w:sz w:val="28"/>
        </w:rPr>
        <w:t>试卷二押点标签（考后对照用）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D9E2F3" w:val="clea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编号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押点</w:t>
            </w:r>
          </w:p>
        </w:tc>
        <w:tc>
          <w:tcPr>
            <w:tcW w:type="dxa" w:w="3135"/>
            <w:shd w:fill="D9E2F3" w:val="clear"/>
          </w:tcPr>
          <w:p>
            <w:r/>
            <w:r>
              <w:rPr>
                <w:rFonts w:ascii="Times New Roman" w:hAnsi="Times New Roman" w:eastAsia="黑体"/>
                <w:b/>
                <w:sz w:val="20"/>
              </w:rPr>
              <w:t>置信度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V2-1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PEST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极高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V2-2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波特五力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极高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V2-3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波士顿矩阵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极高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V2-4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SWOT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极高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V2-5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竞争战略选择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V2-6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一体化战略 + 风险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V2-7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并购类型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极高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V2-8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数智化转型 + ESG战略管理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V2-9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发展战略实现途径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V2-10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企业价值/股权价值计算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极高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V2-11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融资方案比较（借款/增发/可转债）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V2-12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WACC + 投资决策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V2-13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新公司法出资期限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V2-14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审计委员会替代监事会 + 职工董事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V2-15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重大资产重组合规与信息披露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极高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V2-16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独立董事独立性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V2-17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董事会授权发行股份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中高</w:t>
            </w:r>
          </w:p>
        </w:tc>
      </w:tr>
      <w:tr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V2-18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风险类型与应对</w:t>
            </w:r>
          </w:p>
        </w:tc>
        <w:tc>
          <w:tcPr>
            <w:tcW w:type="dxa" w:w="3135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高</w:t>
            </w:r>
          </w:p>
        </w:tc>
      </w:tr>
    </w:tbl>
    <w:p/>
    <w:p>
      <w:r>
        <w:br w:type="page"/>
      </w:r>
    </w:p>
    <w:p>
      <w:pPr>
        <w:spacing w:after="200" w:before="280" w:line="300" w:lineRule="auto"/>
        <w:jc w:val="center"/>
      </w:pPr>
      <w:r>
        <w:rPr>
          <w:rFonts w:ascii="Times New Roman" w:hAnsi="Times New Roman" w:eastAsia="黑体"/>
          <w:b/>
          <w:sz w:val="32"/>
        </w:rPr>
        <w:t>简要答案要点（自测用，非正式标准答案）</w:t>
      </w:r>
    </w:p>
    <w:p>
      <w:pPr>
        <w:spacing w:after="160" w:before="240" w:line="300" w:lineRule="auto"/>
      </w:pPr>
      <w:r>
        <w:rPr>
          <w:rFonts w:ascii="Times New Roman" w:hAnsi="Times New Roman" w:eastAsia="黑体"/>
          <w:b/>
          <w:sz w:val="28"/>
        </w:rPr>
        <w:t>试卷一要点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1"/>
        </w:rPr>
        <w:t>要求1：（1）非同一控制。（2）合并成本=1.8亿+1.6亿=3.4亿元；商誉=3.4−2.8×80%=1.16亿元。（3）存货增值随结转进成本；开发中软件未达可使用状态不摊销，关注减值。（4）中介费计入管理费用正确（不得计入合并成本）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1"/>
        </w:rPr>
        <w:t>要求2：（1）两项履约义务：设备+运维。（2）全额确认不正确；应按相对单独售价分摊，设备2025年确认，运维期内确认。（3）主要责任人。（4）按税法收入确认时点判断，会计递延服务收入通常税会一致则无需调增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1"/>
        </w:rPr>
        <w:t>要求3：（1）回售与资产负债率挂钩，SPPI存疑。（2）摊余成本不正确，更可能FVTPL。（3）公允价值变动进损益，列报调整。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1"/>
        </w:rPr>
        <w:t>要求4：（1）租赁期应含续租共7年，按5年不正确。（2）产值挂钩或有租金通常不入初始负债，发生时进损益。（3）按7年付款额折现确认使用权资产与租赁负债。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1"/>
        </w:rPr>
        <w:t>要求5：1不当—补递延收入程序；2不当—重要异地存货应监盘；3结合风险评价实际执行重要性是否偏高；4不当—近亲属威胁独立性应回避；5不当—利用数据分析前应了解ITGC。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1"/>
        </w:rPr>
        <w:t>要求6：（1）新法下无偿服务一般不再视同销售，计提销项不正确（关注反避税）。（2）有主附关系按主要业务税率，按企业主营一刀切不正确。（3）仅直接用于消费的餐饮不得抵，一律转出不正确。（4）不应全额13%在交付时计税；运维按6%在纳税义务发生时计税。（5）外购商誉摊销不得税前扣除。</w:t>
      </w:r>
    </w:p>
    <w:p>
      <w:pPr>
        <w:spacing w:after="160" w:before="0" w:line="300" w:lineRule="auto"/>
        <w:jc w:val="both"/>
      </w:pPr>
      <w:r>
        <w:rPr>
          <w:rFonts w:ascii="Times New Roman" w:hAnsi="Times New Roman" w:eastAsia="宋体"/>
          <w:b w:val="0"/>
          <w:sz w:val="21"/>
        </w:rPr>
        <w:t>要求7：（1）合理保证：低风险+积极意见；有限保证：较高可接受风险+消极意见。（2）须满足独立性、胜任能力、前提条件、约定一致；标准与责任声明不足则不应直接承接。（3）无合理理由不得降级保证程度。（4）关注自我评价等对审计独立性的威胁并采取防范措施。</w:t>
      </w:r>
    </w:p>
    <w:p>
      <w:pPr>
        <w:spacing w:after="160" w:before="240" w:line="300" w:lineRule="auto"/>
      </w:pPr>
      <w:r>
        <w:rPr>
          <w:rFonts w:ascii="Times New Roman" w:hAnsi="Times New Roman" w:eastAsia="黑体"/>
          <w:b/>
          <w:sz w:val="28"/>
        </w:rPr>
        <w:t>试卷二要点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1"/>
        </w:rPr>
        <w:t>要求1：PEST列机会威胁；五力结合资料选买方议价/现有竞争等；波士顿：谐波明星、RV问题儿童、传统金牛、SaaS瘦狗；SWOT结合资料；宜差异化或集中差异化。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1"/>
        </w:rPr>
        <w:t>要求2：（1）前向一体化及风险。（2）纵向/渠道相关并购；友善并购。（3）两观点均不恰当。（4）并购+联盟+内部发展组合。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1"/>
        </w:rPr>
        <w:t>要求3：（1）企业价值=10+(2-0.5)=11.5亿；80%股权参考=8亿；对价8.5亿略溢价。（2）甲风险升不稀释；乙稀释风险低；丙或有稀释票息较低。（3）Ke=8.5%，WACC=6.6%。（4）NPV≥0或回报≥WACC则可。（5）可转债定性影响。</w:t>
      </w:r>
    </w:p>
    <w:p>
      <w:pPr>
        <w:spacing w:after="120" w:before="0" w:line="300" w:lineRule="auto"/>
        <w:jc w:val="both"/>
      </w:pPr>
      <w:r>
        <w:rPr>
          <w:rFonts w:ascii="Times New Roman" w:hAnsi="Times New Roman" w:eastAsia="宋体"/>
          <w:b w:val="0"/>
          <w:sz w:val="21"/>
        </w:rPr>
        <w:t>要求4：（1）第8年缴足不符；“立刻全部实缴”表述不准确。（2）可设审计委员会；300人以上应有职工代表董事。（3）先签后补披露不妥。（4）独董安排不当。（5）授权发行需满足期限比例决议等。（6）达标准须经营者集中申报。</w:t>
      </w:r>
    </w:p>
    <w:p>
      <w:pPr>
        <w:spacing w:after="240" w:before="0" w:line="300" w:lineRule="auto"/>
        <w:jc w:val="both"/>
      </w:pPr>
      <w:r>
        <w:rPr>
          <w:rFonts w:ascii="Times New Roman" w:hAnsi="Times New Roman" w:eastAsia="宋体"/>
          <w:b w:val="0"/>
          <w:sz w:val="21"/>
        </w:rPr>
        <w:t>要求5：市场/运营/合规（ESG）/财务等风险；降低、转移、规避等应对。</w:t>
      </w:r>
    </w:p>
    <w:p>
      <w:pPr>
        <w:spacing w:after="120" w:before="0" w:line="300" w:lineRule="auto"/>
        <w:jc w:val="center"/>
      </w:pPr>
      <w:r>
        <w:rPr>
          <w:rFonts w:ascii="Times New Roman" w:hAnsi="Times New Roman" w:eastAsia="宋体"/>
          <w:b/>
          <w:sz w:val="22"/>
        </w:rPr>
        <w:t>—— 全文完 ——</w:t>
      </w:r>
    </w:p>
    <w:p>
      <w:pPr>
        <w:spacing w:after="120" w:before="0" w:line="300" w:lineRule="auto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本卷为结构化押题材料，仅供备考训练与考后对照命中率使用。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