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eastAsia="楷体"/>
          <w:b/>
          <w:sz w:val="44"/>
        </w:rPr>
        <w:t>Nature 613 论文模型复现报告</w:t>
      </w:r>
    </w:p>
    <w:p>
      <w:pPr>
        <w:spacing w:line="300" w:lineRule="auto" w:before="0" w:after="0"/>
        <w:jc w:val="center"/>
      </w:pPr>
      <w:r>
        <w:rPr>
          <w:rFonts w:ascii="Times New Roman" w:hAnsi="Times New Roman" w:eastAsia="黑体"/>
          <w:b w:val="0"/>
          <w:sz w:val="24"/>
        </w:rPr>
        <w:t>——基于官方代码的训练过程、模型产物与测试结果整理</w:t>
      </w:r>
    </w:p>
    <w:p>
      <w:pPr>
        <w:spacing w:line="300" w:lineRule="auto" w:before="0" w:after="0"/>
        <w:jc w:val="center"/>
      </w:pPr>
      <w:r>
        <w:rPr>
          <w:rFonts w:ascii="Times New Roman" w:hAnsi="Times New Roman" w:eastAsia="仿宋"/>
          <w:b w:val="0"/>
          <w:sz w:val="22"/>
        </w:rPr>
        <w:t>报告日期：2026年06月03日</w:t>
      </w:r>
    </w:p>
    <w:p>
      <w:pPr>
        <w:spacing w:before="160" w:after="80"/>
      </w:pPr>
      <w:r>
        <w:rPr>
          <w:rFonts w:ascii="Times New Roman" w:hAnsi="Times New Roman" w:eastAsia="黑体"/>
          <w:b/>
          <w:sz w:val="28"/>
        </w:rPr>
        <w:t>一、复现任务概述</w:t>
      </w:r>
    </w:p>
    <w:p>
      <w:pPr>
        <w:spacing w:line="300" w:lineRule="auto" w:before="0" w:after="0"/>
        <w:ind w:firstLine="420"/>
      </w:pPr>
      <w:r>
        <w:rPr>
          <w:rFonts w:ascii="Times New Roman" w:hAnsi="Times New Roman" w:eastAsia="仿宋"/>
          <w:b w:val="0"/>
          <w:sz w:val="24"/>
        </w:rPr>
        <w:t>本次复现围绕 Nature 613 论文相关官方模型代码展开，目标是在本机 GPU 环境中完成从训练启动、训练日志保存、模型权重生成到独立测试集评估的完整流程。复现对象为二十类有机反应机理分类模型，即 M1 至 M20 的多分类任务。</w:t>
      </w:r>
    </w:p>
    <w:p>
      <w:pPr>
        <w:spacing w:line="300" w:lineRule="auto" w:before="0" w:after="0"/>
        <w:ind w:firstLine="420"/>
      </w:pPr>
      <w:r>
        <w:rPr>
          <w:rFonts w:ascii="Times New Roman" w:hAnsi="Times New Roman" w:eastAsia="仿宋"/>
          <w:b w:val="0"/>
          <w:sz w:val="24"/>
        </w:rPr>
        <w:t>从训练日志看，模型已经完成完整训练流程。训练原计划为 3000 个 epoch，实际在第 1931 个 epoch 触发 early stopping，并恢复至验证集表现最优的第 1631 个 epoch 权重。最终模型文件保存为 M1_20_model.keras，说明训练过程已经成功产出可复核模型。</w:t>
      </w:r>
    </w:p>
    <w:p>
      <w:pPr>
        <w:spacing w:line="300" w:lineRule="auto" w:before="0" w:after="0"/>
        <w:ind w:firstLine="420"/>
      </w:pPr>
      <w:r>
        <w:rPr>
          <w:rFonts w:ascii="Times New Roman" w:hAnsi="Times New Roman" w:eastAsia="仿宋"/>
          <w:b w:val="0"/>
          <w:sz w:val="24"/>
        </w:rPr>
        <w:t>与只进行冒烟训练不同，本次结果来自长时间正式训练日志。日志中记录的平均单 epoch 时间约为 112.34 秒，按已记录 epoch 估算总训练时长约 60.26 小时，能够反映模型在本机 GPU 条件下完成了较充分的收敛过程。</w:t>
      </w:r>
    </w:p>
    <w:p>
      <w:pPr>
        <w:spacing w:before="160" w:after="80"/>
      </w:pPr>
      <w:r>
        <w:rPr>
          <w:rFonts w:ascii="Times New Roman" w:hAnsi="Times New Roman" w:eastAsia="黑体"/>
          <w:b/>
          <w:sz w:val="28"/>
        </w:rPr>
        <w:t>二、运行环境与复现材料</w:t>
      </w:r>
    </w:p>
    <w:p>
      <w:pPr>
        <w:spacing w:line="300" w:lineRule="auto" w:before="0" w:after="0"/>
        <w:ind w:firstLine="420"/>
      </w:pPr>
      <w:r>
        <w:rPr>
          <w:rFonts w:ascii="Times New Roman" w:hAnsi="Times New Roman" w:eastAsia="仿宋"/>
          <w:b w:val="0"/>
          <w:sz w:val="24"/>
        </w:rPr>
        <w:t>训练运行在 WSL Ubuntu-24.04 环境中，使用 TensorFlow 调用本机 NVIDIA GeForce RTX 4060 Laptop GPU。日志显示 TensorFlow 成功创建 GPU 设备，显存分配约 5563 MB，并加载 cuDNN，说明训练主体确实运行在 GPU 环境下。</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4156"/>
        <w:gridCol w:w="4156"/>
      </w:tblGrid>
      <w:tr>
        <w:tc>
          <w:tcPr>
            <w:tcW w:type="dxa" w:w="2381"/>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项目</w:t>
            </w:r>
          </w:p>
        </w:tc>
        <w:tc>
          <w:tcPr>
            <w:tcW w:type="dxa" w:w="5386"/>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内容</w:t>
            </w:r>
          </w:p>
        </w:tc>
      </w:tr>
      <w:tr>
        <w:tc>
          <w:tcPr>
            <w:tcW w:type="dxa" w:w="2381"/>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复现目录</w:t>
            </w:r>
          </w:p>
        </w:tc>
        <w:tc>
          <w:tcPr>
            <w:tcW w:type="dxa" w:w="5386"/>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D:\复现\nature613_repro</w:t>
            </w:r>
          </w:p>
        </w:tc>
      </w:tr>
      <w:tr>
        <w:tc>
          <w:tcPr>
            <w:tcW w:type="dxa" w:w="2381"/>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训练日志</w:t>
            </w:r>
          </w:p>
        </w:tc>
        <w:tc>
          <w:tcPr>
            <w:tcW w:type="dxa" w:w="5386"/>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outputs/full_train.log</w:t>
            </w:r>
          </w:p>
        </w:tc>
      </w:tr>
      <w:tr>
        <w:tc>
          <w:tcPr>
            <w:tcW w:type="dxa" w:w="2381"/>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保存模型</w:t>
            </w:r>
          </w:p>
        </w:tc>
        <w:tc>
          <w:tcPr>
            <w:tcW w:type="dxa" w:w="5386"/>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M1_20_model.keras</w:t>
            </w:r>
          </w:p>
        </w:tc>
      </w:tr>
      <w:tr>
        <w:tc>
          <w:tcPr>
            <w:tcW w:type="dxa" w:w="2381"/>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测试概率文件</w:t>
            </w:r>
          </w:p>
        </w:tc>
        <w:tc>
          <w:tcPr>
            <w:tcW w:type="dxa" w:w="5386"/>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outputs/report_assets/retrained_test_probabilities.npy</w:t>
            </w:r>
          </w:p>
        </w:tc>
      </w:tr>
      <w:tr>
        <w:tc>
          <w:tcPr>
            <w:tcW w:type="dxa" w:w="2381"/>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测试标签文件</w:t>
            </w:r>
          </w:p>
        </w:tc>
        <w:tc>
          <w:tcPr>
            <w:tcW w:type="dxa" w:w="5386"/>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outputs/report_assets/retrained_test_labels.npy</w:t>
            </w:r>
          </w:p>
        </w:tc>
      </w:tr>
      <w:tr>
        <w:tc>
          <w:tcPr>
            <w:tcW w:type="dxa" w:w="2381"/>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报告配图目录</w:t>
            </w:r>
          </w:p>
        </w:tc>
        <w:tc>
          <w:tcPr>
            <w:tcW w:type="dxa" w:w="5386"/>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outputs/report_assets/*.png</w:t>
            </w:r>
          </w:p>
        </w:tc>
      </w:tr>
    </w:tbl>
    <w:p/>
    <w:p>
      <w:pPr>
        <w:spacing w:line="300" w:lineRule="auto" w:before="0" w:after="0"/>
        <w:ind w:firstLine="420"/>
      </w:pPr>
      <w:r>
        <w:rPr>
          <w:rFonts w:ascii="Times New Roman" w:hAnsi="Times New Roman" w:eastAsia="仿宋"/>
          <w:b w:val="0"/>
          <w:sz w:val="24"/>
        </w:rPr>
        <w:t>本次报告采用训练日志、测试评估输出、训练曲线、损失曲线、验证集趋势图和混淆矩阵作为主要证据材料。上述材料均来自复现过程中的实际输出，而不是手工估算。</w:t>
      </w:r>
    </w:p>
    <w:p>
      <w:pPr>
        <w:spacing w:before="160" w:after="80"/>
      </w:pPr>
      <w:r>
        <w:rPr>
          <w:rFonts w:ascii="Times New Roman" w:hAnsi="Times New Roman" w:eastAsia="黑体"/>
          <w:b/>
          <w:sz w:val="28"/>
        </w:rPr>
        <w:t>三、训练过程分析</w:t>
      </w:r>
    </w:p>
    <w:p>
      <w:pPr>
        <w:spacing w:before="80" w:after="40"/>
        <w:ind w:firstLine="420"/>
      </w:pPr>
      <w:r>
        <w:rPr>
          <w:rFonts w:ascii="Times New Roman" w:hAnsi="Times New Roman" w:eastAsia="黑体"/>
          <w:b/>
          <w:sz w:val="24"/>
        </w:rPr>
        <w:t>1. 训练终止与最佳权重</w:t>
      </w:r>
    </w:p>
    <w:p>
      <w:pPr>
        <w:spacing w:line="300" w:lineRule="auto" w:before="0" w:after="0"/>
        <w:ind w:firstLine="420"/>
      </w:pPr>
      <w:r>
        <w:rPr>
          <w:rFonts w:ascii="Times New Roman" w:hAnsi="Times New Roman" w:eastAsia="仿宋"/>
          <w:b w:val="0"/>
          <w:sz w:val="24"/>
        </w:rPr>
        <w:t>训练共记录 1931 个 epoch。最后一个完整记录为 epoch 1931，其训练集 categorical accuracy 为 0.8121，训练损失为 0.4716；验证集 categorical accuracy 为 0.8152，验证损失为 0.4646。</w:t>
      </w:r>
    </w:p>
    <w:p>
      <w:pPr>
        <w:spacing w:line="300" w:lineRule="auto" w:before="0" w:after="0"/>
        <w:ind w:firstLine="420"/>
      </w:pPr>
      <w:r>
        <w:rPr>
          <w:rFonts w:ascii="Times New Roman" w:hAnsi="Times New Roman" w:eastAsia="仿宋"/>
          <w:b w:val="0"/>
          <w:sz w:val="24"/>
        </w:rPr>
        <w:t>验证集最优点出现在 epoch 1631。该 epoch 的 val_categorical_accuracy 为 0.8193，val_loss 为 0.4544。训练结束时日志明确显示 early stopping，并将模型权重恢复到第 1631 个 epoch。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4156"/>
        <w:gridCol w:w="4156"/>
      </w:tblGrid>
      <w:tr>
        <w:tc>
          <w:tcPr>
            <w:tcW w:type="dxa" w:w="2835"/>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指标</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数值</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记录 epoch 数</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1931</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最终 epoch</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1931</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最终训练准确率</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0.8121</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最终验证准确率</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0.8152</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最佳验证 epoch</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1631</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最佳验证准确率</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0.8193</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最佳验证损失</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0.4544</w:t>
            </w:r>
          </w:p>
        </w:tc>
      </w:tr>
    </w:tbl>
    <w:p/>
    <w:p>
      <w:pPr>
        <w:spacing w:before="80" w:after="40"/>
        <w:ind w:firstLine="420"/>
      </w:pPr>
      <w:r>
        <w:rPr>
          <w:rFonts w:ascii="Times New Roman" w:hAnsi="Times New Roman" w:eastAsia="黑体"/>
          <w:b/>
          <w:sz w:val="24"/>
        </w:rPr>
        <w:t>2. 收敛曲线观察</w:t>
      </w:r>
    </w:p>
    <w:p>
      <w:pPr>
        <w:spacing w:line="300" w:lineRule="auto" w:before="0" w:after="0"/>
        <w:ind w:firstLine="420"/>
      </w:pPr>
      <w:r>
        <w:rPr>
          <w:rFonts w:ascii="Times New Roman" w:hAnsi="Times New Roman" w:eastAsia="仿宋"/>
          <w:b w:val="0"/>
          <w:sz w:val="24"/>
        </w:rPr>
        <w:t>从准确率曲线看，模型在训练早期快速提升，此后进入缓慢爬升和小幅波动阶段。验证集准确率在后半段长期稳定在 0.80 以上，说明模型已经学到主要类别区分特征，但仍存在部分类别的局部混淆。</w:t>
      </w:r>
    </w:p>
    <w:tbl>
      <w:tblPr>
        <w:tblW w:type="auto" w:w="0"/>
        <w:jc w:val="center"/>
        <w:tblLayout w:type="fixed"/>
        <w:tblLook w:firstColumn="1" w:firstRow="1" w:lastColumn="0" w:lastRow="0" w:noHBand="0" w:noVBand="1" w:val="04A0"/>
        <w:tblBorders>
          <w:top w:val="single" w:sz="3" w:color="B7B7B7"/>
          <w:left w:val="single" w:sz="3" w:color="B7B7B7"/>
          <w:bottom w:val="single" w:sz="3" w:color="B7B7B7"/>
          <w:right w:val="single" w:sz="3" w:color="B7B7B7"/>
          <w:insideH w:val="single" w:sz="3" w:color="B7B7B7"/>
          <w:insideV w:val="single" w:sz="3" w:color="B7B7B7"/>
        </w:tblBorders>
      </w:tblPr>
      <w:tblGrid>
        <w:gridCol w:w="8312"/>
      </w:tblGrid>
      <w:tr>
        <w:tc>
          <w:tcPr>
            <w:tcW w:type="dxa" w:w="7937"/>
            <w:tcMar>
              <w:top w:w="80" w:type="dxa"/>
              <w:start w:w="80" w:type="dxa"/>
              <w:bottom w:w="80" w:type="dxa"/>
              <w:end w:w="80" w:type="dxa"/>
            </w:tcMar>
            <w:vAlign w:val="center"/>
          </w:tcPr>
          <w:p>
            <w:pPr>
              <w:spacing w:after="0"/>
              <w:jc w:val="center"/>
            </w:pPr>
            <w:r>
              <w:drawing>
                <wp:inline xmlns:a="http://schemas.openxmlformats.org/drawingml/2006/main" xmlns:pic="http://schemas.openxmlformats.org/drawingml/2006/picture">
                  <wp:extent cx="4860000" cy="2724895"/>
                  <wp:docPr id="1" name="Picture 1"/>
                  <wp:cNvGraphicFramePr>
                    <a:graphicFrameLocks noChangeAspect="1"/>
                  </wp:cNvGraphicFramePr>
                  <a:graphic>
                    <a:graphicData uri="http://schemas.openxmlformats.org/drawingml/2006/picture">
                      <pic:pic>
                        <pic:nvPicPr>
                          <pic:cNvPr id="0" name="accuracy_curve.png"/>
                          <pic:cNvPicPr/>
                        </pic:nvPicPr>
                        <pic:blipFill>
                          <a:blip r:embed="rId10"/>
                          <a:stretch>
                            <a:fillRect/>
                          </a:stretch>
                        </pic:blipFill>
                        <pic:spPr>
                          <a:xfrm>
                            <a:off x="0" y="0"/>
                            <a:ext cx="4860000" cy="2724895"/>
                          </a:xfrm>
                          <a:prstGeom prst="rect"/>
                        </pic:spPr>
                      </pic:pic>
                    </a:graphicData>
                  </a:graphic>
                </wp:inline>
              </w:drawing>
            </w:r>
          </w:p>
        </w:tc>
      </w:tr>
      <w:tr>
        <w:tc>
          <w:tcPr>
            <w:tcW w:type="dxa" w:w="7937"/>
            <w:tcMar>
              <w:top w:w="80" w:type="dxa"/>
              <w:start w:w="80" w:type="dxa"/>
              <w:bottom w:w="80" w:type="dxa"/>
              <w:end w:w="80" w:type="dxa"/>
            </w:tcMar>
            <w:vAlign w:val="center"/>
          </w:tcPr>
          <w:p>
            <w:pPr>
              <w:spacing w:after="0"/>
              <w:jc w:val="center"/>
            </w:pPr>
            <w:r>
              <w:rPr>
                <w:rFonts w:ascii="Times New Roman" w:hAnsi="Times New Roman" w:eastAsia="仿宋"/>
                <w:sz w:val="20"/>
              </w:rPr>
              <w:t>图1 训练集与验证集 categorical accuracy 随 epoch 的变化。</w:t>
            </w:r>
          </w:p>
        </w:tc>
      </w:tr>
    </w:tbl>
    <w:p/>
    <w:p>
      <w:pPr>
        <w:spacing w:line="300" w:lineRule="auto" w:before="0" w:after="0"/>
        <w:ind w:firstLine="420"/>
      </w:pPr>
      <w:r>
        <w:rPr>
          <w:rFonts w:ascii="Times New Roman" w:hAnsi="Times New Roman" w:eastAsia="仿宋"/>
          <w:b w:val="0"/>
          <w:sz w:val="24"/>
        </w:rPr>
        <w:t>从损失曲线看，训练损失和验证损失在早期快速下降，随后进入较平稳的收敛区间。验证损失后期仍有少量尖峰，说明不同 epoch 下模型对某些验证样本的判别边界仍会发生波动，这也是 early stopping 选择最佳权重的必要原因。</w:t>
      </w:r>
    </w:p>
    <w:tbl>
      <w:tblPr>
        <w:tblW w:type="auto" w:w="0"/>
        <w:jc w:val="center"/>
        <w:tblLayout w:type="fixed"/>
        <w:tblLook w:firstColumn="1" w:firstRow="1" w:lastColumn="0" w:lastRow="0" w:noHBand="0" w:noVBand="1" w:val="04A0"/>
        <w:tblBorders>
          <w:top w:val="single" w:sz="3" w:color="B7B7B7"/>
          <w:left w:val="single" w:sz="3" w:color="B7B7B7"/>
          <w:bottom w:val="single" w:sz="3" w:color="B7B7B7"/>
          <w:right w:val="single" w:sz="3" w:color="B7B7B7"/>
          <w:insideH w:val="single" w:sz="3" w:color="B7B7B7"/>
          <w:insideV w:val="single" w:sz="3" w:color="B7B7B7"/>
        </w:tblBorders>
      </w:tblPr>
      <w:tblGrid>
        <w:gridCol w:w="8312"/>
      </w:tblGrid>
      <w:tr>
        <w:tc>
          <w:tcPr>
            <w:tcW w:type="dxa" w:w="7937"/>
            <w:tcMar>
              <w:top w:w="80" w:type="dxa"/>
              <w:start w:w="80" w:type="dxa"/>
              <w:bottom w:w="80" w:type="dxa"/>
              <w:end w:w="80" w:type="dxa"/>
            </w:tcMar>
            <w:vAlign w:val="center"/>
          </w:tcPr>
          <w:p>
            <w:pPr>
              <w:spacing w:after="0"/>
              <w:jc w:val="center"/>
            </w:pPr>
            <w:r>
              <w:drawing>
                <wp:inline xmlns:a="http://schemas.openxmlformats.org/drawingml/2006/main" xmlns:pic="http://schemas.openxmlformats.org/drawingml/2006/picture">
                  <wp:extent cx="4860000" cy="2724895"/>
                  <wp:docPr id="2" name="Picture 2"/>
                  <wp:cNvGraphicFramePr>
                    <a:graphicFrameLocks noChangeAspect="1"/>
                  </wp:cNvGraphicFramePr>
                  <a:graphic>
                    <a:graphicData uri="http://schemas.openxmlformats.org/drawingml/2006/picture">
                      <pic:pic>
                        <pic:nvPicPr>
                          <pic:cNvPr id="0" name="loss_curve.png"/>
                          <pic:cNvPicPr/>
                        </pic:nvPicPr>
                        <pic:blipFill>
                          <a:blip r:embed="rId11"/>
                          <a:stretch>
                            <a:fillRect/>
                          </a:stretch>
                        </pic:blipFill>
                        <pic:spPr>
                          <a:xfrm>
                            <a:off x="0" y="0"/>
                            <a:ext cx="4860000" cy="2724895"/>
                          </a:xfrm>
                          <a:prstGeom prst="rect"/>
                        </pic:spPr>
                      </pic:pic>
                    </a:graphicData>
                  </a:graphic>
                </wp:inline>
              </w:drawing>
            </w:r>
          </w:p>
        </w:tc>
      </w:tr>
      <w:tr>
        <w:tc>
          <w:tcPr>
            <w:tcW w:type="dxa" w:w="7937"/>
            <w:tcMar>
              <w:top w:w="80" w:type="dxa"/>
              <w:start w:w="80" w:type="dxa"/>
              <w:bottom w:w="80" w:type="dxa"/>
              <w:end w:w="80" w:type="dxa"/>
            </w:tcMar>
            <w:vAlign w:val="center"/>
          </w:tcPr>
          <w:p>
            <w:pPr>
              <w:spacing w:after="0"/>
              <w:jc w:val="center"/>
            </w:pPr>
            <w:r>
              <w:rPr>
                <w:rFonts w:ascii="Times New Roman" w:hAnsi="Times New Roman" w:eastAsia="仿宋"/>
                <w:sz w:val="20"/>
              </w:rPr>
              <w:t>图2 训练集与验证集 categorical cross-entropy loss 随 epoch 的变化。</w:t>
            </w:r>
          </w:p>
        </w:tc>
      </w:tr>
    </w:tbl>
    <w:p/>
    <w:p>
      <w:pPr>
        <w:spacing w:line="300" w:lineRule="auto" w:before="0" w:after="0"/>
        <w:ind w:firstLine="420"/>
      </w:pPr>
      <w:r>
        <w:rPr>
          <w:rFonts w:ascii="Times New Roman" w:hAnsi="Times New Roman" w:eastAsia="仿宋"/>
          <w:b w:val="0"/>
          <w:sz w:val="24"/>
        </w:rPr>
        <w:t>单独观察验证准确率趋势可以看到，最佳 checkpoint 位于 epoch 1631，后续训练虽然仍有局部波动，但没有持续产生更好的验证集综合表现。因此恢复第 1631 个 epoch 的权重是合理的。</w:t>
      </w:r>
    </w:p>
    <w:tbl>
      <w:tblPr>
        <w:tblW w:type="auto" w:w="0"/>
        <w:jc w:val="center"/>
        <w:tblLayout w:type="fixed"/>
        <w:tblLook w:firstColumn="1" w:firstRow="1" w:lastColumn="0" w:lastRow="0" w:noHBand="0" w:noVBand="1" w:val="04A0"/>
        <w:tblBorders>
          <w:top w:val="single" w:sz="3" w:color="B7B7B7"/>
          <w:left w:val="single" w:sz="3" w:color="B7B7B7"/>
          <w:bottom w:val="single" w:sz="3" w:color="B7B7B7"/>
          <w:right w:val="single" w:sz="3" w:color="B7B7B7"/>
          <w:insideH w:val="single" w:sz="3" w:color="B7B7B7"/>
          <w:insideV w:val="single" w:sz="3" w:color="B7B7B7"/>
        </w:tblBorders>
      </w:tblPr>
      <w:tblGrid>
        <w:gridCol w:w="8312"/>
      </w:tblGrid>
      <w:tr>
        <w:tc>
          <w:tcPr>
            <w:tcW w:type="dxa" w:w="7937"/>
            <w:tcMar>
              <w:top w:w="80" w:type="dxa"/>
              <w:start w:w="80" w:type="dxa"/>
              <w:bottom w:w="80" w:type="dxa"/>
              <w:end w:w="80" w:type="dxa"/>
            </w:tcMar>
            <w:vAlign w:val="center"/>
          </w:tcPr>
          <w:p>
            <w:pPr>
              <w:spacing w:after="0"/>
              <w:jc w:val="center"/>
            </w:pPr>
            <w:r>
              <w:drawing>
                <wp:inline xmlns:a="http://schemas.openxmlformats.org/drawingml/2006/main" xmlns:pic="http://schemas.openxmlformats.org/drawingml/2006/picture">
                  <wp:extent cx="4860000" cy="2724895"/>
                  <wp:docPr id="3" name="Picture 3"/>
                  <wp:cNvGraphicFramePr>
                    <a:graphicFrameLocks noChangeAspect="1"/>
                  </wp:cNvGraphicFramePr>
                  <a:graphic>
                    <a:graphicData uri="http://schemas.openxmlformats.org/drawingml/2006/picture">
                      <pic:pic>
                        <pic:nvPicPr>
                          <pic:cNvPr id="0" name="validation_accuracy_trend.png"/>
                          <pic:cNvPicPr/>
                        </pic:nvPicPr>
                        <pic:blipFill>
                          <a:blip r:embed="rId12"/>
                          <a:stretch>
                            <a:fillRect/>
                          </a:stretch>
                        </pic:blipFill>
                        <pic:spPr>
                          <a:xfrm>
                            <a:off x="0" y="0"/>
                            <a:ext cx="4860000" cy="2724895"/>
                          </a:xfrm>
                          <a:prstGeom prst="rect"/>
                        </pic:spPr>
                      </pic:pic>
                    </a:graphicData>
                  </a:graphic>
                </wp:inline>
              </w:drawing>
            </w:r>
          </w:p>
        </w:tc>
      </w:tr>
      <w:tr>
        <w:tc>
          <w:tcPr>
            <w:tcW w:type="dxa" w:w="7937"/>
            <w:tcMar>
              <w:top w:w="80" w:type="dxa"/>
              <w:start w:w="80" w:type="dxa"/>
              <w:bottom w:w="80" w:type="dxa"/>
              <w:end w:w="80" w:type="dxa"/>
            </w:tcMar>
            <w:vAlign w:val="center"/>
          </w:tcPr>
          <w:p>
            <w:pPr>
              <w:spacing w:after="0"/>
              <w:jc w:val="center"/>
            </w:pPr>
            <w:r>
              <w:rPr>
                <w:rFonts w:ascii="Times New Roman" w:hAnsi="Times New Roman" w:eastAsia="仿宋"/>
                <w:sz w:val="20"/>
              </w:rPr>
              <w:t>图3 验证准确率趋势与最佳 checkpoint 标记。</w:t>
            </w:r>
          </w:p>
        </w:tc>
      </w:tr>
    </w:tbl>
    <w:p/>
    <w:p>
      <w:pPr>
        <w:spacing w:before="80" w:after="40"/>
        <w:ind w:firstLine="420"/>
      </w:pPr>
      <w:r>
        <w:rPr>
          <w:rFonts w:ascii="Times New Roman" w:hAnsi="Times New Roman" w:eastAsia="黑体"/>
          <w:b/>
          <w:sz w:val="24"/>
        </w:rPr>
        <w:t>3. 训练后期日志抽查</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62"/>
        <w:gridCol w:w="1662"/>
        <w:gridCol w:w="1662"/>
        <w:gridCol w:w="1662"/>
        <w:gridCol w:w="1662"/>
      </w:tblGrid>
      <w:tr>
        <w:tc>
          <w:tcPr>
            <w:tcW w:type="dxa" w:w="1247"/>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Epoch</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train acc</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train loss</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val acc</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val loss</w:t>
            </w:r>
          </w:p>
        </w:tc>
      </w:tr>
      <w:tr>
        <w:tc>
          <w:tcPr>
            <w:tcW w:type="dxa" w:w="1247"/>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1924</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0.8104</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0.4762</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0.8172</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0.4628</w:t>
            </w:r>
          </w:p>
        </w:tc>
      </w:tr>
      <w:tr>
        <w:tc>
          <w:tcPr>
            <w:tcW w:type="dxa" w:w="1247"/>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1925</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0.8137</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0.4664</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0.8107</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0.4802</w:t>
            </w:r>
          </w:p>
        </w:tc>
      </w:tr>
      <w:tr>
        <w:tc>
          <w:tcPr>
            <w:tcW w:type="dxa" w:w="1247"/>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1926</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0.8131</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0.4676</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0.8100</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0.4767</w:t>
            </w:r>
          </w:p>
        </w:tc>
      </w:tr>
      <w:tr>
        <w:tc>
          <w:tcPr>
            <w:tcW w:type="dxa" w:w="1247"/>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1927</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0.8137</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0.4666</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0.8117</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0.4715</w:t>
            </w:r>
          </w:p>
        </w:tc>
      </w:tr>
      <w:tr>
        <w:tc>
          <w:tcPr>
            <w:tcW w:type="dxa" w:w="1247"/>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1928</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0.8103</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0.4768</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0.8019</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0.5000</w:t>
            </w:r>
          </w:p>
        </w:tc>
      </w:tr>
      <w:tr>
        <w:tc>
          <w:tcPr>
            <w:tcW w:type="dxa" w:w="1247"/>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1929</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0.8096</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0.4783</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0.8145</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0.4645</w:t>
            </w:r>
          </w:p>
        </w:tc>
      </w:tr>
      <w:tr>
        <w:tc>
          <w:tcPr>
            <w:tcW w:type="dxa" w:w="1247"/>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1930</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0.8098</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0.4777</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0.8143</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0.4704</w:t>
            </w:r>
          </w:p>
        </w:tc>
      </w:tr>
      <w:tr>
        <w:tc>
          <w:tcPr>
            <w:tcW w:type="dxa" w:w="1247"/>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1931</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0.8121</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0.4716</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0.8152</w:t>
            </w:r>
          </w:p>
        </w:tc>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0.4646</w:t>
            </w:r>
          </w:p>
        </w:tc>
      </w:tr>
    </w:tbl>
    <w:p/>
    <w:p>
      <w:pPr>
        <w:spacing w:line="300" w:lineRule="auto" w:before="0" w:after="0"/>
        <w:ind w:firstLine="420"/>
      </w:pPr>
      <w:r>
        <w:rPr>
          <w:rFonts w:ascii="Times New Roman" w:hAnsi="Times New Roman" w:eastAsia="仿宋"/>
          <w:b w:val="0"/>
          <w:sz w:val="24"/>
        </w:rPr>
        <w:t>训练最后若干个 epoch 的训练集准确率与验证集准确率接近，二者没有出现明显大幅背离，说明此时模型主要处于收敛后的细微波动阶段，而不是严重过拟合后继续恶化。</w:t>
      </w:r>
    </w:p>
    <w:p>
      <w:pPr>
        <w:spacing w:before="160" w:after="80"/>
      </w:pPr>
      <w:r>
        <w:rPr>
          <w:rFonts w:ascii="Times New Roman" w:hAnsi="Times New Roman" w:eastAsia="黑体"/>
          <w:b/>
          <w:sz w:val="28"/>
        </w:rPr>
        <w:t>四、测试集评估结果</w:t>
      </w:r>
    </w:p>
    <w:p>
      <w:pPr>
        <w:spacing w:line="300" w:lineRule="auto" w:before="0" w:after="0"/>
        <w:ind w:firstLine="420"/>
      </w:pPr>
      <w:r>
        <w:rPr>
          <w:rFonts w:ascii="Times New Roman" w:hAnsi="Times New Roman" w:eastAsia="仿宋"/>
          <w:b w:val="0"/>
          <w:sz w:val="24"/>
        </w:rPr>
        <w:t>使用保存后的 M1_20_model.keras 对官方 test_subset 中 20 timepoints、1% noise 分支进行预测，测试样本量为 100,000。测试结果显示，模型 Top-1 accuracy 为 0.892090，Top-3 accuracy 为 0.995580，99% 概率分组准确率为 0.998390，对应平均分组大小为 1.678870。</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4156"/>
        <w:gridCol w:w="4156"/>
      </w:tblGrid>
      <w:tr>
        <w:tc>
          <w:tcPr>
            <w:tcW w:type="dxa" w:w="2835"/>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评价指标</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结果</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测试样本数</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100,000</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Top-1 accuracy</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0.892090</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Top-3 accuracy</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0.995580</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99% 概率分组准确率</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0.998390</w:t>
            </w:r>
          </w:p>
        </w:tc>
      </w:tr>
      <w:tr>
        <w:tc>
          <w:tcPr>
            <w:tcW w:type="dxa" w:w="2835"/>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99% 分组平均大小</w:t>
            </w:r>
          </w:p>
        </w:tc>
        <w:tc>
          <w:tcPr>
            <w:tcW w:type="dxa" w:w="4932"/>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1.678870</w:t>
            </w:r>
          </w:p>
        </w:tc>
      </w:tr>
    </w:tbl>
    <w:p/>
    <w:p>
      <w:pPr>
        <w:spacing w:line="300" w:lineRule="auto" w:before="0" w:after="0"/>
        <w:ind w:firstLine="420"/>
      </w:pPr>
      <w:r>
        <w:rPr>
          <w:rFonts w:ascii="Times New Roman" w:hAnsi="Times New Roman" w:eastAsia="仿宋"/>
          <w:b w:val="0"/>
          <w:sz w:val="24"/>
        </w:rPr>
        <w:t>Top-1 accuracy 代表模型单一最大概率类别的直接命中率；Top-3 accuracy 说明真实类别是否落在概率最高的前三个候选中；99% 概率分组准确率则更接近化学机理检索或候选机理推荐场景，即模型给出一个高置信候选集合，再由后续规则或人工判断进一步筛选。</w:t>
      </w:r>
    </w:p>
    <w:tbl>
      <w:tblPr>
        <w:tblW w:type="auto" w:w="0"/>
        <w:jc w:val="center"/>
        <w:tblLayout w:type="fixed"/>
        <w:tblLook w:firstColumn="1" w:firstRow="1" w:lastColumn="0" w:lastRow="0" w:noHBand="0" w:noVBand="1" w:val="04A0"/>
        <w:tblBorders>
          <w:top w:val="single" w:sz="3" w:color="B7B7B7"/>
          <w:left w:val="single" w:sz="3" w:color="B7B7B7"/>
          <w:bottom w:val="single" w:sz="3" w:color="B7B7B7"/>
          <w:right w:val="single" w:sz="3" w:color="B7B7B7"/>
          <w:insideH w:val="single" w:sz="3" w:color="B7B7B7"/>
          <w:insideV w:val="single" w:sz="3" w:color="B7B7B7"/>
        </w:tblBorders>
      </w:tblPr>
      <w:tblGrid>
        <w:gridCol w:w="8312"/>
      </w:tblGrid>
      <w:tr>
        <w:tc>
          <w:tcPr>
            <w:tcW w:type="dxa" w:w="7937"/>
            <w:tcMar>
              <w:top w:w="80" w:type="dxa"/>
              <w:start w:w="80" w:type="dxa"/>
              <w:bottom w:w="80" w:type="dxa"/>
              <w:end w:w="80" w:type="dxa"/>
            </w:tcMar>
            <w:vAlign w:val="center"/>
          </w:tcPr>
          <w:p>
            <w:pPr>
              <w:spacing w:after="0"/>
              <w:jc w:val="center"/>
            </w:pPr>
            <w:r>
              <w:drawing>
                <wp:inline xmlns:a="http://schemas.openxmlformats.org/drawingml/2006/main" xmlns:pic="http://schemas.openxmlformats.org/drawingml/2006/picture">
                  <wp:extent cx="4536000" cy="403200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4536000" cy="4032000"/>
                          </a:xfrm>
                          <a:prstGeom prst="rect"/>
                        </pic:spPr>
                      </pic:pic>
                    </a:graphicData>
                  </a:graphic>
                </wp:inline>
              </w:drawing>
            </w:r>
          </w:p>
        </w:tc>
      </w:tr>
      <w:tr>
        <w:tc>
          <w:tcPr>
            <w:tcW w:type="dxa" w:w="7937"/>
            <w:tcMar>
              <w:top w:w="80" w:type="dxa"/>
              <w:start w:w="80" w:type="dxa"/>
              <w:bottom w:w="80" w:type="dxa"/>
              <w:end w:w="80" w:type="dxa"/>
            </w:tcMar>
            <w:vAlign w:val="center"/>
          </w:tcPr>
          <w:p>
            <w:pPr>
              <w:spacing w:after="0"/>
              <w:jc w:val="center"/>
            </w:pPr>
            <w:r>
              <w:rPr>
                <w:rFonts w:ascii="Times New Roman" w:hAnsi="Times New Roman" w:eastAsia="仿宋"/>
                <w:sz w:val="20"/>
              </w:rPr>
              <w:t>图4 100,000 个测试样本上的类别归一化混淆矩阵。</w:t>
            </w:r>
          </w:p>
        </w:tc>
      </w:tr>
    </w:tbl>
    <w:p/>
    <w:p>
      <w:pPr>
        <w:spacing w:before="160" w:after="80"/>
      </w:pPr>
      <w:r>
        <w:rPr>
          <w:rFonts w:ascii="Times New Roman" w:hAnsi="Times New Roman" w:eastAsia="黑体"/>
          <w:b/>
          <w:sz w:val="28"/>
        </w:rPr>
        <w:t>五、误差集中类别与结果解释</w:t>
      </w:r>
    </w:p>
    <w:p>
      <w:pPr>
        <w:spacing w:line="300" w:lineRule="auto" w:before="0" w:after="0"/>
        <w:ind w:firstLine="420"/>
      </w:pPr>
      <w:r>
        <w:rPr>
          <w:rFonts w:ascii="Times New Roman" w:hAnsi="Times New Roman" w:eastAsia="仿宋"/>
          <w:b w:val="0"/>
          <w:sz w:val="24"/>
        </w:rPr>
        <w:t>从混淆矩阵和逐类准确率看，大部分机理类别能够被模型稳定识别，主对角线颜色较深，说明预测结果总体集中在正确类别上。但 M11 与 M14 的 Top-1 accuracy 明显低于其他类别，是本次复现模型的主要误差来源。</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078"/>
        <w:gridCol w:w="2078"/>
        <w:gridCol w:w="2078"/>
        <w:gridCol w:w="2078"/>
      </w:tblGrid>
      <w:tr>
        <w:tc>
          <w:tcPr>
            <w:tcW w:type="dxa" w:w="147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类别</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样本数</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正确数</w:t>
            </w:r>
          </w:p>
        </w:tc>
        <w:tc>
          <w:tcPr>
            <w:tcW w:type="dxa" w:w="2438"/>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Top-1 accuracy</w:t>
            </w:r>
          </w:p>
        </w:tc>
      </w:tr>
      <w:tr>
        <w:tc>
          <w:tcPr>
            <w:tcW w:type="dxa" w:w="147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M11</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5000</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2683</w:t>
            </w:r>
          </w:p>
        </w:tc>
        <w:tc>
          <w:tcPr>
            <w:tcW w:type="dxa" w:w="243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0.5366</w:t>
            </w:r>
          </w:p>
        </w:tc>
      </w:tr>
      <w:tr>
        <w:tc>
          <w:tcPr>
            <w:tcW w:type="dxa" w:w="147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M14</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5000</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2926</w:t>
            </w:r>
          </w:p>
        </w:tc>
        <w:tc>
          <w:tcPr>
            <w:tcW w:type="dxa" w:w="243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0.5852</w:t>
            </w:r>
          </w:p>
        </w:tc>
      </w:tr>
      <w:tr>
        <w:tc>
          <w:tcPr>
            <w:tcW w:type="dxa" w:w="147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M8</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5000</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3760</w:t>
            </w:r>
          </w:p>
        </w:tc>
        <w:tc>
          <w:tcPr>
            <w:tcW w:type="dxa" w:w="243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0.7520</w:t>
            </w:r>
          </w:p>
        </w:tc>
      </w:tr>
      <w:tr>
        <w:tc>
          <w:tcPr>
            <w:tcW w:type="dxa" w:w="147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M15</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5000</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4088</w:t>
            </w:r>
          </w:p>
        </w:tc>
        <w:tc>
          <w:tcPr>
            <w:tcW w:type="dxa" w:w="243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0.8176</w:t>
            </w:r>
          </w:p>
        </w:tc>
      </w:tr>
      <w:tr>
        <w:tc>
          <w:tcPr>
            <w:tcW w:type="dxa" w:w="147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M20</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5000</w:t>
            </w:r>
          </w:p>
        </w:tc>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4262</w:t>
            </w:r>
          </w:p>
        </w:tc>
        <w:tc>
          <w:tcPr>
            <w:tcW w:type="dxa" w:w="243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0.8524</w:t>
            </w:r>
          </w:p>
        </w:tc>
      </w:tr>
    </w:tbl>
    <w:p/>
    <w:p>
      <w:pPr>
        <w:spacing w:line="300" w:lineRule="auto" w:before="0" w:after="0"/>
        <w:ind w:firstLine="420"/>
      </w:pPr>
      <w:r>
        <w:rPr>
          <w:rFonts w:ascii="Times New Roman" w:hAnsi="Times New Roman" w:eastAsia="仿宋"/>
          <w:b w:val="0"/>
          <w:sz w:val="24"/>
        </w:rPr>
        <w:t>M11 与 M14 的准确率分别为 0.5366 和 0.5852，说明这两类与其他机理之间的特征边界更接近，或者在当前输入条件下能够被模型利用的差异特征不足。M8、M15 与 M20 的准确率也低于整体平均水平，但仍明显高于 M11 与 M14。</w:t>
      </w:r>
    </w:p>
    <w:p>
      <w:pPr>
        <w:spacing w:line="300" w:lineRule="auto" w:before="0" w:after="0"/>
        <w:ind w:firstLine="420"/>
      </w:pPr>
      <w:r>
        <w:rPr>
          <w:rFonts w:ascii="Times New Roman" w:hAnsi="Times New Roman" w:eastAsia="仿宋"/>
          <w:b w:val="0"/>
          <w:sz w:val="24"/>
        </w:rPr>
        <w:t>从复现角度看，这种误差分布并不代表训练失败，而是提示后续若要进一步逼近论文报告值，需要重点检查类别定义、数据预处理分支、随机种子、官方预训练权重差异、测试噪声设置以及 timepoints 选择对这些低准确率类别的影响。</w:t>
      </w:r>
    </w:p>
    <w:p>
      <w:pPr>
        <w:spacing w:before="160" w:after="80"/>
      </w:pPr>
      <w:r>
        <w:rPr>
          <w:rFonts w:ascii="Times New Roman" w:hAnsi="Times New Roman" w:eastAsia="黑体"/>
          <w:b/>
          <w:sz w:val="28"/>
        </w:rPr>
        <w:t>六、与原论文和官方模型结果的比较</w:t>
      </w:r>
    </w:p>
    <w:p>
      <w:pPr>
        <w:spacing w:line="300" w:lineRule="auto" w:before="0" w:after="0"/>
        <w:ind w:firstLine="420"/>
      </w:pPr>
      <w:r>
        <w:rPr>
          <w:rFonts w:ascii="Times New Roman" w:hAnsi="Times New Roman" w:eastAsia="仿宋"/>
          <w:b w:val="0"/>
          <w:sz w:val="24"/>
        </w:rPr>
        <w:t>原论文为 Burés 与 Larrosa 发表在 Nature 613 的 Organic reaction mechanism classification using machine learning。论文的核心结论是：深度神经网络可以从普通动力学数据中自动识别有机反应机理类别，并且在少量时间点或含噪声条件下仍保持较好的分类能力。</w:t>
      </w:r>
    </w:p>
    <w:p>
      <w:pPr>
        <w:spacing w:line="300" w:lineRule="auto" w:before="0" w:after="0"/>
        <w:ind w:firstLine="420"/>
      </w:pPr>
      <w:r>
        <w:rPr>
          <w:rFonts w:ascii="Times New Roman" w:hAnsi="Times New Roman" w:eastAsia="仿宋"/>
          <w:b w:val="0"/>
          <w:sz w:val="24"/>
        </w:rPr>
        <w:t>为了避免把不同测试条件混为一谈，本报告将比较分成两个层次。第一层是同一测试分支比较，即本次重训模型与官方预训练模型都在 standard_tp20_noise1，也就是 20 timepoints、1% noise 分支上评估。第二层是与论文核心标准分支比较，即官方预训练模型在 tp6_noise0 分支上的表现；该分支在本地复现文档中被标记为论文核心表述对应的标准测试分支。</w:t>
      </w:r>
    </w:p>
    <w:p>
      <w:pPr>
        <w:spacing w:before="80" w:after="40"/>
        <w:ind w:firstLine="420"/>
      </w:pPr>
      <w:r>
        <w:rPr>
          <w:rFonts w:ascii="Times New Roman" w:hAnsi="Times New Roman" w:eastAsia="黑体"/>
          <w:b/>
          <w:sz w:val="24"/>
        </w:rPr>
        <w:t>1. 同一测试分支上的比较</w:t>
      </w:r>
    </w:p>
    <w:p>
      <w:pPr>
        <w:spacing w:line="300" w:lineRule="auto" w:before="0" w:after="0"/>
        <w:ind w:firstLine="420"/>
      </w:pPr>
      <w:r>
        <w:rPr>
          <w:rFonts w:ascii="Times New Roman" w:hAnsi="Times New Roman" w:eastAsia="仿宋"/>
          <w:b w:val="0"/>
          <w:sz w:val="24"/>
        </w:rPr>
        <w:t>在 standard_tp20_noise1 分支上，本次重训模型的 Top-1、Top-3 与 99% 分组准确率均与官方预训练模型非常接近。其中 Top-1 accuracy 从官方预训练模型的 0.891460 变为本次重训模型的 0.892090，差值为 +0.000630；Top-3 accuracy 差值为 +0.000150；99% 分组准确率差值为 +0.000040。</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078"/>
        <w:gridCol w:w="2078"/>
        <w:gridCol w:w="2078"/>
        <w:gridCol w:w="2078"/>
      </w:tblGrid>
      <w:tr>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指标</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官方预训练模型</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本次重训模型</w:t>
            </w:r>
          </w:p>
        </w:tc>
        <w:tc>
          <w:tcPr>
            <w:tcW w:type="dxa" w:w="181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差值</w:t>
            </w:r>
          </w:p>
        </w:tc>
      </w:tr>
      <w:tr>
        <w:tc>
          <w:tcPr>
            <w:tcW w:type="dxa" w:w="198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Top-1 accuracy</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0.891460</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0.892090</w:t>
            </w:r>
          </w:p>
        </w:tc>
        <w:tc>
          <w:tcPr>
            <w:tcW w:type="dxa" w:w="181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+0.000630</w:t>
            </w:r>
          </w:p>
        </w:tc>
      </w:tr>
      <w:tr>
        <w:tc>
          <w:tcPr>
            <w:tcW w:type="dxa" w:w="198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Top-3 accuracy</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0.995430</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0.995580</w:t>
            </w:r>
          </w:p>
        </w:tc>
        <w:tc>
          <w:tcPr>
            <w:tcW w:type="dxa" w:w="181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+0.000150</w:t>
            </w:r>
          </w:p>
        </w:tc>
      </w:tr>
      <w:tr>
        <w:tc>
          <w:tcPr>
            <w:tcW w:type="dxa" w:w="198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99% 分组准确率</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0.998350</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0.998390</w:t>
            </w:r>
          </w:p>
        </w:tc>
        <w:tc>
          <w:tcPr>
            <w:tcW w:type="dxa" w:w="181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+0.000040</w:t>
            </w:r>
          </w:p>
        </w:tc>
      </w:tr>
      <w:tr>
        <w:tc>
          <w:tcPr>
            <w:tcW w:type="dxa" w:w="198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99% 平均分组大小</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1.673070</w:t>
            </w:r>
          </w:p>
        </w:tc>
        <w:tc>
          <w:tcPr>
            <w:tcW w:type="dxa" w:w="198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1.678870</w:t>
            </w:r>
          </w:p>
        </w:tc>
        <w:tc>
          <w:tcPr>
            <w:tcW w:type="dxa" w:w="1814"/>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+0.005800</w:t>
            </w:r>
          </w:p>
        </w:tc>
      </w:tr>
    </w:tbl>
    <w:p/>
    <w:p>
      <w:pPr>
        <w:spacing w:line="300" w:lineRule="auto" w:before="0" w:after="0"/>
        <w:ind w:firstLine="420"/>
      </w:pPr>
      <w:r>
        <w:rPr>
          <w:rFonts w:ascii="Times New Roman" w:hAnsi="Times New Roman" w:eastAsia="仿宋"/>
          <w:b w:val="0"/>
          <w:sz w:val="24"/>
        </w:rPr>
        <w:t>这一结果说明：在相同测试分支下，本次完整训练得到的模型与官方预训练模型基本对齐，差异处于很小范围内。由于训练随机初始化、TensorFlow/Keras 版本、GPU 数值路径、early stopping checkpoint 和数据读取顺序可能存在差异，完全逐位一致并不现实；但从指标量级看，本次重训结果可以认为复现到了官方模型在该分支上的性能水平。</w:t>
      </w:r>
    </w:p>
    <w:p>
      <w:pPr>
        <w:spacing w:before="80" w:after="40"/>
        <w:ind w:firstLine="420"/>
      </w:pPr>
      <w:r>
        <w:rPr>
          <w:rFonts w:ascii="Times New Roman" w:hAnsi="Times New Roman" w:eastAsia="黑体"/>
          <w:b/>
          <w:sz w:val="24"/>
        </w:rPr>
        <w:t>2. 与论文核心标准分支的比较</w:t>
      </w:r>
    </w:p>
    <w:p>
      <w:pPr>
        <w:spacing w:line="300" w:lineRule="auto" w:before="0" w:after="0"/>
        <w:ind w:firstLine="420"/>
      </w:pPr>
      <w:r>
        <w:rPr>
          <w:rFonts w:ascii="Times New Roman" w:hAnsi="Times New Roman" w:eastAsia="仿宋"/>
          <w:b w:val="0"/>
          <w:sz w:val="24"/>
        </w:rPr>
        <w:t>本地复现记录显示，论文核心表述对应的标准测试分支更接近 tp6_noise0，即 6 个时间点、0% 噪声条件。官方预训练模型在该分支上的 Top-1 accuracy 为 0.926390，Top-3 accuracy 为 1.000000，99% 分组准确率为 0.999620。</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62"/>
        <w:gridCol w:w="1662"/>
        <w:gridCol w:w="1662"/>
        <w:gridCol w:w="1662"/>
        <w:gridCol w:w="1662"/>
      </w:tblGrid>
      <w:tr>
        <w:tc>
          <w:tcPr>
            <w:tcW w:type="dxa" w:w="1928"/>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对比对象</w:t>
            </w:r>
          </w:p>
        </w:tc>
        <w:tc>
          <w:tcPr>
            <w:tcW w:type="dxa" w:w="2268"/>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测试分支</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Top-1</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Top-3</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99% 分组</w:t>
            </w:r>
          </w:p>
        </w:tc>
      </w:tr>
      <w:tr>
        <w:tc>
          <w:tcPr>
            <w:tcW w:type="dxa" w:w="1928"/>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论文/官方核心结果</w:t>
            </w:r>
          </w:p>
        </w:tc>
        <w:tc>
          <w:tcPr>
            <w:tcW w:type="dxa" w:w="226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tp6_noise0</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0.926390</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1.000000</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0.999620</w:t>
            </w:r>
          </w:p>
        </w:tc>
      </w:tr>
      <w:tr>
        <w:tc>
          <w:tcPr>
            <w:tcW w:type="dxa" w:w="1928"/>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本次重训评估结果</w:t>
            </w:r>
          </w:p>
        </w:tc>
        <w:tc>
          <w:tcPr>
            <w:tcW w:type="dxa" w:w="226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standard_tp20_noise1</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0.892090</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0.995580</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0.998390</w:t>
            </w:r>
          </w:p>
        </w:tc>
      </w:tr>
      <w:tr>
        <w:tc>
          <w:tcPr>
            <w:tcW w:type="dxa" w:w="1928"/>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表面差值</w:t>
            </w:r>
          </w:p>
        </w:tc>
        <w:tc>
          <w:tcPr>
            <w:tcW w:type="dxa" w:w="2268"/>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不同分支</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-0.034300</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-0.004420</w:t>
            </w:r>
          </w:p>
        </w:tc>
        <w:tc>
          <w:tcPr>
            <w:tcW w:type="dxa" w:w="1191"/>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-0.001230</w:t>
            </w:r>
          </w:p>
        </w:tc>
      </w:tr>
    </w:tbl>
    <w:p/>
    <w:p>
      <w:pPr>
        <w:spacing w:line="300" w:lineRule="auto" w:before="0" w:after="0"/>
        <w:ind w:firstLine="420"/>
      </w:pPr>
      <w:r>
        <w:rPr>
          <w:rFonts w:ascii="Times New Roman" w:hAnsi="Times New Roman" w:eastAsia="仿宋"/>
          <w:b w:val="0"/>
          <w:sz w:val="24"/>
        </w:rPr>
        <w:t>需要强调的是，上表最后一行只能作为总体参照，不能作为严格同条件差距，因为两个结果来自不同测试分支。本次报告目前的重训模型测试是在 20 timepoints、1% noise 条件下完成，而论文核心标准结果对应的是 6 timepoints、0% noise 条件。若要做最严格的论文数值复现，应继续使用本次保存的 M1_20_model.keras 在 tp6_noise0 分支上重新评估，再与 0.926390、1.000000 和 0.999620 直接比较。</w:t>
      </w:r>
    </w:p>
    <w:p>
      <w:pPr>
        <w:spacing w:line="300" w:lineRule="auto" w:before="0" w:after="0"/>
        <w:ind w:firstLine="420"/>
      </w:pPr>
      <w:r>
        <w:rPr>
          <w:rFonts w:ascii="Times New Roman" w:hAnsi="Times New Roman" w:eastAsia="仿宋"/>
          <w:b w:val="0"/>
          <w:sz w:val="24"/>
        </w:rPr>
        <w:t>从现有证据看，本次重训模型在同分支上已经贴近官方预训练模型；与论文核心分支的表面差距主要来自测试分支不同，而不是能够直接说明训练失败。后续最有价值的补充实验，是对同一个重训模型依次运行 tp6_noise0、tp6_noise1、tp6_noise5 和 tp2_noise1，形成完整的噪声鲁棒性与时间点数量对照表。</w:t>
      </w:r>
    </w:p>
    <w:p>
      <w:pPr>
        <w:spacing w:before="160" w:after="80"/>
      </w:pPr>
      <w:r>
        <w:rPr>
          <w:rFonts w:ascii="Times New Roman" w:hAnsi="Times New Roman" w:eastAsia="黑体"/>
          <w:b/>
          <w:sz w:val="28"/>
        </w:rPr>
        <w:t>七、与论文复现要求的对应关系</w:t>
      </w:r>
    </w:p>
    <w:p>
      <w:pPr>
        <w:spacing w:line="300" w:lineRule="auto" w:before="0" w:after="0"/>
        <w:ind w:firstLine="420"/>
      </w:pPr>
      <w:r>
        <w:rPr>
          <w:rFonts w:ascii="Times New Roman" w:hAnsi="Times New Roman" w:eastAsia="仿宋"/>
          <w:b w:val="0"/>
          <w:sz w:val="24"/>
        </w:rPr>
        <w:t>本次复现至少完成了三个关键环节。第一，正式训练已经完成，而不是仅完成冒烟测试；第二，训练结束后生成了完整模型文件，并且该模型可以被重新加载用于测试集预测；第三，测试评估产物已经保存为概率数组、标签数组、混淆矩阵和指标文件，具备后续复查条件。</w:t>
      </w:r>
    </w:p>
    <w:p>
      <w:pPr>
        <w:spacing w:line="300" w:lineRule="auto" w:before="0" w:after="0"/>
        <w:ind w:firstLine="420"/>
      </w:pPr>
      <w:r>
        <w:rPr>
          <w:rFonts w:ascii="Times New Roman" w:hAnsi="Times New Roman" w:eastAsia="仿宋"/>
          <w:b w:val="0"/>
          <w:sz w:val="24"/>
        </w:rPr>
        <w:t>从工程可复核性看，完整训练日志 outputs/full_train.log 是最重要证据。该日志不仅记录了训练过程，也记录了 GPU 设备创建、batch size、每个 epoch 的训练指标、验证指标、early stopping 和模型保存信息。</w:t>
      </w:r>
    </w:p>
    <w:p>
      <w:pPr>
        <w:spacing w:line="300" w:lineRule="auto" w:before="0" w:after="0"/>
        <w:ind w:firstLine="420"/>
      </w:pPr>
      <w:r>
        <w:rPr>
          <w:rFonts w:ascii="Times New Roman" w:hAnsi="Times New Roman" w:eastAsia="仿宋"/>
          <w:b w:val="0"/>
          <w:sz w:val="24"/>
        </w:rPr>
        <w:t>从结果可信度看，测试集评估并非只报告训练集指标，而是使用保存模型对独立测试样本重新推理。测试集 Top-1 accuracy 达到 0.892090，Top-3 accuracy 达到 0.995580，说明复现模型已经具备较强的类别排序能力。</w:t>
      </w:r>
    </w:p>
    <w:p>
      <w:r>
        <w:br w:type="page"/>
      </w:r>
    </w:p>
    <w:p>
      <w:pPr>
        <w:spacing w:before="160" w:after="80"/>
      </w:pPr>
      <w:r>
        <w:rPr>
          <w:rFonts w:ascii="Times New Roman" w:hAnsi="Times New Roman" w:eastAsia="黑体"/>
          <w:b/>
          <w:sz w:val="28"/>
        </w:rPr>
        <w:t>八、可复核产物清单</w:t>
      </w:r>
    </w:p>
    <w:p>
      <w:pPr>
        <w:spacing w:line="300" w:lineRule="auto" w:before="0" w:after="0"/>
        <w:ind w:firstLine="420"/>
      </w:pPr>
      <w:r>
        <w:rPr>
          <w:rFonts w:ascii="Times New Roman" w:hAnsi="Times New Roman" w:eastAsia="仿宋"/>
          <w:b w:val="0"/>
          <w:sz w:val="24"/>
        </w:rPr>
        <w:t>为便于后续继续核验、补实验或写入更完整论文复现材料，本次复现过程保留了如下产物：</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4156"/>
        <w:gridCol w:w="4156"/>
      </w:tblGrid>
      <w:tr>
        <w:tc>
          <w:tcPr>
            <w:tcW w:type="dxa" w:w="2324"/>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产物</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黑体"/>
                <w:b/>
                <w:sz w:val="21"/>
              </w:rPr>
              <w:t>路径或说明</w:t>
            </w:r>
          </w:p>
        </w:tc>
      </w:tr>
      <w:tr>
        <w:tc>
          <w:tcPr>
            <w:tcW w:type="dxa" w:w="232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完整训练日志</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outputs/full_train.log</w:t>
            </w:r>
          </w:p>
        </w:tc>
      </w:tr>
      <w:tr>
        <w:tc>
          <w:tcPr>
            <w:tcW w:type="dxa" w:w="232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训练指标 CSV</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outputs/report_assets/training_metrics.csv</w:t>
            </w:r>
          </w:p>
        </w:tc>
      </w:tr>
      <w:tr>
        <w:tc>
          <w:tcPr>
            <w:tcW w:type="dxa" w:w="232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训练摘要 JSON</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outputs/report_assets/training_summary.json</w:t>
            </w:r>
          </w:p>
        </w:tc>
      </w:tr>
      <w:tr>
        <w:tc>
          <w:tcPr>
            <w:tcW w:type="dxa" w:w="232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保存模型</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M1_20_model.keras</w:t>
            </w:r>
          </w:p>
        </w:tc>
      </w:tr>
      <w:tr>
        <w:tc>
          <w:tcPr>
            <w:tcW w:type="dxa" w:w="232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测试预测概率</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outputs/report_assets/retrained_test_probabilities.npy</w:t>
            </w:r>
          </w:p>
        </w:tc>
      </w:tr>
      <w:tr>
        <w:tc>
          <w:tcPr>
            <w:tcW w:type="dxa" w:w="232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测试真实标签</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outputs/report_assets/retrained_test_labels.npy</w:t>
            </w:r>
          </w:p>
        </w:tc>
      </w:tr>
      <w:tr>
        <w:tc>
          <w:tcPr>
            <w:tcW w:type="dxa" w:w="232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混淆矩阵数据</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outputs/report_assets/confusion_matrix.csv</w:t>
            </w:r>
          </w:p>
        </w:tc>
      </w:tr>
      <w:tr>
        <w:tc>
          <w:tcPr>
            <w:tcW w:type="dxa" w:w="2324"/>
            <w:vAlign w:val="center"/>
            <w:tcMar>
              <w:top w:w="100" w:type="dxa"/>
              <w:start w:w="120" w:type="dxa"/>
              <w:bottom w:w="100" w:type="dxa"/>
              <w:end w:w="120" w:type="dxa"/>
            </w:tcMar>
          </w:tcPr>
          <w:p>
            <w:pPr>
              <w:spacing w:line="276" w:lineRule="auto" w:after="0"/>
              <w:jc w:val="left"/>
            </w:pPr>
            <w:r>
              <w:rPr>
                <w:rFonts w:ascii="Times New Roman" w:hAnsi="Times New Roman" w:eastAsia="仿宋"/>
                <w:b/>
                <w:sz w:val="21"/>
              </w:rPr>
              <w:t>报告配图</w:t>
            </w:r>
          </w:p>
        </w:tc>
        <w:tc>
          <w:tcPr>
            <w:tcW w:type="dxa" w:w="5443"/>
            <w:vAlign w:val="center"/>
            <w:tcMar>
              <w:top w:w="100" w:type="dxa"/>
              <w:start w:w="120" w:type="dxa"/>
              <w:bottom w:w="100" w:type="dxa"/>
              <w:end w:w="120" w:type="dxa"/>
            </w:tcMar>
          </w:tcPr>
          <w:p>
            <w:pPr>
              <w:spacing w:line="276" w:lineRule="auto" w:after="0"/>
              <w:jc w:val="center"/>
            </w:pPr>
            <w:r>
              <w:rPr>
                <w:rFonts w:ascii="Times New Roman" w:hAnsi="Times New Roman" w:eastAsia="仿宋"/>
                <w:b w:val="0"/>
                <w:sz w:val="21"/>
              </w:rPr>
              <w:t>accuracy_curve.png、loss_curve.png、validation_accuracy_trend.png、confusion_matrix.png</w:t>
            </w:r>
          </w:p>
        </w:tc>
      </w:tr>
    </w:tbl>
    <w:p/>
    <w:p>
      <w:pPr>
        <w:spacing w:before="160" w:after="80"/>
      </w:pPr>
      <w:r>
        <w:rPr>
          <w:rFonts w:ascii="Times New Roman" w:hAnsi="Times New Roman" w:eastAsia="黑体"/>
          <w:b/>
          <w:sz w:val="28"/>
        </w:rPr>
        <w:t>九、复现结论</w:t>
      </w:r>
    </w:p>
    <w:p>
      <w:pPr>
        <w:spacing w:line="300" w:lineRule="auto" w:before="0" w:after="0"/>
        <w:ind w:firstLine="420"/>
      </w:pPr>
      <w:r>
        <w:rPr>
          <w:rFonts w:ascii="Times New Roman" w:hAnsi="Times New Roman" w:eastAsia="仿宋"/>
          <w:b w:val="0"/>
          <w:sz w:val="24"/>
        </w:rPr>
        <w:t>本次 Nature 613 模型复现已经完成正式训练、模型保存和独立测试评估。训练在 epoch 1931 触发 early stopping，并恢复 epoch 1631 的最佳验证集权重；保存模型在 100,000 个测试样本上取得 Top-1 accuracy 0.892090、Top-3 accuracy 0.995580。</w:t>
      </w:r>
    </w:p>
    <w:p>
      <w:pPr>
        <w:spacing w:line="300" w:lineRule="auto" w:before="0" w:after="0"/>
        <w:ind w:firstLine="420"/>
      </w:pPr>
      <w:r>
        <w:rPr>
          <w:rFonts w:ascii="Times New Roman" w:hAnsi="Times New Roman" w:eastAsia="仿宋"/>
          <w:b w:val="0"/>
          <w:sz w:val="24"/>
        </w:rPr>
        <w:t>与官方预训练模型在同一 standard_tp20_noise1 分支上的结果相比，本次重训模型 Top-1 accuracy 高出 0.000630，Top-3 accuracy 高出 0.000150，99% 分组准确率高出 0.000040，说明本次训练结果已经基本复现官方模型在该测试分支上的表现。</w:t>
      </w:r>
    </w:p>
    <w:p>
      <w:pPr>
        <w:spacing w:line="300" w:lineRule="auto" w:before="0" w:after="0"/>
        <w:ind w:firstLine="420"/>
      </w:pPr>
      <w:r>
        <w:rPr>
          <w:rFonts w:ascii="Times New Roman" w:hAnsi="Times New Roman" w:eastAsia="仿宋"/>
          <w:b w:val="0"/>
          <w:sz w:val="24"/>
        </w:rPr>
        <w:t>综合训练曲线、验证集趋势、测试集混淆矩阵和与官方结果的对照，本次复现说明本机 GPU 环境能够稳定完成该模型训练，生成的模型具有可用的分类能力。后续若要进一步严格对齐论文核心标准分支，应使用保存模型补测 tp6_noise0，并优先围绕低准确率类别 M11、M14 进行误差分析。</w:t>
      </w:r>
    </w:p>
    <w:sectPr w:rsidR="00FC693F" w:rsidRPr="0006063C" w:rsidSect="00034616">
      <w:footerReference w:type="default" r:id="rId9"/>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sz w:val="18"/>
      </w:rPr>
      <w:t>Nature 613 论文复现报告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pPr>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