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pPr>
      <w:r>
        <w:rPr>
          <w:rFonts w:ascii="Calibri" w:hAnsi="Calibri"/>
          <w:b/>
          <w:color w:val="2E74B5"/>
          <w:sz w:val="20"/>
        </w:rPr>
        <w:t>TECHNICAL CHANGE NOTE</w:t>
      </w:r>
    </w:p>
    <w:p>
      <w:pPr>
        <w:spacing w:before="0" w:after="100"/>
      </w:pPr>
      <w:r>
        <w:rPr>
          <w:rFonts w:ascii="Calibri" w:hAnsi="Calibri"/>
          <w:b/>
          <w:color w:val="0B2545"/>
          <w:sz w:val="48"/>
        </w:rPr>
        <w:t>HC-12 Code Modification and Reversion Guide</w:t>
      </w:r>
    </w:p>
    <w:p>
      <w:pPr>
        <w:spacing w:before="0" w:after="280"/>
      </w:pPr>
      <w:r>
        <w:rPr>
          <w:rFonts w:ascii="Calibri" w:hAnsi="Calibri"/>
          <w:i/>
          <w:color w:val="5B6573"/>
          <w:sz w:val="26"/>
        </w:rPr>
        <w:t>Sender Pico 2 and Receiver Pico W wireless communication test</w:t>
      </w:r>
    </w:p>
    <w:p>
      <w:pPr>
        <w:spacing w:before="0" w:after="40" w:line="252" w:lineRule="auto"/>
      </w:pPr>
      <w:r>
        <w:rPr>
          <w:rFonts w:ascii="Calibri" w:hAnsi="Calibri"/>
          <w:b/>
          <w:color w:val="0B2545"/>
          <w:sz w:val="21"/>
        </w:rPr>
        <w:t xml:space="preserve">Prepared for: </w:t>
      </w:r>
      <w:r>
        <w:rPr>
          <w:rFonts w:ascii="Calibri" w:hAnsi="Calibri"/>
          <w:color w:val="0B2545"/>
          <w:sz w:val="21"/>
        </w:rPr>
        <w:t>Beehive Monitoring Project Team</w:t>
      </w:r>
    </w:p>
    <w:p>
      <w:pPr>
        <w:spacing w:before="0" w:after="40" w:line="252" w:lineRule="auto"/>
      </w:pPr>
      <w:r>
        <w:rPr>
          <w:rFonts w:ascii="Calibri" w:hAnsi="Calibri"/>
          <w:b/>
          <w:color w:val="0B2545"/>
          <w:sz w:val="21"/>
        </w:rPr>
        <w:t xml:space="preserve">Date: </w:t>
      </w:r>
      <w:r>
        <w:rPr>
          <w:rFonts w:ascii="Calibri" w:hAnsi="Calibri"/>
          <w:color w:val="0B2545"/>
          <w:sz w:val="21"/>
        </w:rPr>
        <w:t>28 August 2026</w:t>
      </w:r>
    </w:p>
    <w:p>
      <w:pPr>
        <w:spacing w:before="0" w:after="40" w:line="252" w:lineRule="auto"/>
      </w:pPr>
      <w:r>
        <w:rPr>
          <w:rFonts w:ascii="Calibri" w:hAnsi="Calibri"/>
          <w:b/>
          <w:color w:val="0B2545"/>
          <w:sz w:val="21"/>
        </w:rPr>
        <w:t xml:space="preserve">Status: </w:t>
      </w:r>
      <w:r>
        <w:rPr>
          <w:rFonts w:ascii="Calibri" w:hAnsi="Calibri"/>
          <w:color w:val="0B2545"/>
          <w:sz w:val="21"/>
        </w:rPr>
        <w:t>Wireless communication test completed successfully</w:t>
      </w:r>
    </w:p>
    <w:p>
      <w:pPr>
        <w:spacing w:before="0" w:after="40" w:line="252" w:lineRule="auto"/>
      </w:pPr>
      <w:r>
        <w:rPr>
          <w:rFonts w:ascii="Calibri" w:hAnsi="Calibri"/>
          <w:b/>
          <w:color w:val="0B2545"/>
          <w:sz w:val="21"/>
        </w:rPr>
        <w:t xml:space="preserve">Modified files: </w:t>
      </w:r>
      <w:r>
        <w:rPr>
          <w:rFonts w:ascii="Calibri" w:hAnsi="Calibri"/>
          <w:color w:val="0B2545"/>
          <w:sz w:val="21"/>
        </w:rPr>
        <w:t>Pico2_HC12_Sender_Test.py and PicoW_HC12_Receiver_Checked.py</w:t>
      </w:r>
    </w:p>
    <w:p>
      <w:pPr>
        <w:spacing w:before="80" w:after="200" w:line="276" w:lineRule="auto"/>
        <w:ind w:left="72" w:right="72"/>
        <w:shd w:fill="F4F6F9"/>
        <w:pBdr>
          <w:left w:val="single" w:sz="18" w:space="8" w:color="1F6D45"/>
        </w:pBdr>
      </w:pPr>
      <w:r>
        <w:rPr>
          <w:rFonts w:ascii="Calibri" w:hAnsi="Calibri"/>
          <w:b/>
          <w:color w:val="1F6D45"/>
          <w:sz w:val="21"/>
        </w:rPr>
        <w:t xml:space="preserve">OUTCOME  </w:t>
      </w:r>
      <w:r>
        <w:rPr>
          <w:rFonts w:ascii="Calibri" w:hAnsi="Calibri"/>
          <w:color w:val="0B2545"/>
          <w:sz w:val="21"/>
        </w:rPr>
        <w:t>The two Pico boards successfully exchanged newline-delimited HC-12 test packets at 9600 baud. CRC and sequence checks operated as intended.</w:t>
      </w:r>
    </w:p>
    <w:p>
      <w:pPr>
        <w:pStyle w:val="Heading1"/>
        <w:keepNext/>
      </w:pPr>
      <w:r>
        <w:t>1. Purpose and Scope</w:t>
      </w:r>
    </w:p>
    <w:p>
      <w:pPr>
        <w:widowControl/>
        <w:spacing w:before="0" w:after="120" w:line="300" w:lineRule="auto"/>
      </w:pPr>
      <w:r>
        <w:rPr>
          <w:rFonts w:ascii="Calibri" w:hAnsi="Calibri"/>
          <w:i w:val="0"/>
          <w:sz w:val="22"/>
        </w:rPr>
        <w:t>This document records the changes I made to my teammates' sender and receiver programs in order to test wireless communication between the outdoor Pico 2 and the indoor Pico W through two HC-12 radio modules. It also explains how to disable or completely remove those changes when the team returns to the original sensor-testing workflow.</w:t>
      </w:r>
    </w:p>
    <w:tbl>
      <w:tblPr>
        <w:tblW w:type="dxa" w:w="9360"/>
        <w:tblLayout w:type="fixed"/>
        <w:tblLook w:firstColumn="1" w:firstRow="1" w:lastColumn="0" w:lastRow="0" w:noHBand="0" w:noVBand="1" w:val="04A0"/>
        <w:tblInd w:w="120" w:type="dxa"/>
        <w:tblBorders>
          <w:top w:val="single" w:sz="6" w:space="0" w:color="C9D2DD"/>
          <w:left w:val="single" w:sz="6" w:space="0" w:color="C9D2DD"/>
          <w:bottom w:val="single" w:sz="6" w:space="0" w:color="C9D2DD"/>
          <w:right w:val="single" w:sz="6" w:space="0" w:color="C9D2DD"/>
          <w:insideH w:val="single" w:sz="6" w:space="0" w:color="C9D2DD"/>
          <w:insideV w:val="single" w:sz="6" w:space="0" w:color="C9D2DD"/>
        </w:tblBorders>
      </w:tblPr>
      <w:tblGrid>
        <w:gridCol w:w="1650"/>
        <w:gridCol w:w="3850"/>
        <w:gridCol w:w="3860"/>
      </w:tblGrid>
      <w:tr>
        <w:trPr>
          <w:tblHeader w:val="true"/>
        </w:trPr>
        <w:tc>
          <w:tcPr>
            <w:tcW w:type="dxa" w:w="1650"/>
            <w:shd w:fill="E8EEF5"/>
            <w:tcMar>
              <w:top w:w="80" w:type="dxa"/>
              <w:start w:w="120" w:type="dxa"/>
              <w:bottom w:w="80" w:type="dxa"/>
              <w:end w:w="120" w:type="dxa"/>
            </w:tcMar>
            <w:vAlign w:val="center"/>
          </w:tcPr>
          <w:p>
            <w:pPr>
              <w:jc w:val="left"/>
            </w:pPr>
            <w:r>
              <w:rPr>
                <w:rFonts w:ascii="Calibri" w:hAnsi="Calibri"/>
                <w:b/>
                <w:color w:val="0B2545"/>
                <w:sz w:val="20"/>
              </w:rPr>
              <w:t>Program</w:t>
            </w:r>
          </w:p>
        </w:tc>
        <w:tc>
          <w:tcPr>
            <w:tcW w:type="dxa" w:w="3850"/>
            <w:shd w:fill="E8EEF5"/>
            <w:tcMar>
              <w:top w:w="80" w:type="dxa"/>
              <w:start w:w="120" w:type="dxa"/>
              <w:bottom w:w="80" w:type="dxa"/>
              <w:end w:w="120" w:type="dxa"/>
            </w:tcMar>
            <w:vAlign w:val="center"/>
          </w:tcPr>
          <w:p>
            <w:pPr>
              <w:jc w:val="left"/>
            </w:pPr>
            <w:r>
              <w:rPr>
                <w:rFonts w:ascii="Calibri" w:hAnsi="Calibri"/>
                <w:b/>
                <w:color w:val="0B2545"/>
                <w:sz w:val="20"/>
              </w:rPr>
              <w:t>Modification focus</w:t>
            </w:r>
          </w:p>
        </w:tc>
        <w:tc>
          <w:tcPr>
            <w:tcW w:type="dxa" w:w="3860"/>
            <w:shd w:fill="E8EEF5"/>
            <w:tcMar>
              <w:top w:w="80" w:type="dxa"/>
              <w:start w:w="120" w:type="dxa"/>
              <w:bottom w:w="80" w:type="dxa"/>
              <w:end w:w="120" w:type="dxa"/>
            </w:tcMar>
            <w:vAlign w:val="center"/>
          </w:tcPr>
          <w:p>
            <w:pPr>
              <w:jc w:val="left"/>
            </w:pPr>
            <w:r>
              <w:rPr>
                <w:rFonts w:ascii="Calibri" w:hAnsi="Calibri"/>
                <w:b/>
                <w:color w:val="0B2545"/>
                <w:sz w:val="20"/>
              </w:rPr>
              <w:t>Operational result</w:t>
            </w:r>
          </w:p>
        </w:tc>
      </w:tr>
      <w:tr>
        <w:tc>
          <w:tcPr>
            <w:tcW w:type="dxa" w:w="1650"/>
            <w:tcMar>
              <w:top w:w="80" w:type="dxa"/>
              <w:start w:w="120" w:type="dxa"/>
              <w:bottom w:w="80" w:type="dxa"/>
              <w:end w:w="120" w:type="dxa"/>
            </w:tcMar>
            <w:vAlign w:val="center"/>
          </w:tcPr>
          <w:p>
            <w:pPr>
              <w:spacing w:after="40" w:line="269" w:lineRule="auto"/>
            </w:pPr>
            <w:r>
              <w:rPr>
                <w:rFonts w:ascii="Calibri" w:hAnsi="Calibri"/>
                <w:b/>
                <w:color w:val="0B2545"/>
                <w:sz w:val="19"/>
              </w:rPr>
              <w:t>Sender: Pico 2</w:t>
            </w:r>
          </w:p>
        </w:tc>
        <w:tc>
          <w:tcPr>
            <w:tcW w:type="dxa" w:w="3850"/>
            <w:tcMar>
              <w:top w:w="80" w:type="dxa"/>
              <w:start w:w="120" w:type="dxa"/>
              <w:bottom w:w="80" w:type="dxa"/>
              <w:end w:w="120" w:type="dxa"/>
            </w:tcMar>
            <w:vAlign w:val="center"/>
          </w:tcPr>
          <w:p>
            <w:pPr>
              <w:spacing w:after="40" w:line="269" w:lineRule="auto"/>
            </w:pPr>
            <w:r>
              <w:rPr>
                <w:rFonts w:ascii="Calibri" w:hAnsi="Calibri"/>
                <w:b w:val="0"/>
                <w:color w:val="0B2545"/>
                <w:sz w:val="19"/>
              </w:rPr>
              <w:t>UART0 transmission, test packet creation, CRC-16, sequence numbering, and optional OLED handling.</w:t>
            </w:r>
          </w:p>
        </w:tc>
        <w:tc>
          <w:tcPr>
            <w:tcW w:type="dxa" w:w="3860"/>
            <w:tcMar>
              <w:top w:w="80" w:type="dxa"/>
              <w:start w:w="120" w:type="dxa"/>
              <w:bottom w:w="80" w:type="dxa"/>
              <w:end w:w="120" w:type="dxa"/>
            </w:tcMar>
            <w:vAlign w:val="center"/>
          </w:tcPr>
          <w:p>
            <w:pPr>
              <w:spacing w:after="40" w:line="269" w:lineRule="auto"/>
            </w:pPr>
            <w:r>
              <w:rPr>
                <w:rFonts w:ascii="Calibri" w:hAnsi="Calibri"/>
                <w:b w:val="0"/>
                <w:color w:val="0B2545"/>
                <w:sz w:val="19"/>
              </w:rPr>
              <w:t>A complete validated packet is transmitted every two seconds without requiring any sensor or OLED.</w:t>
            </w:r>
          </w:p>
        </w:tc>
      </w:tr>
      <w:tr>
        <w:tc>
          <w:tcPr>
            <w:tcW w:type="dxa" w:w="1650"/>
            <w:tcMar>
              <w:top w:w="80" w:type="dxa"/>
              <w:start w:w="120" w:type="dxa"/>
              <w:bottom w:w="80" w:type="dxa"/>
              <w:end w:w="120" w:type="dxa"/>
            </w:tcMar>
            <w:vAlign w:val="center"/>
          </w:tcPr>
          <w:p>
            <w:pPr>
              <w:spacing w:after="40" w:line="269" w:lineRule="auto"/>
            </w:pPr>
            <w:r>
              <w:rPr>
                <w:rFonts w:ascii="Calibri" w:hAnsi="Calibri"/>
                <w:b/>
                <w:color w:val="0B2545"/>
                <w:sz w:val="19"/>
              </w:rPr>
              <w:t>Receiver: Pico W</w:t>
            </w:r>
          </w:p>
        </w:tc>
        <w:tc>
          <w:tcPr>
            <w:tcW w:type="dxa" w:w="3850"/>
            <w:tcMar>
              <w:top w:w="80" w:type="dxa"/>
              <w:start w:w="120" w:type="dxa"/>
              <w:bottom w:w="80" w:type="dxa"/>
              <w:end w:w="120" w:type="dxa"/>
            </w:tcMar>
            <w:vAlign w:val="center"/>
          </w:tcPr>
          <w:p>
            <w:pPr>
              <w:spacing w:after="40" w:line="269" w:lineRule="auto"/>
            </w:pPr>
            <w:r>
              <w:rPr>
                <w:rFonts w:ascii="Calibri" w:hAnsi="Calibri"/>
                <w:b w:val="0"/>
                <w:color w:val="0B2545"/>
                <w:sz w:val="19"/>
              </w:rPr>
              <w:t>Buffered packet framing, CRC validation, sequence checks, and safe field application.</w:t>
            </w:r>
          </w:p>
        </w:tc>
        <w:tc>
          <w:tcPr>
            <w:tcW w:type="dxa" w:w="3860"/>
            <w:tcMar>
              <w:top w:w="80" w:type="dxa"/>
              <w:start w:w="120" w:type="dxa"/>
              <w:bottom w:w="80" w:type="dxa"/>
              <w:end w:w="120" w:type="dxa"/>
            </w:tcMar>
            <w:vAlign w:val="center"/>
          </w:tcPr>
          <w:p>
            <w:pPr>
              <w:spacing w:after="40" w:line="269" w:lineRule="auto"/>
            </w:pPr>
            <w:r>
              <w:rPr>
                <w:rFonts w:ascii="Calibri" w:hAnsi="Calibri"/>
                <w:b w:val="0"/>
                <w:color w:val="0B2545"/>
                <w:sz w:val="19"/>
              </w:rPr>
              <w:t>Only complete and valid packets update the dashboard; corruption, duplicates, and missing packets are reported.</w:t>
            </w:r>
          </w:p>
        </w:tc>
      </w:tr>
    </w:tbl>
    <w:p>
      <w:pPr>
        <w:spacing w:after="20"/>
      </w:pPr>
    </w:p>
    <w:p>
      <w:r>
        <w:br w:type="page"/>
      </w:r>
    </w:p>
    <w:p>
      <w:pPr>
        <w:pStyle w:val="Heading1"/>
        <w:keepNext/>
      </w:pPr>
      <w:r>
        <w:t>2. Hardware and Communication Configuration</w:t>
      </w:r>
    </w:p>
    <w:p>
      <w:pPr>
        <w:widowControl/>
        <w:spacing w:before="0" w:after="120" w:line="300" w:lineRule="auto"/>
      </w:pPr>
      <w:r>
        <w:rPr>
          <w:rFonts w:ascii="Calibri" w:hAnsi="Calibri"/>
          <w:i w:val="0"/>
          <w:sz w:val="22"/>
        </w:rPr>
        <w:t>Both programs were configured for UART0 at 9600 baud, 8 data bits, no parity, and 1 stop bit (8N1). The HC-12 SET pin is held HIGH so that both modules operate in normal transparent transmission mode.</w:t>
      </w:r>
    </w:p>
    <w:tbl>
      <w:tblPr>
        <w:tblW w:type="dxa" w:w="9360"/>
        <w:tblLayout w:type="fixed"/>
        <w:tblLook w:firstColumn="1" w:firstRow="1" w:lastColumn="0" w:lastRow="0" w:noHBand="0" w:noVBand="1" w:val="04A0"/>
        <w:tblInd w:w="120" w:type="dxa"/>
        <w:tblBorders>
          <w:top w:val="single" w:sz="6" w:space="0" w:color="C9D2DD"/>
          <w:left w:val="single" w:sz="6" w:space="0" w:color="C9D2DD"/>
          <w:bottom w:val="single" w:sz="6" w:space="0" w:color="C9D2DD"/>
          <w:right w:val="single" w:sz="6" w:space="0" w:color="C9D2DD"/>
          <w:insideH w:val="single" w:sz="6" w:space="0" w:color="C9D2DD"/>
          <w:insideV w:val="single" w:sz="6" w:space="0" w:color="C9D2DD"/>
        </w:tblBorders>
      </w:tblPr>
      <w:tblGrid>
        <w:gridCol w:w="1900"/>
        <w:gridCol w:w="1450"/>
        <w:gridCol w:w="3350"/>
        <w:gridCol w:w="2660"/>
      </w:tblGrid>
      <w:tr>
        <w:trPr>
          <w:tblHeader w:val="true"/>
        </w:trPr>
        <w:tc>
          <w:tcPr>
            <w:tcW w:type="dxa" w:w="1900"/>
            <w:shd w:fill="E8EEF5"/>
            <w:tcMar>
              <w:top w:w="80" w:type="dxa"/>
              <w:start w:w="120" w:type="dxa"/>
              <w:bottom w:w="80" w:type="dxa"/>
              <w:end w:w="120" w:type="dxa"/>
            </w:tcMar>
            <w:vAlign w:val="center"/>
          </w:tcPr>
          <w:p>
            <w:pPr>
              <w:jc w:val="center"/>
            </w:pPr>
            <w:r>
              <w:rPr>
                <w:rFonts w:ascii="Calibri" w:hAnsi="Calibri"/>
                <w:b/>
                <w:color w:val="0B2545"/>
                <w:sz w:val="19"/>
              </w:rPr>
              <w:t>Pico physical pin</w:t>
            </w:r>
          </w:p>
        </w:tc>
        <w:tc>
          <w:tcPr>
            <w:tcW w:type="dxa" w:w="1450"/>
            <w:shd w:fill="E8EEF5"/>
            <w:tcMar>
              <w:top w:w="80" w:type="dxa"/>
              <w:start w:w="120" w:type="dxa"/>
              <w:bottom w:w="80" w:type="dxa"/>
              <w:end w:w="120" w:type="dxa"/>
            </w:tcMar>
            <w:vAlign w:val="center"/>
          </w:tcPr>
          <w:p>
            <w:pPr>
              <w:jc w:val="center"/>
            </w:pPr>
            <w:r>
              <w:rPr>
                <w:rFonts w:ascii="Calibri" w:hAnsi="Calibri"/>
                <w:b/>
                <w:color w:val="0B2545"/>
                <w:sz w:val="19"/>
              </w:rPr>
              <w:t>GPIO</w:t>
            </w:r>
          </w:p>
        </w:tc>
        <w:tc>
          <w:tcPr>
            <w:tcW w:type="dxa" w:w="3350"/>
            <w:shd w:fill="E8EEF5"/>
            <w:tcMar>
              <w:top w:w="80" w:type="dxa"/>
              <w:start w:w="120" w:type="dxa"/>
              <w:bottom w:w="80" w:type="dxa"/>
              <w:end w:w="120" w:type="dxa"/>
            </w:tcMar>
            <w:vAlign w:val="center"/>
          </w:tcPr>
          <w:p>
            <w:pPr>
              <w:jc w:val="center"/>
            </w:pPr>
            <w:r>
              <w:rPr>
                <w:rFonts w:ascii="Calibri" w:hAnsi="Calibri"/>
                <w:b/>
                <w:color w:val="0B2545"/>
                <w:sz w:val="19"/>
              </w:rPr>
              <w:t>Signal direction</w:t>
            </w:r>
          </w:p>
        </w:tc>
        <w:tc>
          <w:tcPr>
            <w:tcW w:type="dxa" w:w="2660"/>
            <w:shd w:fill="E8EEF5"/>
            <w:tcMar>
              <w:top w:w="80" w:type="dxa"/>
              <w:start w:w="120" w:type="dxa"/>
              <w:bottom w:w="80" w:type="dxa"/>
              <w:end w:w="120" w:type="dxa"/>
            </w:tcMar>
            <w:vAlign w:val="center"/>
          </w:tcPr>
          <w:p>
            <w:pPr>
              <w:jc w:val="center"/>
            </w:pPr>
            <w:r>
              <w:rPr>
                <w:rFonts w:ascii="Calibri" w:hAnsi="Calibri"/>
                <w:b/>
                <w:color w:val="0B2545"/>
                <w:sz w:val="19"/>
              </w:rPr>
              <w:t>HC-12 pin</w:t>
            </w:r>
          </w:p>
        </w:tc>
      </w:tr>
      <w:tr>
        <w:tc>
          <w:tcPr>
            <w:tcW w:type="dxa" w:w="1900"/>
            <w:tcMar>
              <w:top w:w="80" w:type="dxa"/>
              <w:start w:w="120" w:type="dxa"/>
              <w:bottom w:w="80" w:type="dxa"/>
              <w:end w:w="120" w:type="dxa"/>
            </w:tcMar>
            <w:vAlign w:val="center"/>
          </w:tcPr>
          <w:p>
            <w:pPr>
              <w:spacing w:after="20"/>
              <w:jc w:val="center"/>
            </w:pPr>
            <w:r>
              <w:rPr>
                <w:rFonts w:ascii="Calibri" w:hAnsi="Calibri"/>
                <w:color w:val="0B2545"/>
                <w:sz w:val="19"/>
              </w:rPr>
              <w:t>16</w:t>
            </w:r>
          </w:p>
        </w:tc>
        <w:tc>
          <w:tcPr>
            <w:tcW w:type="dxa" w:w="1450"/>
            <w:tcMar>
              <w:top w:w="80" w:type="dxa"/>
              <w:start w:w="120" w:type="dxa"/>
              <w:bottom w:w="80" w:type="dxa"/>
              <w:end w:w="120" w:type="dxa"/>
            </w:tcMar>
            <w:vAlign w:val="center"/>
          </w:tcPr>
          <w:p>
            <w:pPr>
              <w:spacing w:after="20"/>
              <w:jc w:val="center"/>
            </w:pPr>
            <w:r>
              <w:rPr>
                <w:rFonts w:ascii="Calibri" w:hAnsi="Calibri"/>
                <w:color w:val="0B2545"/>
                <w:sz w:val="19"/>
              </w:rPr>
              <w:t>GP12</w:t>
            </w:r>
          </w:p>
        </w:tc>
        <w:tc>
          <w:tcPr>
            <w:tcW w:type="dxa" w:w="3350"/>
            <w:tcMar>
              <w:top w:w="80" w:type="dxa"/>
              <w:start w:w="120" w:type="dxa"/>
              <w:bottom w:w="80" w:type="dxa"/>
              <w:end w:w="120" w:type="dxa"/>
            </w:tcMar>
            <w:vAlign w:val="center"/>
          </w:tcPr>
          <w:p>
            <w:pPr>
              <w:spacing w:after="20"/>
              <w:jc w:val="left"/>
            </w:pPr>
            <w:r>
              <w:rPr>
                <w:rFonts w:ascii="Calibri" w:hAnsi="Calibri"/>
                <w:color w:val="0B2545"/>
                <w:sz w:val="19"/>
              </w:rPr>
              <w:t>Pico UART0 TX to radio</w:t>
            </w:r>
          </w:p>
        </w:tc>
        <w:tc>
          <w:tcPr>
            <w:tcW w:type="dxa" w:w="2660"/>
            <w:tcMar>
              <w:top w:w="80" w:type="dxa"/>
              <w:start w:w="120" w:type="dxa"/>
              <w:bottom w:w="80" w:type="dxa"/>
              <w:end w:w="120" w:type="dxa"/>
            </w:tcMar>
            <w:vAlign w:val="center"/>
          </w:tcPr>
          <w:p>
            <w:pPr>
              <w:spacing w:after="20"/>
              <w:jc w:val="center"/>
            </w:pPr>
            <w:r>
              <w:rPr>
                <w:rFonts w:ascii="Calibri" w:hAnsi="Calibri"/>
                <w:color w:val="0B2545"/>
                <w:sz w:val="19"/>
              </w:rPr>
              <w:t>RXD</w:t>
            </w:r>
          </w:p>
        </w:tc>
      </w:tr>
      <w:tr>
        <w:tc>
          <w:tcPr>
            <w:tcW w:type="dxa" w:w="1900"/>
            <w:tcMar>
              <w:top w:w="80" w:type="dxa"/>
              <w:start w:w="120" w:type="dxa"/>
              <w:bottom w:w="80" w:type="dxa"/>
              <w:end w:w="120" w:type="dxa"/>
            </w:tcMar>
            <w:vAlign w:val="center"/>
          </w:tcPr>
          <w:p>
            <w:pPr>
              <w:spacing w:after="20"/>
              <w:jc w:val="center"/>
            </w:pPr>
            <w:r>
              <w:rPr>
                <w:rFonts w:ascii="Calibri" w:hAnsi="Calibri"/>
                <w:color w:val="0B2545"/>
                <w:sz w:val="19"/>
              </w:rPr>
              <w:t>17</w:t>
            </w:r>
          </w:p>
        </w:tc>
        <w:tc>
          <w:tcPr>
            <w:tcW w:type="dxa" w:w="1450"/>
            <w:tcMar>
              <w:top w:w="80" w:type="dxa"/>
              <w:start w:w="120" w:type="dxa"/>
              <w:bottom w:w="80" w:type="dxa"/>
              <w:end w:w="120" w:type="dxa"/>
            </w:tcMar>
            <w:vAlign w:val="center"/>
          </w:tcPr>
          <w:p>
            <w:pPr>
              <w:spacing w:after="20"/>
              <w:jc w:val="center"/>
            </w:pPr>
            <w:r>
              <w:rPr>
                <w:rFonts w:ascii="Calibri" w:hAnsi="Calibri"/>
                <w:color w:val="0B2545"/>
                <w:sz w:val="19"/>
              </w:rPr>
              <w:t>GP13</w:t>
            </w:r>
          </w:p>
        </w:tc>
        <w:tc>
          <w:tcPr>
            <w:tcW w:type="dxa" w:w="3350"/>
            <w:tcMar>
              <w:top w:w="80" w:type="dxa"/>
              <w:start w:w="120" w:type="dxa"/>
              <w:bottom w:w="80" w:type="dxa"/>
              <w:end w:w="120" w:type="dxa"/>
            </w:tcMar>
            <w:vAlign w:val="center"/>
          </w:tcPr>
          <w:p>
            <w:pPr>
              <w:spacing w:after="20"/>
              <w:jc w:val="left"/>
            </w:pPr>
            <w:r>
              <w:rPr>
                <w:rFonts w:ascii="Calibri" w:hAnsi="Calibri"/>
                <w:color w:val="0B2545"/>
                <w:sz w:val="19"/>
              </w:rPr>
              <w:t>Radio TXD to Pico UART0 RX</w:t>
            </w:r>
          </w:p>
        </w:tc>
        <w:tc>
          <w:tcPr>
            <w:tcW w:type="dxa" w:w="2660"/>
            <w:tcMar>
              <w:top w:w="80" w:type="dxa"/>
              <w:start w:w="120" w:type="dxa"/>
              <w:bottom w:w="80" w:type="dxa"/>
              <w:end w:w="120" w:type="dxa"/>
            </w:tcMar>
            <w:vAlign w:val="center"/>
          </w:tcPr>
          <w:p>
            <w:pPr>
              <w:spacing w:after="20"/>
              <w:jc w:val="center"/>
            </w:pPr>
            <w:r>
              <w:rPr>
                <w:rFonts w:ascii="Calibri" w:hAnsi="Calibri"/>
                <w:color w:val="0B2545"/>
                <w:sz w:val="19"/>
              </w:rPr>
              <w:t>TXD</w:t>
            </w:r>
          </w:p>
        </w:tc>
      </w:tr>
      <w:tr>
        <w:tc>
          <w:tcPr>
            <w:tcW w:type="dxa" w:w="1900"/>
            <w:tcMar>
              <w:top w:w="80" w:type="dxa"/>
              <w:start w:w="120" w:type="dxa"/>
              <w:bottom w:w="80" w:type="dxa"/>
              <w:end w:w="120" w:type="dxa"/>
            </w:tcMar>
            <w:vAlign w:val="center"/>
          </w:tcPr>
          <w:p>
            <w:pPr>
              <w:spacing w:after="20"/>
              <w:jc w:val="center"/>
            </w:pPr>
            <w:r>
              <w:rPr>
                <w:rFonts w:ascii="Calibri" w:hAnsi="Calibri"/>
                <w:color w:val="0B2545"/>
                <w:sz w:val="19"/>
              </w:rPr>
              <w:t>34</w:t>
            </w:r>
          </w:p>
        </w:tc>
        <w:tc>
          <w:tcPr>
            <w:tcW w:type="dxa" w:w="1450"/>
            <w:tcMar>
              <w:top w:w="80" w:type="dxa"/>
              <w:start w:w="120" w:type="dxa"/>
              <w:bottom w:w="80" w:type="dxa"/>
              <w:end w:w="120" w:type="dxa"/>
            </w:tcMar>
            <w:vAlign w:val="center"/>
          </w:tcPr>
          <w:p>
            <w:pPr>
              <w:spacing w:after="20"/>
              <w:jc w:val="center"/>
            </w:pPr>
            <w:r>
              <w:rPr>
                <w:rFonts w:ascii="Calibri" w:hAnsi="Calibri"/>
                <w:color w:val="0B2545"/>
                <w:sz w:val="19"/>
              </w:rPr>
              <w:t>GP28</w:t>
            </w:r>
          </w:p>
        </w:tc>
        <w:tc>
          <w:tcPr>
            <w:tcW w:type="dxa" w:w="3350"/>
            <w:tcMar>
              <w:top w:w="80" w:type="dxa"/>
              <w:start w:w="120" w:type="dxa"/>
              <w:bottom w:w="80" w:type="dxa"/>
              <w:end w:w="120" w:type="dxa"/>
            </w:tcMar>
            <w:vAlign w:val="center"/>
          </w:tcPr>
          <w:p>
            <w:pPr>
              <w:spacing w:after="20"/>
              <w:jc w:val="left"/>
            </w:pPr>
            <w:r>
              <w:rPr>
                <w:rFonts w:ascii="Calibri" w:hAnsi="Calibri"/>
                <w:color w:val="0B2545"/>
                <w:sz w:val="19"/>
              </w:rPr>
              <w:t>Pico output to radio mode control</w:t>
            </w:r>
          </w:p>
        </w:tc>
        <w:tc>
          <w:tcPr>
            <w:tcW w:type="dxa" w:w="2660"/>
            <w:tcMar>
              <w:top w:w="80" w:type="dxa"/>
              <w:start w:w="120" w:type="dxa"/>
              <w:bottom w:w="80" w:type="dxa"/>
              <w:end w:w="120" w:type="dxa"/>
            </w:tcMar>
            <w:vAlign w:val="center"/>
          </w:tcPr>
          <w:p>
            <w:pPr>
              <w:spacing w:after="20"/>
              <w:jc w:val="center"/>
            </w:pPr>
            <w:r>
              <w:rPr>
                <w:rFonts w:ascii="Calibri" w:hAnsi="Calibri"/>
                <w:color w:val="0B2545"/>
                <w:sz w:val="19"/>
              </w:rPr>
              <w:t>SET</w:t>
            </w:r>
          </w:p>
        </w:tc>
      </w:tr>
      <w:tr>
        <w:tc>
          <w:tcPr>
            <w:tcW w:type="dxa" w:w="1900"/>
            <w:tcMar>
              <w:top w:w="80" w:type="dxa"/>
              <w:start w:w="120" w:type="dxa"/>
              <w:bottom w:w="80" w:type="dxa"/>
              <w:end w:w="120" w:type="dxa"/>
            </w:tcMar>
            <w:vAlign w:val="center"/>
          </w:tcPr>
          <w:p>
            <w:pPr>
              <w:spacing w:after="20"/>
              <w:jc w:val="center"/>
            </w:pPr>
            <w:r>
              <w:rPr>
                <w:rFonts w:ascii="Calibri" w:hAnsi="Calibri"/>
                <w:color w:val="0B2545"/>
                <w:sz w:val="19"/>
              </w:rPr>
              <w:t>GND</w:t>
            </w:r>
          </w:p>
        </w:tc>
        <w:tc>
          <w:tcPr>
            <w:tcW w:type="dxa" w:w="1450"/>
            <w:tcMar>
              <w:top w:w="80" w:type="dxa"/>
              <w:start w:w="120" w:type="dxa"/>
              <w:bottom w:w="80" w:type="dxa"/>
              <w:end w:w="120" w:type="dxa"/>
            </w:tcMar>
            <w:vAlign w:val="center"/>
          </w:tcPr>
          <w:p>
            <w:pPr>
              <w:spacing w:after="20"/>
              <w:jc w:val="center"/>
            </w:pPr>
            <w:r>
              <w:rPr>
                <w:rFonts w:ascii="Calibri" w:hAnsi="Calibri"/>
                <w:color w:val="0B2545"/>
                <w:sz w:val="19"/>
              </w:rPr>
              <w:t>GND</w:t>
            </w:r>
          </w:p>
        </w:tc>
        <w:tc>
          <w:tcPr>
            <w:tcW w:type="dxa" w:w="3350"/>
            <w:tcMar>
              <w:top w:w="80" w:type="dxa"/>
              <w:start w:w="120" w:type="dxa"/>
              <w:bottom w:w="80" w:type="dxa"/>
              <w:end w:w="120" w:type="dxa"/>
            </w:tcMar>
            <w:vAlign w:val="center"/>
          </w:tcPr>
          <w:p>
            <w:pPr>
              <w:spacing w:after="20"/>
              <w:jc w:val="left"/>
            </w:pPr>
            <w:r>
              <w:rPr>
                <w:rFonts w:ascii="Calibri" w:hAnsi="Calibri"/>
                <w:color w:val="0B2545"/>
                <w:sz w:val="19"/>
              </w:rPr>
              <w:t>Common electrical reference</w:t>
            </w:r>
          </w:p>
        </w:tc>
        <w:tc>
          <w:tcPr>
            <w:tcW w:type="dxa" w:w="2660"/>
            <w:tcMar>
              <w:top w:w="80" w:type="dxa"/>
              <w:start w:w="120" w:type="dxa"/>
              <w:bottom w:w="80" w:type="dxa"/>
              <w:end w:w="120" w:type="dxa"/>
            </w:tcMar>
            <w:vAlign w:val="center"/>
          </w:tcPr>
          <w:p>
            <w:pPr>
              <w:spacing w:after="20"/>
              <w:jc w:val="center"/>
            </w:pPr>
            <w:r>
              <w:rPr>
                <w:rFonts w:ascii="Calibri" w:hAnsi="Calibri"/>
                <w:color w:val="0B2545"/>
                <w:sz w:val="19"/>
              </w:rPr>
              <w:t>GND</w:t>
            </w:r>
          </w:p>
        </w:tc>
      </w:tr>
    </w:tbl>
    <w:p>
      <w:pPr>
        <w:spacing w:after="20"/>
      </w:pPr>
    </w:p>
    <w:p>
      <w:pPr>
        <w:spacing w:before="80" w:after="200" w:line="276" w:lineRule="auto"/>
        <w:ind w:left="72" w:right="72"/>
        <w:shd w:fill="F4F6F9"/>
        <w:pBdr>
          <w:left w:val="single" w:sz="18" w:space="8" w:color="7A5A00"/>
        </w:pBdr>
      </w:pPr>
      <w:r>
        <w:rPr>
          <w:rFonts w:ascii="Calibri" w:hAnsi="Calibri"/>
          <w:b/>
          <w:color w:val="7A5A00"/>
          <w:sz w:val="21"/>
        </w:rPr>
        <w:t xml:space="preserve">ASSUMPTION  </w:t>
      </w:r>
      <w:r>
        <w:rPr>
          <w:rFonts w:ascii="Calibri" w:hAnsi="Calibri"/>
          <w:color w:val="0B2545"/>
          <w:sz w:val="21"/>
        </w:rPr>
        <w:t>Both HC-12 modules must use the same radio channel, baud rate, and operating mode. A common ground connection is required.</w:t>
      </w:r>
    </w:p>
    <w:p>
      <w:pPr>
        <w:pStyle w:val="Heading1"/>
        <w:keepNext/>
      </w:pPr>
      <w:r>
        <w:t>3. Changes Made to the Sender Program</w:t>
      </w:r>
    </w:p>
    <w:p>
      <w:pPr>
        <w:pStyle w:val="Heading2"/>
        <w:keepNext/>
      </w:pPr>
      <w:r>
        <w:t>3.1 Standalone HC-12 test mode</w:t>
      </w:r>
    </w:p>
    <w:p>
      <w:pPr>
        <w:widowControl/>
        <w:spacing w:before="0" w:after="120" w:line="300" w:lineRule="auto"/>
      </w:pPr>
      <w:r>
        <w:rPr>
          <w:rFonts w:ascii="Calibri" w:hAnsi="Calibri"/>
          <w:i w:val="0"/>
          <w:sz w:val="22"/>
        </w:rPr>
        <w:t>I added a configuration flag that allows the radio link to be tested without connecting any of the original sensors. The flag is enabled in the test version:</w:t>
      </w:r>
    </w:p>
    <w:p>
      <w:pPr>
        <w:spacing w:before="60" w:after="160" w:line="252" w:lineRule="auto"/>
        <w:ind w:left="259" w:right="144"/>
        <w:shd w:fill="F4F6F9"/>
        <w:pBdr>
          <w:left w:val="single" w:sz="18" w:space="8" w:color="2E74B5"/>
        </w:pBdr>
      </w:pPr>
      <w:r>
        <w:rPr>
          <w:rFonts w:ascii="Consolas" w:hAnsi="Consolas"/>
          <w:color w:val="0B2545"/>
          <w:sz w:val="18"/>
        </w:rPr>
        <w:t>HC12_TEST_MODE = True</w:t>
      </w:r>
    </w:p>
    <w:p>
      <w:pPr>
        <w:widowControl/>
        <w:spacing w:before="0" w:after="120" w:line="300" w:lineRule="auto"/>
      </w:pPr>
      <w:r>
        <w:rPr>
          <w:rFonts w:ascii="Calibri" w:hAnsi="Calibri"/>
          <w:i w:val="0"/>
          <w:sz w:val="22"/>
        </w:rPr>
        <w:t>When this flag is True, the program enters the HC-12 transmission loop before reaching the original BME280, VEML7700, DHT22, AHT21, ENS160, or microphone branches. All original sensor branches remain in the file.</w:t>
      </w:r>
    </w:p>
    <w:p>
      <w:pPr>
        <w:pStyle w:val="Heading2"/>
        <w:keepNext/>
      </w:pPr>
      <w:r>
        <w:t>3.2 UART and HC-12 control setup</w:t>
      </w:r>
    </w:p>
    <w:p>
      <w:pPr>
        <w:widowControl/>
        <w:spacing w:before="0" w:after="120" w:line="300" w:lineRule="auto"/>
      </w:pPr>
      <w:r>
        <w:rPr>
          <w:rFonts w:ascii="Calibri" w:hAnsi="Calibri"/>
          <w:i w:val="0"/>
          <w:sz w:val="22"/>
        </w:rPr>
        <w:t>I added UART0 configuration for GP12 and GP13 and configured GP28 as the HC-12 SET control. The SET output is driven HIGH for transparent data transmission.</w:t>
      </w:r>
    </w:p>
    <w:p>
      <w:pPr>
        <w:spacing w:before="60" w:after="160" w:line="252" w:lineRule="auto"/>
        <w:ind w:left="259" w:right="144"/>
        <w:shd w:fill="F4F6F9"/>
        <w:pBdr>
          <w:left w:val="single" w:sz="18" w:space="8" w:color="2E74B5"/>
        </w:pBdr>
      </w:pPr>
      <w:r>
        <w:rPr>
          <w:rFonts w:ascii="Consolas" w:hAnsi="Consolas"/>
          <w:color w:val="0B2545"/>
          <w:sz w:val="18"/>
        </w:rPr>
        <w:t>HC12_TX_PIN = 12</w:t>
        <w:br/>
        <w:t>HC12_RX_PIN = 13</w:t>
        <w:br/>
        <w:t>HC12_SET_PIN = 28</w:t>
        <w:br/>
        <w:t>hc12 = machine.UART(0, baudrate=9600, tx=Pin(12), rx=Pin(13),</w:t>
        <w:br/>
        <w:t xml:space="preserve">                    bits=8, parity=None, stop=1)</w:t>
      </w:r>
    </w:p>
    <w:p>
      <w:pPr>
        <w:pStyle w:val="Heading2"/>
        <w:keepNext/>
      </w:pPr>
      <w:r>
        <w:t>3.3 Test data packing</w:t>
      </w:r>
    </w:p>
    <w:p>
      <w:pPr>
        <w:widowControl/>
        <w:spacing w:before="0" w:after="120" w:line="300" w:lineRule="auto"/>
      </w:pPr>
      <w:r>
        <w:rPr>
          <w:rFonts w:ascii="Calibri" w:hAnsi="Calibri"/>
          <w:i w:val="0"/>
          <w:sz w:val="22"/>
        </w:rPr>
        <w:t>I added build_test_payload() and build_test_packet() functions. Each packet contains realistic test values for every field already used by the receiver dashboard, including temperatures, humidity, pressure, light, weight, GPS, solar power, sound level, sound frequency, date, and time.</w:t>
      </w:r>
    </w:p>
    <w:p>
      <w:pPr>
        <w:spacing w:before="60" w:after="160" w:line="252" w:lineRule="auto"/>
        <w:ind w:left="259" w:right="144"/>
        <w:shd w:fill="F4F6F9"/>
        <w:pBdr>
          <w:left w:val="single" w:sz="18" w:space="8" w:color="2E74B5"/>
        </w:pBdr>
      </w:pPr>
      <w:r>
        <w:rPr>
          <w:rFonts w:ascii="Consolas" w:hAnsi="Consolas"/>
          <w:color w:val="0B2545"/>
          <w:sz w:val="18"/>
        </w:rPr>
        <w:t>TYPE=TEST,SEQ=00007,TEMP_OUT=23.6,TEMP_HIVE=34.8,HUM=58.2,...,</w:t>
        <w:br/>
        <w:t>TIME=12:00:07,CRC=D7B0\n</w:t>
      </w:r>
    </w:p>
    <w:p>
      <w:pPr>
        <w:widowControl/>
        <w:spacing w:before="0" w:after="120" w:line="300" w:lineRule="auto"/>
      </w:pPr>
      <w:r>
        <w:rPr>
          <w:rFonts w:ascii="Calibri" w:hAnsi="Calibri"/>
          <w:i w:val="0"/>
          <w:sz w:val="22"/>
        </w:rPr>
        <w:t>The final newline character is the packet boundary. It allows the receiver to determine where one complete packet ends, even if UART delivers the bytes in several smaller chunks.</w:t>
      </w:r>
    </w:p>
    <w:p>
      <w:pPr>
        <w:pStyle w:val="Heading2"/>
        <w:keepNext/>
      </w:pPr>
      <w:r>
        <w:t>3.4 CRC-16 error detection</w:t>
      </w:r>
    </w:p>
    <w:p>
      <w:pPr>
        <w:widowControl/>
        <w:spacing w:before="0" w:after="120" w:line="300" w:lineRule="auto"/>
      </w:pPr>
      <w:r>
        <w:rPr>
          <w:rFonts w:ascii="Calibri" w:hAnsi="Calibri"/>
          <w:i w:val="0"/>
          <w:sz w:val="22"/>
        </w:rPr>
        <w:t>I implemented CRC-16/CCITT-FALSE using initial value 0xFFFF and polynomial 0x1021. The CRC is calculated over the full payload before the ',CRC=' field. This allows the receiver to reject a packet if any protected byte changes during transmission.</w:t>
      </w:r>
    </w:p>
    <w:p>
      <w:pPr>
        <w:pStyle w:val="Heading2"/>
        <w:keepNext/>
      </w:pPr>
      <w:r>
        <w:t>3.5 Sequence numbering and repeated transmission</w:t>
      </w:r>
    </w:p>
    <w:p>
      <w:pPr>
        <w:widowControl/>
        <w:spacing w:before="0" w:after="120" w:line="300" w:lineRule="auto"/>
      </w:pPr>
      <w:r>
        <w:rPr>
          <w:rFonts w:ascii="Calibri" w:hAnsi="Calibri"/>
          <w:i w:val="0"/>
          <w:sz w:val="22"/>
        </w:rPr>
        <w:t>A 16-bit sequence number begins at zero, increases after every transmission, and wraps after 65535. The sender transmits one packet every two seconds and prints the sequence number, checksum, and number of bytes written. The sequence number enables the receiver to detect duplicate or missing packets.</w:t>
      </w:r>
    </w:p>
    <w:p>
      <w:pPr>
        <w:pStyle w:val="Heading2"/>
        <w:keepNext/>
      </w:pPr>
      <w:r>
        <w:t>3.6 Optional OLED handling</w:t>
      </w:r>
    </w:p>
    <w:p>
      <w:pPr>
        <w:widowControl/>
        <w:spacing w:before="0" w:after="120" w:line="300" w:lineRule="auto"/>
      </w:pPr>
      <w:r>
        <w:rPr>
          <w:rFonts w:ascii="Calibri" w:hAnsi="Calibri"/>
          <w:i w:val="0"/>
          <w:sz w:val="22"/>
        </w:rPr>
        <w:t>The first test stopped with OSError: [Errno 19] ENODEV because the SH1106 OLED was not present at I2C address 0x3C. I added a NoDisplay fallback and wrapped OLED initialisation in try/except. If no display responds, the program prints a warning and continues the HC-12 test. If the OLED is connected, the original display behaviour remains available.</w:t>
      </w:r>
    </w:p>
    <w:p>
      <w:pPr>
        <w:pStyle w:val="Heading2"/>
        <w:keepNext/>
      </w:pPr>
      <w:r>
        <w:t>3.7 Original microphone syntax correction</w:t>
      </w:r>
    </w:p>
    <w:p>
      <w:pPr>
        <w:widowControl/>
        <w:spacing w:before="0" w:after="120" w:line="300" w:lineRule="auto"/>
      </w:pPr>
      <w:r>
        <w:rPr>
          <w:rFonts w:ascii="Calibri" w:hAnsi="Calibri"/>
          <w:i w:val="0"/>
          <w:sz w:val="22"/>
        </w:rPr>
        <w:t>The original microphone branch used an unparenthesised generator expression as the second argument to array.array(). Python parses the entire file before execution, so this prevented every mode from starting. I added the required parentheses:</w:t>
      </w:r>
    </w:p>
    <w:p>
      <w:pPr>
        <w:spacing w:before="60" w:after="160" w:line="252" w:lineRule="auto"/>
        <w:ind w:left="259" w:right="144"/>
        <w:shd w:fill="F4F6F9"/>
        <w:pBdr>
          <w:left w:val="single" w:sz="18" w:space="8" w:color="2E74B5"/>
        </w:pBdr>
      </w:pPr>
      <w:r>
        <w:rPr>
          <w:rFonts w:ascii="Consolas" w:hAnsi="Consolas"/>
          <w:color w:val="0B2545"/>
          <w:sz w:val="18"/>
        </w:rPr>
        <w:t>sample_buf = array.array("H", (0 for _ in range(samples)))</w:t>
      </w:r>
    </w:p>
    <w:p>
      <w:pPr>
        <w:pStyle w:val="Heading1"/>
        <w:keepNext/>
      </w:pPr>
      <w:r>
        <w:t>4. Changes Made to the Receiver Program</w:t>
      </w:r>
    </w:p>
    <w:p>
      <w:pPr>
        <w:pStyle w:val="Heading2"/>
        <w:keepNext/>
      </w:pPr>
      <w:r>
        <w:t>4.1 Original receiver retained</w:t>
      </w:r>
    </w:p>
    <w:p>
      <w:pPr>
        <w:widowControl/>
        <w:spacing w:before="0" w:after="120" w:line="300" w:lineRule="auto"/>
      </w:pPr>
      <w:r>
        <w:rPr>
          <w:rFonts w:ascii="Calibri" w:hAnsi="Calibri"/>
          <w:i w:val="0"/>
          <w:sz w:val="22"/>
        </w:rPr>
        <w:t>The original process_hc12_data() function, Wi-Fi access point, dashboard webpage, RTC functions, sensor variables, and display code were retained. I added a separate checked receiver rather than removing the original parser.</w:t>
      </w:r>
    </w:p>
    <w:p>
      <w:pPr>
        <w:pStyle w:val="Heading2"/>
        <w:keepNext/>
      </w:pPr>
      <w:r>
        <w:t>4.2 UART receive buffer and packet framing</w:t>
      </w:r>
    </w:p>
    <w:p>
      <w:pPr>
        <w:widowControl/>
        <w:spacing w:before="0" w:after="120" w:line="300" w:lineRule="auto"/>
      </w:pPr>
      <w:r>
        <w:rPr>
          <w:rFonts w:ascii="Calibri" w:hAnsi="Calibri"/>
          <w:i w:val="0"/>
          <w:sz w:val="22"/>
        </w:rPr>
        <w:t>I added hc12_rx_buffer and process_hc12_data_checked(). Incoming bytes are accumulated until a newline is received. This prevents a 225-byte packet from being misinterpreted when the UART supplies only part of it during one main-loop iteration. A 2048-byte safety limit resets malformed input that never contains a newline.</w:t>
      </w:r>
    </w:p>
    <w:p>
      <w:pPr>
        <w:pStyle w:val="Heading2"/>
        <w:keepNext/>
      </w:pPr>
      <w:r>
        <w:t>4.3 CRC validation</w:t>
      </w:r>
    </w:p>
    <w:p>
      <w:pPr>
        <w:widowControl/>
        <w:spacing w:before="0" w:after="120" w:line="300" w:lineRule="auto"/>
      </w:pPr>
      <w:r>
        <w:rPr>
          <w:rFonts w:ascii="Calibri" w:hAnsi="Calibri"/>
          <w:i w:val="0"/>
          <w:sz w:val="22"/>
        </w:rPr>
        <w:t>The receiver separates the payload from the final CRC field, recalculates CRC-16/CCITT-FALSE, and compares the two values. Packets with a missing or mismatched CRC are rejected before dashboard variables are changed.</w:t>
      </w:r>
    </w:p>
    <w:p>
      <w:pPr>
        <w:pStyle w:val="Heading2"/>
        <w:keepNext/>
      </w:pPr>
      <w:r>
        <w:t>4.4 Sequence and delivery checks</w:t>
      </w:r>
    </w:p>
    <w:p>
      <w:pPr>
        <w:widowControl/>
        <w:spacing w:before="0" w:after="120" w:line="300" w:lineRule="auto"/>
      </w:pPr>
      <w:r>
        <w:rPr>
          <w:rFonts w:ascii="Calibri" w:hAnsi="Calibri"/>
          <w:i w:val="0"/>
          <w:sz w:val="22"/>
        </w:rPr>
        <w:t>The receiver records the last accepted sequence number and maintains counters for valid packets, bad CRC packets, missing packets, and duplicate packets. Duplicate packets are ignored. A sequence gap produces a warning and increments the missing-packet count.</w:t>
      </w:r>
    </w:p>
    <w:p>
      <w:pPr>
        <w:pStyle w:val="Heading2"/>
        <w:keepNext/>
      </w:pPr>
      <w:r>
        <w:t>4.5 Safe sensor-field update</w:t>
      </w:r>
    </w:p>
    <w:p>
      <w:pPr>
        <w:widowControl/>
        <w:spacing w:before="0" w:after="120" w:line="300" w:lineRule="auto"/>
      </w:pPr>
      <w:r>
        <w:rPr>
          <w:rFonts w:ascii="Calibri" w:hAnsi="Calibri"/>
          <w:i w:val="0"/>
          <w:sz w:val="22"/>
        </w:rPr>
        <w:t>All received values are first converted into temporary variables. The global dashboard values are updated only after every included numeric field has been converted successfully. This avoids partially updating the webpage from a malformed packet. GPS date and time continue to initialise the receiver RTC.</w:t>
      </w:r>
    </w:p>
    <w:p>
      <w:pPr>
        <w:pStyle w:val="Heading2"/>
        <w:keepNext/>
      </w:pPr>
      <w:r>
        <w:t>4.6 Main-loop selection</w:t>
      </w:r>
    </w:p>
    <w:p>
      <w:pPr>
        <w:widowControl/>
        <w:spacing w:before="0" w:after="120" w:line="300" w:lineRule="auto"/>
      </w:pPr>
      <w:r>
        <w:rPr>
          <w:rFonts w:ascii="Calibri" w:hAnsi="Calibri"/>
          <w:i w:val="0"/>
          <w:sz w:val="22"/>
        </w:rPr>
        <w:t>The receiver main loop was changed from the original parser to the checked parser:</w:t>
      </w:r>
    </w:p>
    <w:p>
      <w:pPr>
        <w:spacing w:before="60" w:after="160" w:line="252" w:lineRule="auto"/>
        <w:ind w:left="259" w:right="144"/>
        <w:shd w:fill="F4F6F9"/>
        <w:pBdr>
          <w:left w:val="single" w:sz="18" w:space="8" w:color="2E74B5"/>
        </w:pBdr>
      </w:pPr>
      <w:r>
        <w:rPr>
          <w:rFonts w:ascii="Consolas" w:hAnsi="Consolas"/>
          <w:color w:val="0B2545"/>
          <w:sz w:val="18"/>
        </w:rPr>
        <w:t># Original call</w:t>
        <w:br/>
        <w:t>process_hc12_data()</w:t>
        <w:br/>
        <w:br/>
        <w:t># Test-version call</w:t>
        <w:br/>
        <w:t>process_hc12_data_checked()</w:t>
      </w:r>
    </w:p>
    <w:p>
      <w:pPr>
        <w:pStyle w:val="Heading1"/>
        <w:keepNext/>
      </w:pPr>
      <w:r>
        <w:t>5. Test Result</w:t>
      </w:r>
    </w:p>
    <w:p>
      <w:pPr>
        <w:widowControl/>
        <w:spacing w:before="0" w:after="120" w:line="300" w:lineRule="auto"/>
      </w:pPr>
      <w:r>
        <w:rPr>
          <w:rFonts w:ascii="Calibri" w:hAnsi="Calibri"/>
          <w:i w:val="0"/>
          <w:sz w:val="22"/>
        </w:rPr>
        <w:t>The wireless communication test was successful. The sender transmitted a 225-byte text packet every two seconds. The receiver accepted packets with matching CRC values, identified their sequence numbers, updated the sensor variables, and displayed the test values on the existing dashboard.</w:t>
      </w:r>
    </w:p>
    <w:p>
      <w:pPr>
        <w:spacing w:before="80" w:after="200" w:line="276" w:lineRule="auto"/>
        <w:ind w:left="72" w:right="72"/>
        <w:shd w:fill="F4F6F9"/>
        <w:pBdr>
          <w:left w:val="single" w:sz="18" w:space="8" w:color="1F6D45"/>
        </w:pBdr>
      </w:pPr>
      <w:r>
        <w:rPr>
          <w:rFonts w:ascii="Calibri" w:hAnsi="Calibri"/>
          <w:b/>
          <w:color w:val="1F6D45"/>
          <w:sz w:val="21"/>
        </w:rPr>
        <w:t xml:space="preserve">VERIFIED  </w:t>
      </w:r>
      <w:r>
        <w:rPr>
          <w:rFonts w:ascii="Calibri" w:hAnsi="Calibri"/>
          <w:color w:val="0B2545"/>
          <w:sz w:val="21"/>
        </w:rPr>
        <w:t>The sender and receiver produced the same CRC for an unchanged payload. A simulated payload modification produced a different CRC and was rejected. Sequence gaps and duplicate packets were also detected.</w:t>
      </w:r>
    </w:p>
    <w:p>
      <w:pPr>
        <w:pStyle w:val="Heading1"/>
        <w:keepNext/>
      </w:pPr>
      <w:r>
        <w:t>6. How to Revert the Changes</w:t>
      </w:r>
    </w:p>
    <w:p>
      <w:pPr>
        <w:pStyle w:val="Heading2"/>
        <w:keepNext/>
      </w:pPr>
      <w:r>
        <w:t>6.1 Recommended: return to sensor testing without deleting code</w:t>
      </w:r>
    </w:p>
    <w:p>
      <w:pPr>
        <w:widowControl/>
        <w:spacing w:before="0" w:after="120" w:line="300" w:lineRule="auto"/>
      </w:pPr>
      <w:r>
        <w:rPr>
          <w:rFonts w:ascii="Calibri" w:hAnsi="Calibri"/>
          <w:i w:val="0"/>
          <w:sz w:val="22"/>
        </w:rPr>
        <w:t>This is the safest option because it preserves the successful communication work for future integration. In the sender program, change only:</w:t>
      </w:r>
    </w:p>
    <w:p>
      <w:pPr>
        <w:spacing w:before="60" w:after="160" w:line="252" w:lineRule="auto"/>
        <w:ind w:left="259" w:right="144"/>
        <w:shd w:fill="F4F6F9"/>
        <w:pBdr>
          <w:left w:val="single" w:sz="18" w:space="8" w:color="2E74B5"/>
        </w:pBdr>
      </w:pPr>
      <w:r>
        <w:rPr>
          <w:rFonts w:ascii="Consolas" w:hAnsi="Consolas"/>
          <w:color w:val="0B2545"/>
          <w:sz w:val="18"/>
        </w:rPr>
        <w:t>HC12_TEST_MODE = True</w:t>
        <w:br/>
        <w:t># change to</w:t>
        <w:br/>
        <w:t>HC12_TEST_MODE = False</w:t>
      </w:r>
    </w:p>
    <w:p>
      <w:pPr>
        <w:widowControl/>
        <w:spacing w:before="0" w:after="120" w:line="300" w:lineRule="auto"/>
      </w:pPr>
      <w:r>
        <w:rPr>
          <w:rFonts w:ascii="Calibri" w:hAnsi="Calibri"/>
          <w:i w:val="0"/>
          <w:sz w:val="22"/>
        </w:rPr>
        <w:t>The sender will then return to the original TEST_SENSOR selection. For example, TEST_SENSOR = "AHT21" runs the original AHT21 loop. The UART and packet functions remain defined but inactive.</w:t>
      </w:r>
    </w:p>
    <w:p>
      <w:pPr>
        <w:pStyle w:val="Heading2"/>
        <w:keepNext/>
      </w:pPr>
      <w:r>
        <w:t>6.2 Restore the receiver's original parser</w:t>
      </w:r>
    </w:p>
    <w:p>
      <w:pPr>
        <w:widowControl/>
        <w:spacing w:before="0" w:after="120" w:line="300" w:lineRule="auto"/>
      </w:pPr>
      <w:r>
        <w:rPr>
          <w:rFonts w:ascii="Calibri" w:hAnsi="Calibri"/>
          <w:i w:val="0"/>
          <w:sz w:val="22"/>
        </w:rPr>
        <w:t>In the receiver main loop, replace the checked call with the original call:</w:t>
      </w:r>
    </w:p>
    <w:p>
      <w:pPr>
        <w:spacing w:before="60" w:after="160" w:line="252" w:lineRule="auto"/>
        <w:ind w:left="259" w:right="144"/>
        <w:shd w:fill="F4F6F9"/>
        <w:pBdr>
          <w:left w:val="single" w:sz="18" w:space="8" w:color="2E74B5"/>
        </w:pBdr>
      </w:pPr>
      <w:r>
        <w:rPr>
          <w:rFonts w:ascii="Consolas" w:hAnsi="Consolas"/>
          <w:color w:val="0B2545"/>
          <w:sz w:val="18"/>
        </w:rPr>
        <w:t>process_hc12_data_checked()</w:t>
        <w:br/>
        <w:t># change back to</w:t>
        <w:br/>
        <w:t>process_hc12_data()</w:t>
      </w:r>
    </w:p>
    <w:p>
      <w:pPr>
        <w:widowControl/>
        <w:spacing w:before="0" w:after="120" w:line="300" w:lineRule="auto"/>
      </w:pPr>
      <w:r>
        <w:rPr>
          <w:rFonts w:ascii="Calibri" w:hAnsi="Calibri"/>
          <w:i w:val="0"/>
          <w:sz w:val="22"/>
        </w:rPr>
        <w:t>This immediately restores the teammate's original comma-separated field parser. The added CRC and buffering functions may remain in the file because they are not called.</w:t>
      </w:r>
    </w:p>
    <w:p>
      <w:pPr>
        <w:pStyle w:val="Heading2"/>
        <w:keepNext/>
      </w:pPr>
      <w:r>
        <w:t>6.3 Completely remove the sender additions</w:t>
      </w:r>
    </w:p>
    <w:p>
      <w:pPr>
        <w:widowControl/>
        <w:spacing w:before="0" w:after="120" w:line="300" w:lineRule="auto"/>
      </w:pPr>
      <w:r>
        <w:rPr>
          <w:rFonts w:ascii="Calibri" w:hAnsi="Calibri"/>
          <w:i w:val="0"/>
          <w:sz w:val="22"/>
        </w:rPr>
        <w:t>If an exact code cleanup is required, perform these steps:</w:t>
      </w:r>
    </w:p>
    <w:p>
      <w:pPr>
        <w:pStyle w:val="GuideNumber"/>
        <w:numPr>
          <w:ilvl w:val="0"/>
          <w:numId w:val="10"/>
        </w:numPr>
      </w:pPr>
      <w:r>
        <w:rPr>
          <w:rFonts w:ascii="Calibri" w:hAnsi="Calibri"/>
          <w:sz w:val="22"/>
        </w:rPr>
        <w:t>Remove HC12_TEST_MODE and the standalone HC-12 transmission loop.</w:t>
      </w:r>
    </w:p>
    <w:p>
      <w:pPr>
        <w:pStyle w:val="GuideNumber"/>
        <w:numPr>
          <w:ilvl w:val="0"/>
          <w:numId w:val="10"/>
        </w:numPr>
      </w:pPr>
      <w:r>
        <w:rPr>
          <w:rFonts w:ascii="Calibri" w:hAnsi="Calibri"/>
          <w:sz w:val="22"/>
        </w:rPr>
        <w:t>Remove the GP12/GP13/GP28 UART and SET setup added for the HC-12.</w:t>
      </w:r>
    </w:p>
    <w:p>
      <w:pPr>
        <w:pStyle w:val="GuideNumber"/>
        <w:numPr>
          <w:ilvl w:val="0"/>
          <w:numId w:val="10"/>
        </w:numPr>
      </w:pPr>
      <w:r>
        <w:rPr>
          <w:rFonts w:ascii="Calibri" w:hAnsi="Calibri"/>
          <w:sz w:val="22"/>
        </w:rPr>
        <w:t>Remove packet_sequence, crc16_ccitt(), build_test_payload(), build_test_packet(), and send_test_packet().</w:t>
      </w:r>
    </w:p>
    <w:p>
      <w:pPr>
        <w:pStyle w:val="GuideNumber"/>
        <w:numPr>
          <w:ilvl w:val="0"/>
          <w:numId w:val="10"/>
        </w:numPr>
      </w:pPr>
      <w:r>
        <w:rPr>
          <w:rFonts w:ascii="Calibri" w:hAnsi="Calibri"/>
          <w:sz w:val="22"/>
        </w:rPr>
        <w:t>Replace the optional OLED try/except and NoDisplay class with the teammate's original direct SH1106 initialisation only if an OLED is connected and responding at address 0x3C.</w:t>
      </w:r>
    </w:p>
    <w:p>
      <w:pPr>
        <w:pStyle w:val="GuideNumber"/>
        <w:numPr>
          <w:ilvl w:val="0"/>
          <w:numId w:val="10"/>
        </w:numPr>
      </w:pPr>
      <w:r>
        <w:rPr>
          <w:rFonts w:ascii="Calibri" w:hAnsi="Calibri"/>
          <w:sz w:val="22"/>
        </w:rPr>
        <w:t>Keep all original sensor branches and their TEST_SENSOR selection unchanged.</w:t>
      </w:r>
    </w:p>
    <w:p>
      <w:pPr>
        <w:pStyle w:val="Heading2"/>
        <w:keepNext/>
      </w:pPr>
      <w:r>
        <w:t>6.4 Completely remove the receiver additions</w:t>
      </w:r>
    </w:p>
    <w:p>
      <w:pPr>
        <w:widowControl/>
        <w:spacing w:before="0" w:after="120" w:line="300" w:lineRule="auto"/>
      </w:pPr>
      <w:r>
        <w:rPr>
          <w:rFonts w:ascii="Calibri" w:hAnsi="Calibri"/>
          <w:i w:val="0"/>
          <w:sz w:val="22"/>
        </w:rPr>
        <w:t>After restoring process_hc12_data() in the main loop, the following added items can be removed:</w:t>
      </w:r>
    </w:p>
    <w:p>
      <w:pPr>
        <w:pStyle w:val="GuideNumber"/>
        <w:numPr>
          <w:ilvl w:val="0"/>
          <w:numId w:val="11"/>
        </w:numPr>
      </w:pPr>
      <w:r>
        <w:rPr>
          <w:rFonts w:ascii="Calibri" w:hAnsi="Calibri"/>
          <w:sz w:val="22"/>
        </w:rPr>
        <w:t>hc12_rx_buffer and all packet-status counters.</w:t>
      </w:r>
    </w:p>
    <w:p>
      <w:pPr>
        <w:pStyle w:val="GuideNumber"/>
        <w:numPr>
          <w:ilvl w:val="0"/>
          <w:numId w:val="11"/>
        </w:numPr>
      </w:pPr>
      <w:r>
        <w:rPr>
          <w:rFonts w:ascii="Calibri" w:hAnsi="Calibri"/>
          <w:sz w:val="22"/>
        </w:rPr>
        <w:t>The added crc16_ccitt() function.</w:t>
      </w:r>
    </w:p>
    <w:p>
      <w:pPr>
        <w:pStyle w:val="GuideNumber"/>
        <w:numPr>
          <w:ilvl w:val="0"/>
          <w:numId w:val="11"/>
        </w:numPr>
      </w:pPr>
      <w:r>
        <w:rPr>
          <w:rFonts w:ascii="Calibri" w:hAnsi="Calibri"/>
          <w:sz w:val="22"/>
        </w:rPr>
        <w:t>process_checked_hc12_packet().</w:t>
      </w:r>
    </w:p>
    <w:p>
      <w:pPr>
        <w:pStyle w:val="GuideNumber"/>
        <w:numPr>
          <w:ilvl w:val="0"/>
          <w:numId w:val="11"/>
        </w:numPr>
      </w:pPr>
      <w:r>
        <w:rPr>
          <w:rFonts w:ascii="Calibri" w:hAnsi="Calibri"/>
          <w:sz w:val="22"/>
        </w:rPr>
        <w:t>process_hc12_data_checked().</w:t>
      </w:r>
    </w:p>
    <w:p>
      <w:pPr>
        <w:pStyle w:val="Heading2"/>
        <w:keepNext/>
      </w:pPr>
      <w:r>
        <w:t>6.5 Important syntax warning</w:t>
      </w:r>
    </w:p>
    <w:p>
      <w:pPr>
        <w:spacing w:before="80" w:after="200" w:line="276" w:lineRule="auto"/>
        <w:ind w:left="72" w:right="72"/>
        <w:shd w:fill="F4F6F9"/>
        <w:pBdr>
          <w:left w:val="single" w:sz="18" w:space="8" w:color="9B1C1C"/>
        </w:pBdr>
      </w:pPr>
      <w:r>
        <w:rPr>
          <w:rFonts w:ascii="Calibri" w:hAnsi="Calibri"/>
          <w:b/>
          <w:color w:val="9B1C1C"/>
          <w:sz w:val="21"/>
        </w:rPr>
        <w:t xml:space="preserve">DO NOT REINTRODUCE THE PARSE ERROR  </w:t>
      </w:r>
      <w:r>
        <w:rPr>
          <w:rFonts w:ascii="Calibri" w:hAnsi="Calibri"/>
          <w:color w:val="0B2545"/>
          <w:sz w:val="21"/>
        </w:rPr>
        <w:t>Even when restoring the teammate's original logic, keep the parentheses around the microphone generator expression. Removing them makes the entire sender file syntactically invalid.</w:t>
      </w:r>
    </w:p>
    <w:p>
      <w:pPr>
        <w:spacing w:before="60" w:after="160" w:line="252" w:lineRule="auto"/>
        <w:ind w:left="259" w:right="144"/>
        <w:shd w:fill="F4F6F9"/>
        <w:pBdr>
          <w:left w:val="single" w:sz="18" w:space="8" w:color="2E74B5"/>
        </w:pBdr>
      </w:pPr>
      <w:r>
        <w:rPr>
          <w:rFonts w:ascii="Consolas" w:hAnsi="Consolas"/>
          <w:color w:val="0B2545"/>
          <w:sz w:val="18"/>
        </w:rPr>
        <w:t># Keep this corrected form</w:t>
        <w:br/>
        <w:t>array.array("H", (0 for _ in range(samples)))</w:t>
      </w:r>
    </w:p>
    <w:p>
      <w:pPr>
        <w:pStyle w:val="Heading2"/>
        <w:keepNext/>
      </w:pPr>
      <w:r>
        <w:t>6.6 Restore fail-fast OLED behaviour only if required</w:t>
      </w:r>
    </w:p>
    <w:p>
      <w:pPr>
        <w:widowControl/>
        <w:spacing w:before="0" w:after="120" w:line="300" w:lineRule="auto"/>
      </w:pPr>
      <w:r>
        <w:rPr>
          <w:rFonts w:ascii="Calibri" w:hAnsi="Calibri"/>
          <w:i w:val="0"/>
          <w:sz w:val="22"/>
        </w:rPr>
        <w:t>The original sender stopped immediately if the OLED was missing. To reproduce that behaviour, remove the NoDisplay fallback and restore direct SH1106_I2C construction. This is not recommended for HC-12-only testing because a disconnected display would again prevent radio transmission.</w:t>
      </w:r>
    </w:p>
    <w:p>
      <w:pPr>
        <w:pStyle w:val="Heading1"/>
        <w:keepNext/>
      </w:pPr>
      <w:r>
        <w:t>7. Recommended Team Handover</w:t>
      </w:r>
    </w:p>
    <w:p>
      <w:pPr>
        <w:widowControl/>
        <w:spacing w:before="0" w:after="120" w:line="300" w:lineRule="auto"/>
      </w:pPr>
      <w:r>
        <w:rPr>
          <w:rFonts w:ascii="Calibri" w:hAnsi="Calibri"/>
          <w:i w:val="0"/>
          <w:sz w:val="22"/>
        </w:rPr>
        <w:t>Keep the enhanced sender and receiver files as the communication-test versions and retain the teammates' original files separately. Use HC12_TEST_MODE = False when returning to sensor development, and switch the receiver main-loop call only when the original unvalidated packet format is specifically required. This preserves a working rollback path without losing the successful CRC and sequence-number implementation.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Page </w:t>
    </w:r>
    <w:r>
      <w:rPr>
        <w:rFonts w:ascii="Calibri" w:hAnsi="Calibri"/>
        <w:color w:val="5B6573"/>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color w:val="5B6573"/>
        <w:sz w:val="17"/>
      </w:rPr>
      <w:t>BEEHIVE MONITORING PROJECT</w:t>
    </w:r>
    <w:r>
      <w:rPr>
        <w:rFonts w:ascii="Calibri" w:hAnsi="Calibri"/>
        <w:color w:val="5B6573"/>
        <w:sz w:val="17"/>
      </w:rPr>
      <w:tab/>
      <w:t>HC-12 CODE CHANGE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0">
    <w:abstractNumId w:val="10"/>
  </w:num>
  <w:abstractNum w:abstractNumId="11">
    <w:multiLevelType w:val="singleLevel"/>
    <w:lvl w:ilvl="0">
      <w:start w:val="1"/>
      <w:numFmt w:val="decimal"/>
      <w:lvlText w:val="%1."/>
      <w:suff w:val="tab"/>
      <w:pPr>
        <w:tabs>
          <w:tab w:val="num" w:pos="540"/>
        </w:tabs>
        <w:ind w:left="540" w:hanging="270"/>
        <w:spacing w:after="80" w:line="300" w:lineRule="auto"/>
      </w:pPr>
    </w:lvl>
  </w:abstract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
    <w:name w:val="Guide Number"/>
    <w:pPr>
      <w:widowControl/>
      <w:spacing w:before="0" w:after="80" w:line="300" w:lineRule="auto"/>
    </w:pPr>
    <w:rPr>
      <w:rFonts w:ascii="Calibri" w:hAnsi="Calibri"/>
      <w:color w:val="0B2545"/>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HC-12 Code Modification and Reversion Guide</dc:title>
  <dc:subject>Beehive monitoring system Pico sender and receiver change record</dc:subject>
  <dc:creator>Beehive Monitoring Project Team</dc:creator>
  <cp:keywords>HC-12, Raspberry Pi Pico, MicroPython, CRC, UART, beehive</cp:keywords>
  <dc:description>generated by python-docx</dc:description>
  <cp:lastModifiedBy/>
  <cp:revision>1</cp:revision>
  <dcterms:created xsi:type="dcterms:W3CDTF">2013-12-23T23:15:00Z</dcterms:created>
  <dcterms:modified xsi:type="dcterms:W3CDTF">2013-12-23T23:15:00Z</dcterms:modified>
  <cp:category/>
</cp:coreProperties>
</file>