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r>
        <w:rPr>
          <w:rFonts w:ascii="Arial" w:cs="Arial" w:eastAsia="Arial" w:hAnsi="Arial"/>
          <w:sz w:val="22"/>
          <w:szCs w:val="22"/>
        </w:rPr>
        <w:t xml:space="preserve"> </w:t>
      </w:r>
    </w:p>
    <w:p>
      <w:pPr>
        <w:shd w:fill="1A1D2E" w:val="clear"/>
        <w:spacing w:before="0" w:after="0"/>
        <w:ind w:left="-1440" w:right="-1440"/>
        <w:jc w:val="center"/>
      </w:pPr>
      <w:r>
        <w:rPr>
          <w:rFonts w:ascii="Arial" w:cs="Arial" w:eastAsia="Arial" w:hAnsi="Arial"/>
          <w:sz w:val="4"/>
          <w:szCs w:val="4"/>
        </w:rPr>
        <w:t xml:space="preserve"/>
      </w:r>
    </w:p>
    <w:p>
      <w:pPr>
        <w:spacing w:before="480" w:after="120"/>
        <w:jc w:val="center"/>
      </w:pPr>
      <w:r>
        <w:rPr>
          <w:rFonts w:ascii="Arial" w:cs="Arial" w:eastAsia="Arial" w:hAnsi="Arial"/>
          <w:b/>
          <w:bCs/>
          <w:caps/>
          <w:color w:val="1A1D2E"/>
          <w:sz w:val="56"/>
          <w:szCs w:val="56"/>
        </w:rPr>
        <w:t xml:space="preserve">NFL ANALYTICS DASHBOARD</w:t>
      </w:r>
    </w:p>
    <w:p>
      <w:pPr>
        <w:spacing w:after="80"/>
        <w:jc w:val="center"/>
      </w:pPr>
      <w:r>
        <w:rPr>
          <w:rFonts w:ascii="Arial" w:cs="Arial" w:eastAsia="Arial" w:hAnsi="Arial"/>
          <w:b/>
          <w:bCs/>
          <w:color w:val="F59E0B"/>
          <w:sz w:val="36"/>
          <w:szCs w:val="36"/>
        </w:rPr>
        <w:t xml:space="preserve">2026 Fantasy Predictions Model</w:t>
      </w:r>
    </w:p>
    <w:p>
      <w:pPr>
        <w:spacing w:after="480"/>
        <w:jc w:val="center"/>
      </w:pPr>
      <w:r>
        <w:rPr>
          <w:rFonts w:ascii="Arial" w:cs="Arial" w:eastAsia="Arial" w:hAnsi="Arial"/>
          <w:i/>
          <w:iCs/>
          <w:color w:val="6B7280"/>
          <w:sz w:val="28"/>
          <w:szCs w:val="28"/>
        </w:rPr>
        <w:t xml:space="preserve">Technical Report &amp; Methodology</w:t>
      </w:r>
    </w:p>
    <w:p>
      <w:pPr>
        <w:pBdr>
          <w:bottom w:val="single" w:color="F59E0B" w:sz="12" w:space="1"/>
        </w:pBdr>
        <w:spacing w:after="480"/>
      </w:pPr>
      <w:r>
        <w:rPr>
          <w:rFonts w:ascii="Arial" w:cs="Arial" w:eastAsia="Arial" w:hAnsi="Arial"/>
          <w:sz w:val="22"/>
          <w:szCs w:val="22"/>
        </w:rPr>
        <w:t xml:space="preserve"> </w:t>
      </w:r>
    </w:p>
    <w:p>
      <w:pPr>
        <w:spacing w:after="24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EEEEE" w:sz="4"/>
              <w:left w:val="single" w:color="EEEEEE" w:sz="4"/>
              <w:bottom w:val="single" w:color="EEEEEE" w:sz="4"/>
              <w:right w:val="single" w:color="EEEEEE" w:sz="4"/>
            </w:tcBorders>
            <w:shd w:fill="F3F4F6" w:val="clear"/>
            <w:tcMar>
              <w:top w:type="dxa" w:w="160"/>
              <w:left w:type="dxa" w:w="200"/>
              <w:bottom w:type="dxa" w:w="160"/>
              <w:right w:type="dxa" w:w="200"/>
            </w:tcMar>
          </w:tcPr>
          <w:p>
            <w:pPr>
              <w:spacing w:after="80"/>
              <w:jc w:val="center"/>
            </w:pPr>
            <w:r>
              <w:rPr>
                <w:rFonts w:ascii="Arial" w:cs="Arial" w:eastAsia="Arial" w:hAnsi="Arial"/>
                <w:b/>
                <w:bCs/>
                <w:caps/>
                <w:color w:val="6B7280"/>
                <w:sz w:val="18"/>
                <w:szCs w:val="18"/>
              </w:rPr>
              <w:t xml:space="preserve">Prepared By</w:t>
            </w:r>
          </w:p>
          <w:p>
            <w:pPr>
              <w:spacing w:after="40"/>
              <w:jc w:val="center"/>
            </w:pPr>
            <w:r>
              <w:rPr>
                <w:rFonts w:ascii="Arial" w:cs="Arial" w:eastAsia="Arial" w:hAnsi="Arial"/>
                <w:b/>
                <w:bCs/>
                <w:color w:val="1A1D2E"/>
                <w:sz w:val="22"/>
                <w:szCs w:val="22"/>
              </w:rPr>
              <w:t xml:space="preserve">Data Scientist</w:t>
            </w:r>
          </w:p>
          <w:p>
            <w:pPr>
              <w:spacing w:after="40"/>
              <w:jc w:val="center"/>
            </w:pPr>
            <w:r>
              <w:rPr>
                <w:rFonts w:ascii="Arial" w:cs="Arial" w:eastAsia="Arial" w:hAnsi="Arial"/>
                <w:b/>
                <w:bCs/>
                <w:color w:val="1A1D2E"/>
                <w:sz w:val="22"/>
                <w:szCs w:val="22"/>
              </w:rPr>
              <w:t xml:space="preserve">NFL Expert Agent</w:t>
            </w:r>
          </w:p>
          <w:p>
            <w:pPr>
              <w:spacing w:after="0"/>
              <w:jc w:val="center"/>
            </w:pPr>
            <w:r>
              <w:rPr>
                <w:rFonts w:ascii="Arial" w:cs="Arial" w:eastAsia="Arial" w:hAnsi="Arial"/>
                <w:b/>
                <w:bCs/>
                <w:color w:val="1A1D2E"/>
                <w:sz w:val="22"/>
                <w:szCs w:val="22"/>
              </w:rPr>
              <w:t xml:space="preserve">Project Manager</w:t>
            </w:r>
          </w:p>
        </w:tc>
        <w:tc>
          <w:tcPr>
            <w:tcW w:type="dxa" w:w="4680"/>
            <w:tcBorders>
              <w:top w:val="single" w:color="EEEEEE" w:sz="4"/>
              <w:left w:val="single" w:color="EEEEEE" w:sz="4"/>
              <w:bottom w:val="single" w:color="EEEEEE" w:sz="4"/>
              <w:right w:val="single" w:color="EEEEEE" w:sz="4"/>
            </w:tcBorders>
            <w:shd w:fill="F3F4F6" w:val="clear"/>
            <w:tcMar>
              <w:top w:type="dxa" w:w="160"/>
              <w:left w:type="dxa" w:w="200"/>
              <w:bottom w:type="dxa" w:w="160"/>
              <w:right w:type="dxa" w:w="200"/>
            </w:tcMar>
          </w:tcPr>
          <w:p>
            <w:pPr>
              <w:spacing w:after="80"/>
              <w:jc w:val="center"/>
            </w:pPr>
            <w:r>
              <w:rPr>
                <w:rFonts w:ascii="Arial" w:cs="Arial" w:eastAsia="Arial" w:hAnsi="Arial"/>
                <w:b/>
                <w:bCs/>
                <w:caps/>
                <w:color w:val="6B7280"/>
                <w:sz w:val="18"/>
                <w:szCs w:val="18"/>
              </w:rPr>
              <w:t xml:space="preserve">Report Date</w:t>
            </w:r>
          </w:p>
          <w:p>
            <w:pPr>
              <w:spacing w:after="40"/>
              <w:jc w:val="center"/>
            </w:pPr>
            <w:r>
              <w:rPr>
                <w:rFonts w:ascii="Arial" w:cs="Arial" w:eastAsia="Arial" w:hAnsi="Arial"/>
                <w:b/>
                <w:bCs/>
                <w:color w:val="1A1D2E"/>
                <w:sz w:val="22"/>
                <w:szCs w:val="22"/>
              </w:rPr>
              <w:t xml:space="preserve">March 2026</w:t>
            </w:r>
          </w:p>
          <w:p>
            <w:pPr>
              <w:spacing w:after="40"/>
              <w:jc w:val="center"/>
            </w:pPr>
            <w:r>
              <w:rPr>
                <w:rFonts w:ascii="Arial" w:cs="Arial" w:eastAsia="Arial" w:hAnsi="Arial"/>
                <w:b/>
                <w:bCs/>
                <w:caps/>
                <w:color w:val="6B7280"/>
                <w:sz w:val="18"/>
                <w:szCs w:val="18"/>
              </w:rPr>
              <w:t xml:space="preserve">Version</w:t>
            </w:r>
          </w:p>
          <w:p>
            <w:pPr>
              <w:spacing w:after="0"/>
              <w:jc w:val="center"/>
            </w:pPr>
            <w:r>
              <w:rPr>
                <w:rFonts w:ascii="Arial" w:cs="Arial" w:eastAsia="Arial" w:hAnsi="Arial"/>
                <w:b/>
                <w:bCs/>
                <w:color w:val="1A1D2E"/>
                <w:sz w:val="22"/>
                <w:szCs w:val="22"/>
              </w:rPr>
              <w:t xml:space="preserve">2.0 (Expert Overlay)</w:t>
            </w:r>
          </w:p>
        </w:tc>
      </w:tr>
    </w:tbl>
    <w:p>
      <w:r>
        <w:br w:type="page"/>
      </w:r>
    </w:p>
    <w:p>
      <w:pPr>
        <w:pStyle w:val="Heading1"/>
        <w:shd w:fill="1A1D2E" w:val="clear"/>
        <w:spacing w:before="360" w:after="200"/>
        <w:ind w:left="240" w:right="240"/>
      </w:pPr>
      <w:r>
        <w:rPr>
          <w:rFonts w:ascii="Arial" w:cs="Arial" w:eastAsia="Arial" w:hAnsi="Arial"/>
          <w:b/>
          <w:bCs/>
          <w:color w:val="FFFFFF"/>
          <w:sz w:val="36"/>
          <w:szCs w:val="36"/>
        </w:rPr>
        <w:t xml:space="preserve">EXECUTIVE SUMMARY</w:t>
      </w:r>
    </w:p>
    <w:p>
      <w:pPr>
        <w:spacing w:after="180"/>
      </w:pPr>
      <w:r>
        <w:rPr>
          <w:rFonts w:ascii="Arial" w:cs="Arial" w:eastAsia="Arial" w:hAnsi="Arial"/>
          <w:b/>
          <w:bCs/>
          <w:i/>
          <w:iCs/>
          <w:color w:val="F59E0B"/>
          <w:sz w:val="20"/>
          <w:szCs w:val="20"/>
        </w:rPr>
        <w:t xml:space="preserve">From the Project Manager</w:t>
      </w:r>
    </w:p>
    <w:p>
      <w:pPr>
        <w:spacing w:after="160" w:line="360"/>
        <w:jc w:val="both"/>
      </w:pPr>
      <w:r>
        <w:rPr>
          <w:rFonts w:ascii="Arial" w:cs="Arial" w:eastAsia="Arial" w:hAnsi="Arial"/>
          <w:color w:val="1F2937"/>
          <w:sz w:val="22"/>
          <w:szCs w:val="22"/>
        </w:rPr>
        <w:t xml:space="preserve">This report documents the design, methodology, and performance characteristics of the 2026 NFL Fantasy Predictions Model powering the NFL Analytics Dashboard. It is intended for both technical stakeholders who want to understand the statistical machinery and non-technical users who want confidence in how their fantasy rankings are generated.</w:t>
      </w:r>
    </w:p>
    <w:p>
      <w:pPr>
        <w:spacing w:after="160" w:line="360"/>
        <w:jc w:val="both"/>
      </w:pPr>
      <w:r>
        <w:rPr>
          <w:rFonts w:ascii="Arial" w:cs="Arial" w:eastAsia="Arial" w:hAnsi="Arial"/>
          <w:color w:val="1F2937"/>
          <w:sz w:val="22"/>
          <w:szCs w:val="22"/>
        </w:rPr>
        <w:t xml:space="preserve">The model was built iteratively through collaboration between the Data Scientist, NFL Expert Agent, and the broader analytics team. The goal was simple: produce the most realistic, contextually-aware fantasy projections possible by combining rigorous machine learning with live 2026 offseason intelligence.</w:t>
      </w:r>
    </w:p>
    <w:p>
      <w:pPr>
        <w:pStyle w:val="Heading2"/>
        <w:pBdr>
          <w:bottom w:val="single" w:color="F59E0B" w:sz="6" w:space="1"/>
        </w:pBdr>
        <w:spacing w:before="300" w:after="160"/>
      </w:pPr>
      <w:r>
        <w:rPr>
          <w:rFonts w:ascii="Arial" w:cs="Arial" w:eastAsia="Arial" w:hAnsi="Arial"/>
          <w:b/>
          <w:bCs/>
          <w:color w:val="1A1D2E"/>
          <w:sz w:val="28"/>
          <w:szCs w:val="28"/>
        </w:rPr>
        <w:t xml:space="preserve">Project Goals</w:t>
      </w:r>
    </w:p>
    <w:p>
      <w:pPr>
        <w:pStyle w:val="ListParagraph"/>
        <w:numPr>
          <w:ilvl w:val="0"/>
          <w:numId w:val="2"/>
        </w:numPr>
        <w:spacing w:after="80"/>
      </w:pPr>
      <w:r>
        <w:rPr>
          <w:rFonts w:ascii="Arial" w:cs="Arial" w:eastAsia="Arial" w:hAnsi="Arial"/>
          <w:color w:val="1F2937"/>
          <w:sz w:val="22"/>
          <w:szCs w:val="22"/>
        </w:rPr>
        <w:t xml:space="preserve">Predict 2026 PPR fantasy points for all qualifying QBs, RBs, WRs, and TEs using historical weekly data spanning 2016–2025.</w:t>
      </w:r>
    </w:p>
    <w:p>
      <w:pPr>
        <w:pStyle w:val="ListParagraph"/>
        <w:numPr>
          <w:ilvl w:val="0"/>
          <w:numId w:val="2"/>
        </w:numPr>
        <w:spacing w:after="80"/>
      </w:pPr>
      <w:r>
        <w:rPr>
          <w:rFonts w:ascii="Arial" w:cs="Arial" w:eastAsia="Arial" w:hAnsi="Arial"/>
          <w:color w:val="1F2937"/>
          <w:sz w:val="22"/>
          <w:szCs w:val="22"/>
        </w:rPr>
        <w:t xml:space="preserve">Normalize for games played so that injured players are not unfairly penalized in the underlying statistical model.</w:t>
      </w:r>
    </w:p>
    <w:p>
      <w:pPr>
        <w:pStyle w:val="ListParagraph"/>
        <w:numPr>
          <w:ilvl w:val="0"/>
          <w:numId w:val="2"/>
        </w:numPr>
        <w:spacing w:after="80"/>
      </w:pPr>
      <w:r>
        <w:rPr>
          <w:rFonts w:ascii="Arial" w:cs="Arial" w:eastAsia="Arial" w:hAnsi="Arial"/>
          <w:color w:val="1F2937"/>
          <w:sz w:val="22"/>
          <w:szCs w:val="22"/>
        </w:rPr>
        <w:t xml:space="preserve">Apply real-world expert overlays — roster moves, age-related decline curves, and QB situation changes — that pure statistics cannot capture.</w:t>
      </w:r>
    </w:p>
    <w:p>
      <w:pPr>
        <w:pStyle w:val="ListParagraph"/>
        <w:numPr>
          <w:ilvl w:val="0"/>
          <w:numId w:val="2"/>
        </w:numPr>
        <w:spacing w:after="80"/>
      </w:pPr>
      <w:r>
        <w:rPr>
          <w:rFonts w:ascii="Arial" w:cs="Arial" w:eastAsia="Arial" w:hAnsi="Arial"/>
          <w:color w:val="1F2937"/>
          <w:sz w:val="22"/>
          <w:szCs w:val="22"/>
        </w:rPr>
        <w:t xml:space="preserve">Deliver predictions through an interactive dashboard with a ranked big board, trajectory charts, and per-position risers/fallers analysis.</w:t>
      </w:r>
    </w:p>
    <w:p>
      <w:pPr>
        <w:pStyle w:val="Heading2"/>
        <w:pBdr>
          <w:bottom w:val="single" w:color="F59E0B" w:sz="6" w:space="1"/>
        </w:pBdr>
        <w:spacing w:before="300" w:after="160"/>
      </w:pPr>
      <w:r>
        <w:rPr>
          <w:rFonts w:ascii="Arial" w:cs="Arial" w:eastAsia="Arial" w:hAnsi="Arial"/>
          <w:b/>
          <w:bCs/>
          <w:color w:val="1A1D2E"/>
          <w:sz w:val="28"/>
          <w:szCs w:val="28"/>
        </w:rPr>
        <w:t xml:space="preserve">Key Outcomes</w:t>
      </w:r>
    </w:p>
    <w:p>
      <w:pPr>
        <w:pBdr>
          <w:left w:val="single" w:color="4F46E5" w:sz="12"/>
        </w:pBdr>
        <w:shd w:fill="EFF6FF" w:val="clear"/>
        <w:spacing w:before="120" w:after="200" w:line="360"/>
        <w:ind w:left="360" w:right="240"/>
      </w:pPr>
      <w:r>
        <w:rPr>
          <w:rFonts w:ascii="Arial" w:cs="Arial" w:eastAsia="Arial" w:hAnsi="Arial"/>
          <w:b/>
          <w:bCs/>
          <w:color w:val="4F46E5"/>
          <w:sz w:val="22"/>
          <w:szCs w:val="22"/>
        </w:rPr>
        <w:t xml:space="preserve">✓ ACHIEVED  </w:t>
      </w:r>
      <w:r>
        <w:rPr>
          <w:rFonts w:ascii="Arial" w:cs="Arial" w:eastAsia="Arial" w:hAnsi="Arial"/>
          <w:color w:val="1F2937"/>
          <w:sz w:val="22"/>
          <w:szCs w:val="22"/>
        </w:rPr>
        <w:t xml:space="preserve">The model successfully reduced QB overvaluation that plagued the v1.0 model (37 projected QBs → 24 legitimate starters), applied 2026 offseason intelligence covering 9 team corrections and 20+ player-specific adjustments, and eliminated rendering bugs in the predictions interface.</w:t>
      </w:r>
    </w:p>
    <w:p>
      <w:pPr>
        <w:pStyle w:val="Heading2"/>
        <w:pBdr>
          <w:bottom w:val="single" w:color="F59E0B" w:sz="6" w:space="1"/>
        </w:pBdr>
        <w:spacing w:before="300" w:after="160"/>
      </w:pPr>
      <w:r>
        <w:rPr>
          <w:rFonts w:ascii="Arial" w:cs="Arial" w:eastAsia="Arial" w:hAnsi="Arial"/>
          <w:b/>
          <w:bCs/>
          <w:color w:val="1A1D2E"/>
          <w:sz w:val="28"/>
          <w:szCs w:val="28"/>
        </w:rPr>
        <w:t xml:space="preserve">Team Contributions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A1D2E" w:sz="6"/>
              <w:left w:val="single" w:color="1A1D2E" w:sz="6"/>
              <w:bottom w:val="single" w:color="1A1D2E" w:sz="6"/>
              <w:right w:val="single" w:color="1A1D2E" w:sz="6"/>
            </w:tcBorders>
            <w:shd w:fill="1A1D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Agent</w:t>
            </w:r>
          </w:p>
        </w:tc>
        <w:tc>
          <w:tcPr>
            <w:tcW w:type="dxa" w:w="6860"/>
            <w:tcBorders>
              <w:top w:val="single" w:color="1A1D2E" w:sz="6"/>
              <w:left w:val="single" w:color="1A1D2E" w:sz="6"/>
              <w:bottom w:val="single" w:color="1A1D2E" w:sz="6"/>
              <w:right w:val="single" w:color="1A1D2E" w:sz="6"/>
            </w:tcBorders>
            <w:shd w:fill="1A1D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Responsibilities</w:t>
            </w:r>
          </w:p>
        </w:tc>
      </w:tr>
      <w:tr>
        <w:tc>
          <w:tcPr>
            <w:tcW w:type="dxa" w:w="250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Data Scientist</w:t>
            </w:r>
          </w:p>
        </w:tc>
        <w:tc>
          <w:tcPr>
            <w:tcW w:type="dxa" w:w="686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Ridge regression architecture, per-game feature engineering, recency weighting, projected games formula, position-specific qualifiers</w:t>
            </w:r>
          </w:p>
        </w:tc>
      </w:tr>
      <w:tr>
        <w:tc>
          <w:tcPr>
            <w:tcW w:type="dxa" w:w="250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NFL Expert Agent</w:t>
            </w:r>
          </w:p>
        </w:tc>
        <w:tc>
          <w:tcPr>
            <w:tcW w:type="dxa" w:w="686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Live web search of 2026 offseason moves, player-specific multipliers, team corrections, removal of non-starters</w:t>
            </w:r>
          </w:p>
        </w:tc>
      </w:tr>
      <w:tr>
        <w:tc>
          <w:tcPr>
            <w:tcW w:type="dxa" w:w="250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Project Manager</w:t>
            </w:r>
          </w:p>
        </w:tc>
        <w:tc>
          <w:tcPr>
            <w:tcW w:type="dxa" w:w="686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Coordination, documentation, product requirements, UX decisions, sprint planning</w:t>
            </w:r>
          </w:p>
        </w:tc>
      </w:tr>
      <w:tr>
        <w:tc>
          <w:tcPr>
            <w:tcW w:type="dxa" w:w="250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UI Specialist</w:t>
            </w:r>
          </w:p>
        </w:tc>
        <w:tc>
          <w:tcPr>
            <w:tcW w:type="dxa" w:w="686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Dashboard layout, Streamlit integration, card rendering, chart configuration</w:t>
            </w:r>
          </w:p>
        </w:tc>
      </w:tr>
      <w:tr>
        <w:tc>
          <w:tcPr>
            <w:tcW w:type="dxa" w:w="250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Python Engineer</w:t>
            </w:r>
          </w:p>
        </w:tc>
        <w:tc>
          <w:tcPr>
            <w:tcW w:type="dxa" w:w="686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Code implementation, bug fixes, data pipeline, deployment</w:t>
            </w:r>
          </w:p>
        </w:tc>
      </w:tr>
    </w:tbl>
    <w:p>
      <w:r>
        <w:br w:type="page"/>
      </w:r>
    </w:p>
    <w:p>
      <w:pPr>
        <w:pStyle w:val="Heading1"/>
        <w:shd w:fill="1A1D2E" w:val="clear"/>
        <w:spacing w:before="360" w:after="200"/>
        <w:ind w:left="240" w:right="240"/>
      </w:pPr>
      <w:r>
        <w:rPr>
          <w:rFonts w:ascii="Arial" w:cs="Arial" w:eastAsia="Arial" w:hAnsi="Arial"/>
          <w:b/>
          <w:bCs/>
          <w:color w:val="FFFFFF"/>
          <w:sz w:val="36"/>
          <w:szCs w:val="36"/>
        </w:rPr>
        <w:t xml:space="preserve">MODEL ARCHITECTURE</w:t>
      </w:r>
    </w:p>
    <w:p>
      <w:pPr>
        <w:spacing w:after="180"/>
      </w:pPr>
      <w:r>
        <w:rPr>
          <w:rFonts w:ascii="Arial" w:cs="Arial" w:eastAsia="Arial" w:hAnsi="Arial"/>
          <w:b/>
          <w:bCs/>
          <w:i/>
          <w:iCs/>
          <w:color w:val="F59E0B"/>
          <w:sz w:val="20"/>
          <w:szCs w:val="20"/>
        </w:rPr>
        <w:t xml:space="preserve">From the Data Scientist</w:t>
      </w:r>
    </w:p>
    <w:p>
      <w:pPr>
        <w:pStyle w:val="Heading2"/>
        <w:pBdr>
          <w:bottom w:val="single" w:color="F59E0B" w:sz="6" w:space="1"/>
        </w:pBdr>
        <w:spacing w:before="300" w:after="160"/>
      </w:pPr>
      <w:r>
        <w:rPr>
          <w:rFonts w:ascii="Arial" w:cs="Arial" w:eastAsia="Arial" w:hAnsi="Arial"/>
          <w:b/>
          <w:bCs/>
          <w:color w:val="1A1D2E"/>
          <w:sz w:val="28"/>
          <w:szCs w:val="28"/>
        </w:rPr>
        <w:t xml:space="preserve">Why Ridge Regression?</w:t>
      </w:r>
    </w:p>
    <w:p>
      <w:pPr>
        <w:spacing w:after="160" w:line="360"/>
        <w:jc w:val="both"/>
      </w:pPr>
      <w:r>
        <w:rPr>
          <w:rFonts w:ascii="Arial" w:cs="Arial" w:eastAsia="Arial" w:hAnsi="Arial"/>
          <w:color w:val="1F2937"/>
          <w:sz w:val="22"/>
          <w:szCs w:val="22"/>
        </w:rPr>
        <w:t xml:space="preserve">The model uses position-specific Weighted Ridge Regression — a form of regularized linear regression that adds a penalty term to prevent overfitting on small datasets. Fantasy football prediction is a small-n problem: we typically have fewer than 60 consecutive-season player pairs per position to train on. Ordinary least squares (OLS) produces wildly unstable coefficients in this regime, especially when predictors are correlated (e.g., passing yards and attempts are nearly collinear).</w:t>
      </w:r>
    </w:p>
    <w:p>
      <w:pPr>
        <w:spacing w:after="160" w:line="360"/>
        <w:jc w:val="both"/>
      </w:pPr>
      <w:r>
        <w:rPr>
          <w:rFonts w:ascii="Arial" w:cs="Arial" w:eastAsia="Arial" w:hAnsi="Arial"/>
          <w:color w:val="1F2937"/>
          <w:sz w:val="22"/>
          <w:szCs w:val="22"/>
        </w:rPr>
        <w:t xml:space="preserve">Ridge regression solves this by minimizing the penalized objective: minimizing the sum of squared residuals plus alpha times the squared L2 norm of the coefficients. The regularization constant alpha = 8.0 was selected to balance bias–variance tradeoff for NFL-scale datasets. The intercept is explicitly excluded from regularization, following standard practice.</w:t>
      </w:r>
    </w:p>
    <w:p>
      <w:pPr>
        <w:pBdr>
          <w:left w:val="single" w:color="10B981" w:sz="12"/>
        </w:pBdr>
        <w:shd w:fill="F0FDF4" w:val="clear"/>
        <w:spacing w:before="120" w:after="200" w:line="360"/>
        <w:ind w:left="360" w:right="240"/>
      </w:pPr>
      <w:r>
        <w:rPr>
          <w:rFonts w:ascii="Arial" w:cs="Arial" w:eastAsia="Arial" w:hAnsi="Arial"/>
          <w:b/>
          <w:bCs/>
          <w:color w:val="10B981"/>
          <w:sz w:val="22"/>
          <w:szCs w:val="22"/>
        </w:rPr>
        <w:t xml:space="preserve">MODEL EQUATION  </w:t>
      </w:r>
      <w:r>
        <w:rPr>
          <w:rFonts w:ascii="Arial" w:cs="Arial" w:eastAsia="Arial" w:hAnsi="Arial"/>
          <w:color w:val="1F2937"/>
          <w:sz w:val="22"/>
          <w:szCs w:val="22"/>
        </w:rPr>
        <w:t xml:space="preserve">θ = (XᵀWX + αI)⁻¹ XᵀWy    where W is the diagonal recency-weight matrix, X is the standardized feature matrix, y is the target (season PPR total), and α = 8.0 is the ridge penalty.</w:t>
      </w:r>
    </w:p>
    <w:p>
      <w:pPr>
        <w:pStyle w:val="Heading2"/>
        <w:pBdr>
          <w:bottom w:val="single" w:color="F59E0B" w:sz="6" w:space="1"/>
        </w:pBdr>
        <w:spacing w:before="300" w:after="160"/>
      </w:pPr>
      <w:r>
        <w:rPr>
          <w:rFonts w:ascii="Arial" w:cs="Arial" w:eastAsia="Arial" w:hAnsi="Arial"/>
          <w:b/>
          <w:bCs/>
          <w:color w:val="1A1D2E"/>
          <w:sz w:val="28"/>
          <w:szCs w:val="28"/>
        </w:rPr>
        <w:t xml:space="preserve">Per-Game Feature Engineering</w:t>
      </w:r>
    </w:p>
    <w:p>
      <w:pPr>
        <w:spacing w:after="160" w:line="360"/>
        <w:jc w:val="both"/>
      </w:pPr>
      <w:r>
        <w:rPr>
          <w:rFonts w:ascii="Arial" w:cs="Arial" w:eastAsia="Arial" w:hAnsi="Arial"/>
          <w:color w:val="1F2937"/>
          <w:sz w:val="22"/>
          <w:szCs w:val="22"/>
        </w:rPr>
        <w:t xml:space="preserve">The single most important design decision was normalizing all input features to per-game rates rather than season totals. A player who accumulated 1,200 receiving yards in 16 games is meaningfully different from one who did it in 10 games — the former is a WR2 while the latter may be an elite WR1. Using totals would conflate productivity with availability, systematically overvaluing players who stayed healthy while penalizing those who returned from injury.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1A1D2E" w:sz="6"/>
              <w:left w:val="single" w:color="1A1D2E" w:sz="6"/>
              <w:bottom w:val="single" w:color="1A1D2E" w:sz="6"/>
              <w:right w:val="single" w:color="1A1D2E" w:sz="6"/>
            </w:tcBorders>
            <w:shd w:fill="1A1D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Position</w:t>
            </w:r>
          </w:p>
        </w:tc>
        <w:tc>
          <w:tcPr>
            <w:tcW w:type="dxa" w:w="3500"/>
            <w:tcBorders>
              <w:top w:val="single" w:color="1A1D2E" w:sz="6"/>
              <w:left w:val="single" w:color="1A1D2E" w:sz="6"/>
              <w:bottom w:val="single" w:color="1A1D2E" w:sz="6"/>
              <w:right w:val="single" w:color="1A1D2E" w:sz="6"/>
            </w:tcBorders>
            <w:shd w:fill="1A1D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Per-Game Features</w:t>
            </w:r>
          </w:p>
        </w:tc>
        <w:tc>
          <w:tcPr>
            <w:tcW w:type="dxa" w:w="4360"/>
            <w:tcBorders>
              <w:top w:val="single" w:color="1A1D2E" w:sz="6"/>
              <w:left w:val="single" w:color="1A1D2E" w:sz="6"/>
              <w:bottom w:val="single" w:color="1A1D2E" w:sz="6"/>
              <w:right w:val="single" w:color="1A1D2E" w:sz="6"/>
            </w:tcBorders>
            <w:shd w:fill="1A1D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Rationale</w:t>
            </w:r>
          </w:p>
        </w:tc>
      </w:tr>
      <w:tr>
        <w:tc>
          <w:tcPr>
            <w:tcW w:type="dxa" w:w="150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QB</w:t>
            </w:r>
          </w:p>
        </w:tc>
        <w:tc>
          <w:tcPr>
            <w:tcW w:type="dxa" w:w="350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Pass Yds/G, Pass TD/G, INT/G, Rush Yds/G, Rush TD/G, Comp/G, Att/G, Game Rate</w:t>
            </w:r>
          </w:p>
        </w:tc>
        <w:tc>
          <w:tcPr>
            <w:tcW w:type="dxa" w:w="436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Volume + efficiency split; game_rate captures starter reliability</w:t>
            </w:r>
          </w:p>
        </w:tc>
      </w:tr>
      <w:tr>
        <w:tc>
          <w:tcPr>
            <w:tcW w:type="dxa" w:w="150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RB</w:t>
            </w:r>
          </w:p>
        </w:tc>
        <w:tc>
          <w:tcPr>
            <w:tcW w:type="dxa" w:w="350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Rush Yds/G, Rush TD/G, Carries/G, Rec/G, Rec Yds/G, Rec TD/G, Targets/G, Game Rate</w:t>
            </w:r>
          </w:p>
        </w:tc>
        <w:tc>
          <w:tcPr>
            <w:tcW w:type="dxa" w:w="436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Dual-threat workload; targets separate pass-catching backs from pure runners</w:t>
            </w:r>
          </w:p>
        </w:tc>
      </w:tr>
      <w:tr>
        <w:tc>
          <w:tcPr>
            <w:tcW w:type="dxa" w:w="150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WR</w:t>
            </w:r>
          </w:p>
        </w:tc>
        <w:tc>
          <w:tcPr>
            <w:tcW w:type="dxa" w:w="350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Rec Yds/G, Rec TD/G, Targets/G, Rec/G, Rush Yds/G, Game Rate</w:t>
            </w:r>
          </w:p>
        </w:tc>
        <w:tc>
          <w:tcPr>
            <w:tcW w:type="dxa" w:w="436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Efficiency over volume; target share signals role depth</w:t>
            </w:r>
          </w:p>
        </w:tc>
      </w:tr>
      <w:tr>
        <w:tc>
          <w:tcPr>
            <w:tcW w:type="dxa" w:w="150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TE</w:t>
            </w:r>
          </w:p>
        </w:tc>
        <w:tc>
          <w:tcPr>
            <w:tcW w:type="dxa" w:w="350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Rec Yds/G, Rec TD/G, Targets/G, Rec/G, Game Rate</w:t>
            </w:r>
          </w:p>
        </w:tc>
        <w:tc>
          <w:tcPr>
            <w:tcW w:type="dxa" w:w="436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Streamlined set; TEs have less rushing usage to track</w:t>
            </w:r>
          </w:p>
        </w:tc>
      </w:tr>
    </w:tbl>
    <w:p>
      <w:pPr>
        <w:spacing w:after="160"/>
      </w:pPr>
      <w:r>
        <w:rPr>
          <w:rFonts w:ascii="Arial" w:cs="Arial" w:eastAsia="Arial" w:hAnsi="Arial"/>
          <w:sz w:val="22"/>
          <w:szCs w:val="22"/>
        </w:rPr>
        <w:t xml:space="preserve"> </w:t>
      </w:r>
    </w:p>
    <w:p>
      <w:pPr>
        <w:pBdr>
          <w:left w:val="single" w:color="F59E0B" w:sz="12"/>
        </w:pBdr>
        <w:shd w:fill="FFF7ED" w:val="clear"/>
        <w:spacing w:before="120" w:after="200" w:line="360"/>
        <w:ind w:left="360" w:right="240"/>
      </w:pPr>
      <w:r>
        <w:rPr>
          <w:rFonts w:ascii="Arial" w:cs="Arial" w:eastAsia="Arial" w:hAnsi="Arial"/>
          <w:b/>
          <w:bCs/>
          <w:color w:val="F59E0B"/>
          <w:sz w:val="22"/>
          <w:szCs w:val="22"/>
        </w:rPr>
        <w:t xml:space="preserve">⚠ DESIGN NOTE  </w:t>
      </w:r>
      <w:r>
        <w:rPr>
          <w:rFonts w:ascii="Arial" w:cs="Arial" w:eastAsia="Arial" w:hAnsi="Arial"/>
          <w:color w:val="1F2937"/>
          <w:sz w:val="22"/>
          <w:szCs w:val="22"/>
        </w:rPr>
        <w:t xml:space="preserve">game_rate = games_played / 17, clipped to [0, 1.0]. This feature encodes starter reliability and injury history directly into the model without requiring a separate injury flag.</w:t>
      </w:r>
    </w:p>
    <w:p>
      <w:pPr>
        <w:pStyle w:val="Heading2"/>
        <w:pBdr>
          <w:bottom w:val="single" w:color="F59E0B" w:sz="6" w:space="1"/>
        </w:pBdr>
        <w:spacing w:before="300" w:after="160"/>
      </w:pPr>
      <w:r>
        <w:rPr>
          <w:rFonts w:ascii="Arial" w:cs="Arial" w:eastAsia="Arial" w:hAnsi="Arial"/>
          <w:b/>
          <w:bCs/>
          <w:color w:val="1A1D2E"/>
          <w:sz w:val="28"/>
          <w:szCs w:val="28"/>
        </w:rPr>
        <w:t xml:space="preserve">Recency-Weighted Training</w:t>
      </w:r>
    </w:p>
    <w:p>
      <w:pPr>
        <w:spacing w:after="160" w:line="360"/>
        <w:jc w:val="both"/>
      </w:pPr>
      <w:r>
        <w:rPr>
          <w:rFonts w:ascii="Arial" w:cs="Arial" w:eastAsia="Arial" w:hAnsi="Arial"/>
          <w:color w:val="1F2937"/>
          <w:sz w:val="22"/>
          <w:szCs w:val="22"/>
        </w:rPr>
        <w:t xml:space="preserve">Not all historical season pairs carry equal predictive value for the upcoming year. A player’s 2024→2025 transition is far more informative than their 2016→2017 transition — league conditions, salary structures, rule changes (pass-interference enforcement, overtime rules), and scheme evolution all shift over time. The model assigns exponentially increasing weights to recent season pairs:</w:t>
      </w:r>
    </w:p>
    <w:p>
      <w:pPr>
        <w:pBdr>
          <w:left w:val="single" w:color="10B981" w:sz="12"/>
        </w:pBdr>
        <w:shd w:fill="F0FDF4" w:val="clear"/>
        <w:spacing w:before="120" w:after="200" w:line="360"/>
        <w:ind w:left="360" w:right="240"/>
      </w:pPr>
      <w:r>
        <w:rPr>
          <w:rFonts w:ascii="Arial" w:cs="Arial" w:eastAsia="Arial" w:hAnsi="Arial"/>
          <w:b/>
          <w:bCs/>
          <w:color w:val="10B981"/>
          <w:sz w:val="22"/>
          <w:szCs w:val="22"/>
        </w:rPr>
        <w:t xml:space="preserve">RECENCY DECAY FORMULA  </w:t>
      </w:r>
      <w:r>
        <w:rPr>
          <w:rFonts w:ascii="Arial" w:cs="Arial" w:eastAsia="Arial" w:hAnsi="Arial"/>
          <w:color w:val="1F2937"/>
          <w:sz w:val="22"/>
          <w:szCs w:val="22"/>
        </w:rPr>
        <w:t xml:space="preserve">weight(s) = exp(0.35 × (s − (latest − 1)))
For example: the 2024→2025 pair receives weight ~1.0, the 2023→2024 pair ~0.70, the 2022→2023 pair ~0.49, and so on back to 2016.</w:t>
      </w:r>
    </w:p>
    <w:p>
      <w:pPr>
        <w:spacing w:after="160" w:line="360"/>
        <w:jc w:val="both"/>
      </w:pPr>
      <w:r>
        <w:rPr>
          <w:rFonts w:ascii="Arial" w:cs="Arial" w:eastAsia="Arial" w:hAnsi="Arial"/>
          <w:color w:val="1F2937"/>
          <w:sz w:val="22"/>
          <w:szCs w:val="22"/>
        </w:rPr>
        <w:t xml:space="preserve">These weights are incorporated into the ridge regression as a diagonal weight matrix W, so the model fits recent behavior more tightly while still benefiting from the full historical sample for regularization stability.</w:t>
      </w:r>
    </w:p>
    <w:p>
      <w:pPr>
        <w:pStyle w:val="Heading2"/>
        <w:pBdr>
          <w:bottom w:val="single" w:color="F59E0B" w:sz="6" w:space="1"/>
        </w:pBdr>
        <w:spacing w:before="300" w:after="160"/>
      </w:pPr>
      <w:r>
        <w:rPr>
          <w:rFonts w:ascii="Arial" w:cs="Arial" w:eastAsia="Arial" w:hAnsi="Arial"/>
          <w:b/>
          <w:bCs/>
          <w:color w:val="1A1D2E"/>
          <w:sz w:val="28"/>
          <w:szCs w:val="28"/>
        </w:rPr>
        <w:t xml:space="preserve">2026 Games Projection</w:t>
      </w:r>
    </w:p>
    <w:p>
      <w:pPr>
        <w:spacing w:after="160" w:line="360"/>
        <w:jc w:val="both"/>
      </w:pPr>
      <w:r>
        <w:rPr>
          <w:rFonts w:ascii="Arial" w:cs="Arial" w:eastAsia="Arial" w:hAnsi="Arial"/>
          <w:color w:val="1F2937"/>
          <w:sz w:val="22"/>
          <w:szCs w:val="22"/>
        </w:rPr>
        <w:t xml:space="preserve">A raw per-game projection multiplied by 17 (a full season) is unrealistic — no player is guaranteed a full season. The model estimates each player’s likely 2026 games using a blended formula that accounts for injury history:</w:t>
      </w:r>
    </w:p>
    <w:p>
      <w:pPr>
        <w:pBdr>
          <w:left w:val="single" w:color="4F46E5" w:sz="12"/>
        </w:pBdr>
        <w:shd w:fill="EFF6FF" w:val="clear"/>
        <w:spacing w:before="120" w:after="200" w:line="360"/>
        <w:ind w:left="360" w:right="240"/>
      </w:pPr>
      <w:r>
        <w:rPr>
          <w:rFonts w:ascii="Arial" w:cs="Arial" w:eastAsia="Arial" w:hAnsi="Arial"/>
          <w:b/>
          <w:bCs/>
          <w:color w:val="4F46E5"/>
          <w:sz w:val="22"/>
          <w:szCs w:val="22"/>
        </w:rPr>
        <w:t xml:space="preserve">GAMES PROJECTION  </w:t>
      </w:r>
      <w:r>
        <w:rPr>
          <w:rFonts w:ascii="Arial" w:cs="Arial" w:eastAsia="Arial" w:hAnsi="Arial"/>
          <w:color w:val="1F2937"/>
          <w:sz w:val="22"/>
          <w:szCs w:val="22"/>
        </w:rPr>
        <w:t xml:space="preserve">proj_games = clip(0.65 × games_latest + 0.35 × games_prev, min_games, 16)
The 65/35 weighting favors the most recent season while pulling toward the prior season as a regression buffer. The ceiling of 16 games applies a conservative discount on the 17-game schedule.</w:t>
      </w:r>
    </w:p>
    <w:p>
      <w:pPr>
        <w:spacing w:after="160" w:line="360"/>
        <w:jc w:val="both"/>
      </w:pPr>
      <w:r>
        <w:rPr>
          <w:rFonts w:ascii="Arial" w:cs="Arial" w:eastAsia="Arial" w:hAnsi="Arial"/>
          <w:color w:val="1F2937"/>
          <w:sz w:val="22"/>
          <w:szCs w:val="22"/>
        </w:rPr>
        <w:t xml:space="preserve">After projecting games, a damped adjustment factor prevents over-extrapolation for players returning from significant injury. A player who played 8 games in 2025 but is projected for 13 in 2026 receives only a 31% boost (not a 63% boost), because regression to the mean in the NFL is common and recovery is non-linear:</w:t>
      </w:r>
    </w:p>
    <w:p>
      <w:pPr>
        <w:pBdr>
          <w:left w:val="single" w:color="4F46E5" w:sz="12"/>
        </w:pBdr>
        <w:shd w:fill="EFF6FF" w:val="clear"/>
        <w:spacing w:before="120" w:after="200" w:line="360"/>
        <w:ind w:left="360" w:right="240"/>
      </w:pPr>
      <w:r>
        <w:rPr>
          <w:rFonts w:ascii="Arial" w:cs="Arial" w:eastAsia="Arial" w:hAnsi="Arial"/>
          <w:b/>
          <w:bCs/>
          <w:color w:val="4F46E5"/>
          <w:sz w:val="22"/>
          <w:szCs w:val="22"/>
        </w:rPr>
        <w:t xml:space="preserve">DAMPING FORMULA  </w:t>
      </w:r>
      <w:r>
        <w:rPr>
          <w:rFonts w:ascii="Arial" w:cs="Arial" w:eastAsia="Arial" w:hAnsi="Arial"/>
          <w:color w:val="1F2937"/>
          <w:sz w:val="22"/>
          <w:szCs w:val="22"/>
        </w:rPr>
        <w:t xml:space="preserve">adj_factor = 1.0 + (proj_games / games_latest − 1.0) × 0.45
The 0.45 damping coefficient was tuned to reflect that roughly half of injury recoveries result in meaningful regression rather than full output restoration.</w:t>
      </w:r>
    </w:p>
    <w:p>
      <w:pPr>
        <w:pStyle w:val="Heading2"/>
        <w:pBdr>
          <w:bottom w:val="single" w:color="F59E0B" w:sz="6" w:space="1"/>
        </w:pBdr>
        <w:spacing w:before="300" w:after="160"/>
      </w:pPr>
      <w:r>
        <w:rPr>
          <w:rFonts w:ascii="Arial" w:cs="Arial" w:eastAsia="Arial" w:hAnsi="Arial"/>
          <w:b/>
          <w:bCs/>
          <w:color w:val="1A1D2E"/>
          <w:sz w:val="28"/>
          <w:szCs w:val="28"/>
        </w:rPr>
        <w:t xml:space="preserve">Position-Specific Qualifiers</w:t>
      </w:r>
    </w:p>
    <w:p>
      <w:pPr>
        <w:spacing w:after="160" w:line="360"/>
        <w:jc w:val="both"/>
      </w:pPr>
      <w:r>
        <w:rPr>
          <w:rFonts w:ascii="Arial" w:cs="Arial" w:eastAsia="Arial" w:hAnsi="Arial"/>
          <w:color w:val="1F2937"/>
          <w:sz w:val="22"/>
          <w:szCs w:val="22"/>
        </w:rPr>
        <w:t xml:space="preserve">Position eligibility thresholds were set to exclude backup players whose data would corrupt the model’s understanding of what an NFL starter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1A1D2E" w:sz="6"/>
              <w:left w:val="single" w:color="1A1D2E" w:sz="6"/>
              <w:bottom w:val="single" w:color="1A1D2E" w:sz="6"/>
              <w:right w:val="single" w:color="1A1D2E" w:sz="6"/>
            </w:tcBorders>
            <w:shd w:fill="1A1D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Position</w:t>
            </w:r>
          </w:p>
        </w:tc>
        <w:tc>
          <w:tcPr>
            <w:tcW w:type="dxa" w:w="2340"/>
            <w:tcBorders>
              <w:top w:val="single" w:color="1A1D2E" w:sz="6"/>
              <w:left w:val="single" w:color="1A1D2E" w:sz="6"/>
              <w:bottom w:val="single" w:color="1A1D2E" w:sz="6"/>
              <w:right w:val="single" w:color="1A1D2E" w:sz="6"/>
            </w:tcBorders>
            <w:shd w:fill="1A1D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Min Games (2025)</w:t>
            </w:r>
          </w:p>
        </w:tc>
        <w:tc>
          <w:tcPr>
            <w:tcW w:type="dxa" w:w="4680"/>
            <w:tcBorders>
              <w:top w:val="single" w:color="1A1D2E" w:sz="6"/>
              <w:left w:val="single" w:color="1A1D2E" w:sz="6"/>
              <w:bottom w:val="single" w:color="1A1D2E" w:sz="6"/>
              <w:right w:val="single" w:color="1A1D2E" w:sz="6"/>
            </w:tcBorders>
            <w:shd w:fill="1A1D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Reasoning</w:t>
            </w:r>
          </w:p>
        </w:tc>
      </w:tr>
      <w:tr>
        <w:tc>
          <w:tcPr>
            <w:tcW w:type="dxa" w:w="234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QB</w:t>
            </w:r>
          </w:p>
        </w:tc>
        <w:tc>
          <w:tcPr>
            <w:tcW w:type="dxa" w:w="234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12 games</w:t>
            </w:r>
          </w:p>
        </w:tc>
        <w:tc>
          <w:tcPr>
            <w:tcW w:type="dxa" w:w="468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Ensures genuine starter classification; eliminates backup fill-in QBs whose per-game rates are inflated against weaker defenses in garbage time</w:t>
            </w:r>
          </w:p>
        </w:tc>
      </w:tr>
      <w:tr>
        <w:tc>
          <w:tcPr>
            <w:tcW w:type="dxa" w:w="234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RB</w:t>
            </w:r>
          </w:p>
        </w:tc>
        <w:tc>
          <w:tcPr>
            <w:tcW w:type="dxa" w:w="234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6 games</w:t>
            </w:r>
          </w:p>
        </w:tc>
        <w:tc>
          <w:tcPr>
            <w:tcW w:type="dxa" w:w="468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Allows early-season starters who got injured, committee backs with defined roles, and late-season call-ups with established workload</w:t>
            </w:r>
          </w:p>
        </w:tc>
      </w:tr>
      <w:tr>
        <w:tc>
          <w:tcPr>
            <w:tcW w:type="dxa" w:w="234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WR</w:t>
            </w:r>
          </w:p>
        </w:tc>
        <w:tc>
          <w:tcPr>
            <w:tcW w:type="dxa" w:w="234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6 games</w:t>
            </w:r>
          </w:p>
        </w:tc>
        <w:tc>
          <w:tcPr>
            <w:tcW w:type="dxa" w:w="468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Captures WR3s and slot receivers with defined target shares, including players returning mid-season from IR</w:t>
            </w:r>
          </w:p>
        </w:tc>
      </w:tr>
      <w:tr>
        <w:tc>
          <w:tcPr>
            <w:tcW w:type="dxa" w:w="234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TE</w:t>
            </w:r>
          </w:p>
        </w:tc>
        <w:tc>
          <w:tcPr>
            <w:tcW w:type="dxa" w:w="234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6 games</w:t>
            </w:r>
          </w:p>
        </w:tc>
        <w:tc>
          <w:tcPr>
            <w:tcW w:type="dxa" w:w="468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TEs often emerge mid-season or play in rotations; the 6-game floor ensures meaningful sample without excluding fringe starters</w:t>
            </w:r>
          </w:p>
        </w:tc>
      </w:tr>
    </w:tbl>
    <w:p>
      <w:pPr>
        <w:pStyle w:val="Heading2"/>
        <w:pBdr>
          <w:bottom w:val="single" w:color="F59E0B" w:sz="6" w:space="1"/>
        </w:pBdr>
        <w:spacing w:before="300" w:after="160"/>
      </w:pPr>
      <w:r>
        <w:rPr>
          <w:rFonts w:ascii="Arial" w:cs="Arial" w:eastAsia="Arial" w:hAnsi="Arial"/>
          <w:b/>
          <w:bCs/>
          <w:color w:val="1A1D2E"/>
          <w:sz w:val="28"/>
          <w:szCs w:val="28"/>
        </w:rPr>
        <w:t xml:space="preserve">Force-Include Mechanism</w:t>
      </w:r>
    </w:p>
    <w:p>
      <w:pPr>
        <w:spacing w:after="160" w:line="360"/>
        <w:jc w:val="both"/>
      </w:pPr>
      <w:r>
        <w:rPr>
          <w:rFonts w:ascii="Arial" w:cs="Arial" w:eastAsia="Arial" w:hAnsi="Arial"/>
          <w:color w:val="1F2937"/>
          <w:sz w:val="22"/>
          <w:szCs w:val="22"/>
        </w:rPr>
        <w:t xml:space="preserve">An important edge case emerged during the 2026 prediction cycle: confirmed 2026 starters who suffered mid-season injuries in 2025 and played fewer than the minimum game threshold. These players were correctly excluded by the model’s eligibility filter, but excluding a confirmed starting quarterback from a 2026 big board is a product failure.</w:t>
      </w:r>
    </w:p>
    <w:p>
      <w:pPr>
        <w:spacing w:after="160" w:line="360"/>
        <w:jc w:val="both"/>
      </w:pPr>
      <w:r>
        <w:rPr>
          <w:rFonts w:ascii="Arial" w:cs="Arial" w:eastAsia="Arial" w:hAnsi="Arial"/>
          <w:color w:val="1F2937"/>
          <w:sz w:val="22"/>
          <w:szCs w:val="22"/>
        </w:rPr>
        <w:t xml:space="preserve">The solution was a FORCE_INCLUDE_STARTERS registry. For each listed player, the system automatically looks back to find their most recent fully qualifying season, computes their per-game PPR rate from that season, and projects 2026 output using the standard games formula with a conservative injury-recovery discount (best_season_games × 0.65 + DEFAULT_PROJ_GAMES × 0.35). Expert team corrections and multipliers then apply on top.</w:t>
      </w:r>
    </w:p>
    <w:p>
      <w:pPr>
        <w:pBdr>
          <w:left w:val="single" w:color="10B981" w:sz="12"/>
        </w:pBdr>
        <w:shd w:fill="F0FDF4" w:val="clear"/>
        <w:spacing w:before="120" w:after="200" w:line="360"/>
        <w:ind w:left="360" w:right="240"/>
      </w:pPr>
      <w:r>
        <w:rPr>
          <w:rFonts w:ascii="Arial" w:cs="Arial" w:eastAsia="Arial" w:hAnsi="Arial"/>
          <w:b/>
          <w:bCs/>
          <w:color w:val="10B981"/>
          <w:sz w:val="22"/>
          <w:szCs w:val="22"/>
        </w:rPr>
        <w:t xml:space="preserve">✓ EXAMPLE  </w:t>
      </w:r>
      <w:r>
        <w:rPr>
          <w:rFonts w:ascii="Arial" w:cs="Arial" w:eastAsia="Arial" w:hAnsi="Arial"/>
          <w:color w:val="1F2937"/>
          <w:sz w:val="22"/>
          <w:szCs w:val="22"/>
        </w:rPr>
        <w:t xml:space="preserve">Example: Kyler Murray played only 5 games in 2025 with Arizona (injured). The force-include mechanism found his 2024 qualifying season (17 games, 297.2 PPR pts, 17.47 PPG) and projected 15.9 games for 2026. With the 1.05× Minnesota Vikings boost applied, his final projection is 291.9 points — a credible QB1 range with Justin Jefferson and Jordan Addison as targets.</w:t>
      </w:r>
    </w:p>
    <w:p>
      <w:r>
        <w:br w:type="page"/>
      </w:r>
    </w:p>
    <w:p>
      <w:pPr>
        <w:pStyle w:val="Heading2"/>
        <w:pBdr>
          <w:bottom w:val="single" w:color="F59E0B" w:sz="6" w:space="1"/>
        </w:pBdr>
        <w:spacing w:before="300" w:after="160"/>
      </w:pPr>
      <w:r>
        <w:rPr>
          <w:rFonts w:ascii="Arial" w:cs="Arial" w:eastAsia="Arial" w:hAnsi="Arial"/>
          <w:b/>
          <w:bCs/>
          <w:color w:val="1A1D2E"/>
          <w:sz w:val="28"/>
          <w:szCs w:val="28"/>
        </w:rPr>
        <w:t xml:space="preserve">Model Limitations &amp; Known Constraints</w:t>
      </w:r>
    </w:p>
    <w:p>
      <w:pPr>
        <w:pBdr>
          <w:left w:val="single" w:color="EF4444" w:sz="12"/>
        </w:pBdr>
        <w:shd w:fill="FEF2F2" w:val="clear"/>
        <w:spacing w:before="120" w:after="200" w:line="360"/>
        <w:ind w:left="360" w:right="240"/>
      </w:pPr>
      <w:r>
        <w:rPr>
          <w:rFonts w:ascii="Arial" w:cs="Arial" w:eastAsia="Arial" w:hAnsi="Arial"/>
          <w:b/>
          <w:bCs/>
          <w:color w:val="EF4444"/>
          <w:sz w:val="22"/>
          <w:szCs w:val="22"/>
        </w:rPr>
        <w:t xml:space="preserve">⚠ IMPORTANT  </w:t>
      </w:r>
      <w:r>
        <w:rPr>
          <w:rFonts w:ascii="Arial" w:cs="Arial" w:eastAsia="Arial" w:hAnsi="Arial"/>
          <w:color w:val="1F2937"/>
          <w:sz w:val="22"/>
          <w:szCs w:val="22"/>
        </w:rPr>
        <w:t xml:space="preserve">The model does NOT predict: free agency moves, trades, coaching changes, offensive scheme shifts, or quarterback changes. These are handled separately by the NFL Expert overlay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A1D2E" w:sz="6"/>
              <w:left w:val="single" w:color="1A1D2E" w:sz="6"/>
              <w:bottom w:val="single" w:color="1A1D2E" w:sz="6"/>
              <w:right w:val="single" w:color="1A1D2E" w:sz="6"/>
            </w:tcBorders>
            <w:shd w:fill="1A1D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Limitation</w:t>
            </w:r>
          </w:p>
        </w:tc>
        <w:tc>
          <w:tcPr>
            <w:tcW w:type="dxa" w:w="6240"/>
            <w:tcBorders>
              <w:top w:val="single" w:color="1A1D2E" w:sz="6"/>
              <w:left w:val="single" w:color="1A1D2E" w:sz="6"/>
              <w:bottom w:val="single" w:color="1A1D2E" w:sz="6"/>
              <w:right w:val="single" w:color="1A1D2E" w:sz="6"/>
            </w:tcBorders>
            <w:shd w:fill="1A1D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Impact &amp; Mitigation</w:t>
            </w:r>
          </w:p>
        </w:tc>
      </w:tr>
      <w:tr>
        <w:tc>
          <w:tcPr>
            <w:tcW w:type="dxa" w:w="312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No age-curve modeling</w:t>
            </w:r>
          </w:p>
        </w:tc>
        <w:tc>
          <w:tcPr>
            <w:tcW w:type="dxa" w:w="624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Older players (QB 35+, RB 30+, TE 33+) may be overvalued by pure statistics. Mitigated by NFL Expert age-cliff multipliers.</w:t>
            </w:r>
          </w:p>
        </w:tc>
      </w:tr>
      <w:tr>
        <w:tc>
          <w:tcPr>
            <w:tcW w:type="dxa" w:w="312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Team context ignored</w:t>
            </w:r>
          </w:p>
        </w:tc>
        <w:tc>
          <w:tcPr>
            <w:tcW w:type="dxa" w:w="624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A receiver who changes teams can see 30%+ value swings. Mitigated by EXPERT_TEAM_CORRECTIONS and named multipliers.</w:t>
            </w:r>
          </w:p>
        </w:tc>
      </w:tr>
      <w:tr>
        <w:tc>
          <w:tcPr>
            <w:tcW w:type="dxa" w:w="312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Single-season recency</w:t>
            </w:r>
          </w:p>
        </w:tc>
        <w:tc>
          <w:tcPr>
            <w:tcW w:type="dxa" w:w="624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Projection base is the latest qualifying season only. A player returning from a multi-year absence may have stale rate estimates.</w:t>
            </w:r>
          </w:p>
        </w:tc>
      </w:tr>
      <w:tr>
        <w:tc>
          <w:tcPr>
            <w:tcW w:type="dxa" w:w="312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No role-depth signal</w:t>
            </w:r>
          </w:p>
        </w:tc>
        <w:tc>
          <w:tcPr>
            <w:tcW w:type="dxa" w:w="624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The model cannot distinguish a true WR1 from a slot receiver with similar per-game rates unless targets and snap rate data are present.</w:t>
            </w:r>
          </w:p>
        </w:tc>
      </w:tr>
      <w:tr>
        <w:tc>
          <w:tcPr>
            <w:tcW w:type="dxa" w:w="312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Injury severity unknown</w:t>
            </w:r>
          </w:p>
        </w:tc>
        <w:tc>
          <w:tcPr>
            <w:tcW w:type="dxa" w:w="624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The games-blending formula treats all missed games equally regardless of injury type (torn ACL vs. hamstring). Force-include partially addresses this.</w:t>
            </w:r>
          </w:p>
        </w:tc>
      </w:tr>
    </w:tbl>
    <w:p>
      <w:r>
        <w:br w:type="page"/>
      </w:r>
    </w:p>
    <w:p>
      <w:pPr>
        <w:pStyle w:val="Heading1"/>
        <w:shd w:fill="1A1D2E" w:val="clear"/>
        <w:spacing w:before="360" w:after="200"/>
        <w:ind w:left="240" w:right="240"/>
      </w:pPr>
      <w:r>
        <w:rPr>
          <w:rFonts w:ascii="Arial" w:cs="Arial" w:eastAsia="Arial" w:hAnsi="Arial"/>
          <w:b/>
          <w:bCs/>
          <w:color w:val="FFFFFF"/>
          <w:sz w:val="36"/>
          <w:szCs w:val="36"/>
        </w:rPr>
        <w:t xml:space="preserve">2026 OFFSEASON INTELLIGENCE</w:t>
      </w:r>
    </w:p>
    <w:p>
      <w:pPr>
        <w:spacing w:after="180"/>
      </w:pPr>
      <w:r>
        <w:rPr>
          <w:rFonts w:ascii="Arial" w:cs="Arial" w:eastAsia="Arial" w:hAnsi="Arial"/>
          <w:b/>
          <w:bCs/>
          <w:i/>
          <w:iCs/>
          <w:color w:val="F59E0B"/>
          <w:sz w:val="20"/>
          <w:szCs w:val="20"/>
        </w:rPr>
        <w:t xml:space="preserve">From the NFL Expert Agent</w:t>
      </w:r>
    </w:p>
    <w:p>
      <w:pPr>
        <w:spacing w:after="160" w:line="360"/>
        <w:jc w:val="both"/>
      </w:pPr>
      <w:r>
        <w:rPr>
          <w:rFonts w:ascii="Arial" w:cs="Arial" w:eastAsia="Arial" w:hAnsi="Arial"/>
          <w:color w:val="1F2937"/>
          <w:sz w:val="22"/>
          <w:szCs w:val="22"/>
        </w:rPr>
        <w:t xml:space="preserve">The statistical model is trained on historical patterns but has no awareness of what happened in the 2026 offseason. My role is to audit every player projection against live NFL news, free agency signings, trades, retirements, and suspensions, then apply targeted multipliers and team corrections that bring the model into alignment with 2026 reality.</w:t>
      </w:r>
    </w:p>
    <w:p>
      <w:pPr>
        <w:spacing w:after="160" w:line="360"/>
        <w:jc w:val="both"/>
      </w:pPr>
      <w:r>
        <w:rPr>
          <w:rFonts w:ascii="Arial" w:cs="Arial" w:eastAsia="Arial" w:hAnsi="Arial"/>
          <w:color w:val="1F2937"/>
          <w:sz w:val="22"/>
          <w:szCs w:val="22"/>
        </w:rPr>
        <w:t xml:space="preserve">The following analysis was conducted using live web searches of NFL.com, ESPN, Pro Football Reference, and major fantasy outlets in March 2026.</w:t>
      </w:r>
    </w:p>
    <w:p>
      <w:pPr>
        <w:pStyle w:val="Heading2"/>
        <w:pBdr>
          <w:bottom w:val="single" w:color="F59E0B" w:sz="6" w:space="1"/>
        </w:pBdr>
        <w:spacing w:before="300" w:after="160"/>
      </w:pPr>
      <w:r>
        <w:rPr>
          <w:rFonts w:ascii="Arial" w:cs="Arial" w:eastAsia="Arial" w:hAnsi="Arial"/>
          <w:b/>
          <w:bCs/>
          <w:color w:val="1A1D2E"/>
          <w:sz w:val="28"/>
          <w:szCs w:val="28"/>
        </w:rPr>
        <w:t xml:space="preserve">Team Corrections Applied</w:t>
      </w:r>
    </w:p>
    <w:p>
      <w:pPr>
        <w:spacing w:after="160" w:line="360"/>
        <w:jc w:val="both"/>
      </w:pPr>
      <w:r>
        <w:rPr>
          <w:rFonts w:ascii="Arial" w:cs="Arial" w:eastAsia="Arial" w:hAnsi="Arial"/>
          <w:color w:val="1F2937"/>
          <w:sz w:val="22"/>
          <w:szCs w:val="22"/>
        </w:rPr>
        <w:t xml:space="preserve">Nine players had their displayed team updated to reflect confirmed 2026 destinations: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3160"/>
      </w:tblGrid>
      <w:tr>
        <w:trPr>
          <w:tblHeader/>
        </w:trPr>
        <w:tc>
          <w:tcPr>
            <w:tcW w:type="dxa" w:w="2600"/>
            <w:tcBorders>
              <w:top w:val="single" w:color="1A1D2E" w:sz="6"/>
              <w:left w:val="single" w:color="1A1D2E" w:sz="6"/>
              <w:bottom w:val="single" w:color="1A1D2E" w:sz="6"/>
              <w:right w:val="single" w:color="1A1D2E" w:sz="6"/>
            </w:tcBorders>
            <w:shd w:fill="1A1D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Player</w:t>
            </w:r>
          </w:p>
        </w:tc>
        <w:tc>
          <w:tcPr>
            <w:tcW w:type="dxa" w:w="1800"/>
            <w:tcBorders>
              <w:top w:val="single" w:color="1A1D2E" w:sz="6"/>
              <w:left w:val="single" w:color="1A1D2E" w:sz="6"/>
              <w:bottom w:val="single" w:color="1A1D2E" w:sz="6"/>
              <w:right w:val="single" w:color="1A1D2E" w:sz="6"/>
            </w:tcBorders>
            <w:shd w:fill="1A1D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Old Team</w:t>
            </w:r>
          </w:p>
        </w:tc>
        <w:tc>
          <w:tcPr>
            <w:tcW w:type="dxa" w:w="1800"/>
            <w:tcBorders>
              <w:top w:val="single" w:color="1A1D2E" w:sz="6"/>
              <w:left w:val="single" w:color="1A1D2E" w:sz="6"/>
              <w:bottom w:val="single" w:color="1A1D2E" w:sz="6"/>
              <w:right w:val="single" w:color="1A1D2E" w:sz="6"/>
            </w:tcBorders>
            <w:shd w:fill="1A1D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New Team</w:t>
            </w:r>
          </w:p>
        </w:tc>
        <w:tc>
          <w:tcPr>
            <w:tcW w:type="dxa" w:w="3160"/>
            <w:tcBorders>
              <w:top w:val="single" w:color="1A1D2E" w:sz="6"/>
              <w:left w:val="single" w:color="1A1D2E" w:sz="6"/>
              <w:bottom w:val="single" w:color="1A1D2E" w:sz="6"/>
              <w:right w:val="single" w:color="1A1D2E" w:sz="6"/>
            </w:tcBorders>
            <w:shd w:fill="1A1D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Context</w:t>
            </w:r>
          </w:p>
        </w:tc>
      </w:tr>
      <w:tr>
        <w:tc>
          <w:tcPr>
            <w:tcW w:type="dxa" w:w="260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Tua Tagovailoa</w:t>
            </w:r>
          </w:p>
        </w:tc>
        <w:tc>
          <w:tcPr>
            <w:tcW w:type="dxa" w:w="180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MIA</w:t>
            </w:r>
          </w:p>
        </w:tc>
        <w:tc>
          <w:tcPr>
            <w:tcW w:type="dxa" w:w="180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ATL</w:t>
            </w:r>
          </w:p>
        </w:tc>
        <w:tc>
          <w:tcPr>
            <w:tcW w:type="dxa" w:w="316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1-year deal; competes with Penix Jr. (ACL); limited investment</w:t>
            </w:r>
          </w:p>
        </w:tc>
      </w:tr>
      <w:tr>
        <w:tc>
          <w:tcPr>
            <w:tcW w:type="dxa" w:w="260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Kyler Murray</w:t>
            </w:r>
          </w:p>
        </w:tc>
        <w:tc>
          <w:tcPr>
            <w:tcW w:type="dxa" w:w="180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ARI</w:t>
            </w:r>
          </w:p>
        </w:tc>
        <w:tc>
          <w:tcPr>
            <w:tcW w:type="dxa" w:w="180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MIN</w:t>
            </w:r>
          </w:p>
        </w:tc>
        <w:tc>
          <w:tcPr>
            <w:tcW w:type="dxa" w:w="316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1-year deal; inherits Justin Jefferson + Jordan Addison</w:t>
            </w:r>
          </w:p>
        </w:tc>
      </w:tr>
      <w:tr>
        <w:tc>
          <w:tcPr>
            <w:tcW w:type="dxa" w:w="260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Jaylen Waddle</w:t>
            </w:r>
          </w:p>
        </w:tc>
        <w:tc>
          <w:tcPr>
            <w:tcW w:type="dxa" w:w="180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MIA</w:t>
            </w:r>
          </w:p>
        </w:tc>
        <w:tc>
          <w:tcPr>
            <w:tcW w:type="dxa" w:w="180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DEN</w:t>
            </w:r>
          </w:p>
        </w:tc>
        <w:tc>
          <w:tcPr>
            <w:tcW w:type="dxa" w:w="316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Traded; Bo Nix provides QB stability after Tua departure</w:t>
            </w:r>
          </w:p>
        </w:tc>
      </w:tr>
      <w:tr>
        <w:tc>
          <w:tcPr>
            <w:tcW w:type="dxa" w:w="260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Michael Pittman Jr.</w:t>
            </w:r>
          </w:p>
        </w:tc>
        <w:tc>
          <w:tcPr>
            <w:tcW w:type="dxa" w:w="180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IND</w:t>
            </w:r>
          </w:p>
        </w:tc>
        <w:tc>
          <w:tcPr>
            <w:tcW w:type="dxa" w:w="180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PIT</w:t>
            </w:r>
          </w:p>
        </w:tc>
        <w:tc>
          <w:tcPr>
            <w:tcW w:type="dxa" w:w="316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Traded; joins strong PIT passing offense</w:t>
            </w:r>
          </w:p>
        </w:tc>
      </w:tr>
      <w:tr>
        <w:tc>
          <w:tcPr>
            <w:tcW w:type="dxa" w:w="260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DJ Moore</w:t>
            </w:r>
          </w:p>
        </w:tc>
        <w:tc>
          <w:tcPr>
            <w:tcW w:type="dxa" w:w="180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CHI</w:t>
            </w:r>
          </w:p>
        </w:tc>
        <w:tc>
          <w:tcPr>
            <w:tcW w:type="dxa" w:w="180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BUF</w:t>
            </w:r>
          </w:p>
        </w:tc>
        <w:tc>
          <w:tcPr>
            <w:tcW w:type="dxa" w:w="316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Traded; massive upgrade pairing with Josh Allen</w:t>
            </w:r>
          </w:p>
        </w:tc>
      </w:tr>
      <w:tr>
        <w:tc>
          <w:tcPr>
            <w:tcW w:type="dxa" w:w="260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Malik Willis</w:t>
            </w:r>
          </w:p>
        </w:tc>
        <w:tc>
          <w:tcPr>
            <w:tcW w:type="dxa" w:w="180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Free Agent</w:t>
            </w:r>
          </w:p>
        </w:tc>
        <w:tc>
          <w:tcPr>
            <w:tcW w:type="dxa" w:w="180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MIA</w:t>
            </w:r>
          </w:p>
        </w:tc>
        <w:tc>
          <w:tcPr>
            <w:tcW w:type="dxa" w:w="316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3-yr $67.5M deal; new MIA starter replacing Tua</w:t>
            </w:r>
          </w:p>
        </w:tc>
      </w:tr>
      <w:tr>
        <w:tc>
          <w:tcPr>
            <w:tcW w:type="dxa" w:w="260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Kenneth Walker III</w:t>
            </w:r>
          </w:p>
        </w:tc>
        <w:tc>
          <w:tcPr>
            <w:tcW w:type="dxa" w:w="180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SEA</w:t>
            </w:r>
          </w:p>
        </w:tc>
        <w:tc>
          <w:tcPr>
            <w:tcW w:type="dxa" w:w="180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KC</w:t>
            </w:r>
          </w:p>
        </w:tc>
        <w:tc>
          <w:tcPr>
            <w:tcW w:type="dxa" w:w="316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3-yr $43M; joins Andy Reid system with Mahomes</w:t>
            </w:r>
          </w:p>
        </w:tc>
      </w:tr>
      <w:tr>
        <w:tc>
          <w:tcPr>
            <w:tcW w:type="dxa" w:w="260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Mike Evans</w:t>
            </w:r>
          </w:p>
        </w:tc>
        <w:tc>
          <w:tcPr>
            <w:tcW w:type="dxa" w:w="180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TB</w:t>
            </w:r>
          </w:p>
        </w:tc>
        <w:tc>
          <w:tcPr>
            <w:tcW w:type="dxa" w:w="180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SF</w:t>
            </w:r>
          </w:p>
        </w:tc>
        <w:tc>
          <w:tcPr>
            <w:tcW w:type="dxa" w:w="316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3-yr $60.4M; age 32 + 2025 injury concerns</w:t>
            </w:r>
          </w:p>
        </w:tc>
      </w:tr>
      <w:tr>
        <w:tc>
          <w:tcPr>
            <w:tcW w:type="dxa" w:w="260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Travis Etienne Jr.</w:t>
            </w:r>
          </w:p>
        </w:tc>
        <w:tc>
          <w:tcPr>
            <w:tcW w:type="dxa" w:w="180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JAX</w:t>
            </w:r>
          </w:p>
        </w:tc>
        <w:tc>
          <w:tcPr>
            <w:tcW w:type="dxa" w:w="180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NO</w:t>
            </w:r>
          </w:p>
        </w:tc>
        <w:tc>
          <w:tcPr>
            <w:tcW w:type="dxa" w:w="316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Signed with New Orleans Saints</w:t>
            </w:r>
          </w:p>
        </w:tc>
      </w:tr>
    </w:tbl>
    <w:p>
      <w:pPr>
        <w:pStyle w:val="Heading2"/>
        <w:pBdr>
          <w:bottom w:val="single" w:color="F59E0B" w:sz="6" w:space="1"/>
        </w:pBdr>
        <w:spacing w:before="300" w:after="160"/>
      </w:pPr>
      <w:r>
        <w:rPr>
          <w:rFonts w:ascii="Arial" w:cs="Arial" w:eastAsia="Arial" w:hAnsi="Arial"/>
          <w:b/>
          <w:bCs/>
          <w:color w:val="1A1D2E"/>
          <w:sz w:val="28"/>
          <w:szCs w:val="28"/>
        </w:rPr>
        <w:t xml:space="preserve">Players Removed from Board</w:t>
      </w:r>
    </w:p>
    <w:p>
      <w:pPr>
        <w:spacing w:after="160" w:line="360"/>
        <w:jc w:val="both"/>
      </w:pPr>
      <w:r>
        <w:rPr>
          <w:rFonts w:ascii="Arial" w:cs="Arial" w:eastAsia="Arial" w:hAnsi="Arial"/>
          <w:color w:val="1F2937"/>
          <w:sz w:val="22"/>
          <w:szCs w:val="22"/>
        </w:rPr>
        <w:t xml:space="preserve">The following players were removed from the 2026 big board entirely as they are not projected to contribute meaningful fantasy output:</w:t>
      </w:r>
    </w:p>
    <w:p>
      <w:pPr>
        <w:pStyle w:val="ListParagraph"/>
        <w:numPr>
          <w:ilvl w:val="0"/>
          <w:numId w:val="2"/>
        </w:numPr>
        <w:spacing w:after="80"/>
      </w:pPr>
      <w:r>
        <w:rPr>
          <w:rFonts w:ascii="Arial" w:cs="Arial" w:eastAsia="Arial" w:hAnsi="Arial"/>
          <w:color w:val="1F2937"/>
          <w:sz w:val="22"/>
          <w:szCs w:val="22"/>
        </w:rPr>
        <w:t xml:space="preserve">Kirk Cousins — Not a projected 2026 starter in any confirmed role.</w:t>
      </w:r>
    </w:p>
    <w:p>
      <w:pPr>
        <w:pStyle w:val="ListParagraph"/>
        <w:numPr>
          <w:ilvl w:val="0"/>
          <w:numId w:val="2"/>
        </w:numPr>
        <w:spacing w:after="80"/>
      </w:pPr>
      <w:r>
        <w:rPr>
          <w:rFonts w:ascii="Arial" w:cs="Arial" w:eastAsia="Arial" w:hAnsi="Arial"/>
          <w:color w:val="1F2937"/>
          <w:sz w:val="22"/>
          <w:szCs w:val="22"/>
        </w:rPr>
        <w:t xml:space="preserve">Matthew Stafford — Age 38; likely retired or in a confirmed backup role.</w:t>
      </w:r>
    </w:p>
    <w:p>
      <w:pPr>
        <w:pStyle w:val="ListParagraph"/>
        <w:numPr>
          <w:ilvl w:val="0"/>
          <w:numId w:val="2"/>
        </w:numPr>
        <w:spacing w:after="80"/>
      </w:pPr>
      <w:r>
        <w:rPr>
          <w:rFonts w:ascii="Arial" w:cs="Arial" w:eastAsia="Arial" w:hAnsi="Arial"/>
          <w:color w:val="1F2937"/>
          <w:sz w:val="22"/>
          <w:szCs w:val="22"/>
        </w:rPr>
        <w:t xml:space="preserve">Rob Gronkowski — Officially retired March 12, 2026 (signed one-day contract to retire as a Patriot).</w:t>
      </w:r>
    </w:p>
    <w:p>
      <w:pPr>
        <w:pStyle w:val="ListParagraph"/>
        <w:numPr>
          <w:ilvl w:val="0"/>
          <w:numId w:val="2"/>
        </w:numPr>
        <w:spacing w:after="80"/>
      </w:pPr>
      <w:r>
        <w:rPr>
          <w:rFonts w:ascii="Arial" w:cs="Arial" w:eastAsia="Arial" w:hAnsi="Arial"/>
          <w:color w:val="1F2937"/>
          <w:sz w:val="22"/>
          <w:szCs w:val="22"/>
        </w:rPr>
        <w:t xml:space="preserve">Michael Penix Jr. — ACL reconstruction surgery in November 2025; Week 1 availability for 2026 remains uncertain.</w:t>
      </w:r>
    </w:p>
    <w:p>
      <w:pPr>
        <w:pStyle w:val="Heading2"/>
        <w:pBdr>
          <w:bottom w:val="single" w:color="F59E0B" w:sz="6" w:space="1"/>
        </w:pBdr>
        <w:spacing w:before="300" w:after="160"/>
      </w:pPr>
      <w:r>
        <w:rPr>
          <w:rFonts w:ascii="Arial" w:cs="Arial" w:eastAsia="Arial" w:hAnsi="Arial"/>
          <w:b/>
          <w:bCs/>
          <w:color w:val="1A1D2E"/>
          <w:sz w:val="28"/>
          <w:szCs w:val="28"/>
        </w:rPr>
        <w:t xml:space="preserve">Overvalued Players: Downward Adjustments</w:t>
      </w:r>
    </w:p>
    <w:p>
      <w:pPr>
        <w:spacing w:after="160" w:line="360"/>
        <w:jc w:val="both"/>
      </w:pPr>
      <w:r>
        <w:rPr>
          <w:rFonts w:ascii="Arial" w:cs="Arial" w:eastAsia="Arial" w:hAnsi="Arial"/>
          <w:color w:val="1F2937"/>
          <w:sz w:val="22"/>
          <w:szCs w:val="22"/>
        </w:rPr>
        <w:t xml:space="preserve">These players had their model projection reduced based on contextual factors the statistical model cannot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5660"/>
      </w:tblGrid>
      <w:tr>
        <w:trPr>
          <w:tblHeader/>
        </w:trPr>
        <w:tc>
          <w:tcPr>
            <w:tcW w:type="dxa" w:w="2600"/>
            <w:tcBorders>
              <w:top w:val="single" w:color="1A1D2E" w:sz="6"/>
              <w:left w:val="single" w:color="1A1D2E" w:sz="6"/>
              <w:bottom w:val="single" w:color="1A1D2E" w:sz="6"/>
              <w:right w:val="single" w:color="1A1D2E" w:sz="6"/>
            </w:tcBorders>
            <w:shd w:fill="1A1D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Player</w:t>
            </w:r>
          </w:p>
        </w:tc>
        <w:tc>
          <w:tcPr>
            <w:tcW w:type="dxa" w:w="1100"/>
            <w:tcBorders>
              <w:top w:val="single" w:color="1A1D2E" w:sz="6"/>
              <w:left w:val="single" w:color="1A1D2E" w:sz="6"/>
              <w:bottom w:val="single" w:color="1A1D2E" w:sz="6"/>
              <w:right w:val="single" w:color="1A1D2E" w:sz="6"/>
            </w:tcBorders>
            <w:shd w:fill="1A1D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Multiplier</w:t>
            </w:r>
          </w:p>
        </w:tc>
        <w:tc>
          <w:tcPr>
            <w:tcW w:type="dxa" w:w="5660"/>
            <w:tcBorders>
              <w:top w:val="single" w:color="1A1D2E" w:sz="6"/>
              <w:left w:val="single" w:color="1A1D2E" w:sz="6"/>
              <w:bottom w:val="single" w:color="1A1D2E" w:sz="6"/>
              <w:right w:val="single" w:color="1A1D2E" w:sz="6"/>
            </w:tcBorders>
            <w:shd w:fill="1A1D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Expert Reasoning</w:t>
            </w:r>
          </w:p>
        </w:tc>
      </w:tr>
      <w:tr>
        <w:tc>
          <w:tcPr>
            <w:tcW w:type="dxa" w:w="260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b/>
                <w:bCs/>
                <w:color w:val="1A1D2E"/>
                <w:sz w:val="20"/>
                <w:szCs w:val="20"/>
              </w:rPr>
              <w:t xml:space="preserve">Travis Kelce</w:t>
            </w:r>
          </w:p>
        </w:tc>
        <w:tc>
          <w:tcPr>
            <w:tcW w:type="dxa" w:w="110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b w:val="false"/>
                <w:bCs w:val="false"/>
                <w:color w:val="1F2937"/>
                <w:sz w:val="20"/>
                <w:szCs w:val="20"/>
              </w:rPr>
              <w:t xml:space="preserve">0.82×</w:t>
            </w:r>
          </w:p>
        </w:tc>
        <w:tc>
          <w:tcPr>
            <w:tcW w:type="dxa" w:w="566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b w:val="false"/>
                <w:bCs w:val="false"/>
                <w:color w:val="1F2937"/>
                <w:sz w:val="20"/>
                <w:szCs w:val="20"/>
              </w:rPr>
              <w:t xml:space="preserve">Age cliff (36 in 2026). Target share has declined two consecutive seasons. Even elite TEs show significant output drops after age 35.</w:t>
            </w:r>
          </w:p>
        </w:tc>
      </w:tr>
      <w:tr>
        <w:tc>
          <w:tcPr>
            <w:tcW w:type="dxa" w:w="260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b/>
                <w:bCs/>
                <w:color w:val="1A1D2E"/>
                <w:sz w:val="20"/>
                <w:szCs w:val="20"/>
              </w:rPr>
              <w:t xml:space="preserve">Derrick Henry</w:t>
            </w:r>
          </w:p>
        </w:tc>
        <w:tc>
          <w:tcPr>
            <w:tcW w:type="dxa" w:w="110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b w:val="false"/>
                <w:bCs w:val="false"/>
                <w:color w:val="1F2937"/>
                <w:sz w:val="20"/>
                <w:szCs w:val="20"/>
              </w:rPr>
              <w:t xml:space="preserve">0.85×</w:t>
            </w:r>
          </w:p>
        </w:tc>
        <w:tc>
          <w:tcPr>
            <w:tcW w:type="dxa" w:w="566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b w:val="false"/>
                <w:bCs w:val="false"/>
                <w:color w:val="1F2937"/>
                <w:sz w:val="20"/>
                <w:szCs w:val="20"/>
              </w:rPr>
              <w:t xml:space="preserve">Age regression for a high-volume RB at 32+. Carries accumulation increases injury risk. Elite production in 2024 (Eagles) will face regression.</w:t>
            </w:r>
          </w:p>
        </w:tc>
      </w:tr>
      <w:tr>
        <w:tc>
          <w:tcPr>
            <w:tcW w:type="dxa" w:w="260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b/>
                <w:bCs/>
                <w:color w:val="1A1D2E"/>
                <w:sz w:val="20"/>
                <w:szCs w:val="20"/>
              </w:rPr>
              <w:t xml:space="preserve">Patrick Mahomes</w:t>
            </w:r>
          </w:p>
        </w:tc>
        <w:tc>
          <w:tcPr>
            <w:tcW w:type="dxa" w:w="110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b w:val="false"/>
                <w:bCs w:val="false"/>
                <w:color w:val="1F2937"/>
                <w:sz w:val="20"/>
                <w:szCs w:val="20"/>
              </w:rPr>
              <w:t xml:space="preserve">0.92×</w:t>
            </w:r>
          </w:p>
        </w:tc>
        <w:tc>
          <w:tcPr>
            <w:tcW w:type="dxa" w:w="566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b w:val="false"/>
                <w:bCs w:val="false"/>
                <w:color w:val="1F2937"/>
                <w:sz w:val="20"/>
                <w:szCs w:val="20"/>
              </w:rPr>
              <w:t xml:space="preserve">ACL surgery in 2025; recovery timeline introduces Week 1 uncertainty. Even a partial early-season limitation meaningfully affects PPR totals.</w:t>
            </w:r>
          </w:p>
        </w:tc>
      </w:tr>
      <w:tr>
        <w:tc>
          <w:tcPr>
            <w:tcW w:type="dxa" w:w="260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b/>
                <w:bCs/>
                <w:color w:val="1A1D2E"/>
                <w:sz w:val="20"/>
                <w:szCs w:val="20"/>
              </w:rPr>
              <w:t xml:space="preserve">Puka Nacua</w:t>
            </w:r>
          </w:p>
        </w:tc>
        <w:tc>
          <w:tcPr>
            <w:tcW w:type="dxa" w:w="110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b w:val="false"/>
                <w:bCs w:val="false"/>
                <w:color w:val="1F2937"/>
                <w:sz w:val="20"/>
                <w:szCs w:val="20"/>
              </w:rPr>
              <w:t xml:space="preserve">0.87×</w:t>
            </w:r>
          </w:p>
        </w:tc>
        <w:tc>
          <w:tcPr>
            <w:tcW w:type="dxa" w:w="566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b w:val="false"/>
                <w:bCs w:val="false"/>
                <w:color w:val="1F2937"/>
                <w:sz w:val="20"/>
                <w:szCs w:val="20"/>
              </w:rPr>
              <w:t xml:space="preserve">Established injury-prone pattern. Limited to partial seasons in both 2024 and 2025. Target share floor is lower without consistent health.</w:t>
            </w:r>
          </w:p>
        </w:tc>
      </w:tr>
      <w:tr>
        <w:tc>
          <w:tcPr>
            <w:tcW w:type="dxa" w:w="260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b/>
                <w:bCs/>
                <w:color w:val="1A1D2E"/>
                <w:sz w:val="20"/>
                <w:szCs w:val="20"/>
              </w:rPr>
              <w:t xml:space="preserve">Rashee Rice</w:t>
            </w:r>
          </w:p>
        </w:tc>
        <w:tc>
          <w:tcPr>
            <w:tcW w:type="dxa" w:w="110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b w:val="false"/>
                <w:bCs w:val="false"/>
                <w:color w:val="1F2937"/>
                <w:sz w:val="20"/>
                <w:szCs w:val="20"/>
              </w:rPr>
              <w:t xml:space="preserve">0.70×</w:t>
            </w:r>
          </w:p>
        </w:tc>
        <w:tc>
          <w:tcPr>
            <w:tcW w:type="dxa" w:w="566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b w:val="false"/>
                <w:bCs w:val="false"/>
                <w:color w:val="1F2937"/>
                <w:sz w:val="20"/>
                <w:szCs w:val="20"/>
              </w:rPr>
              <w:t xml:space="preserve">Suspension carryover limits him to approximately Week 7+ availability, equating to roughly 10 games. Reduces counting stat accumulation significantly.</w:t>
            </w:r>
          </w:p>
        </w:tc>
      </w:tr>
      <w:tr>
        <w:tc>
          <w:tcPr>
            <w:tcW w:type="dxa" w:w="260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b/>
                <w:bCs/>
                <w:color w:val="1A1D2E"/>
                <w:sz w:val="20"/>
                <w:szCs w:val="20"/>
              </w:rPr>
              <w:t xml:space="preserve">Trey McBride</w:t>
            </w:r>
          </w:p>
        </w:tc>
        <w:tc>
          <w:tcPr>
            <w:tcW w:type="dxa" w:w="110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b w:val="false"/>
                <w:bCs w:val="false"/>
                <w:color w:val="1F2937"/>
                <w:sz w:val="20"/>
                <w:szCs w:val="20"/>
              </w:rPr>
              <w:t xml:space="preserve">0.90×</w:t>
            </w:r>
          </w:p>
        </w:tc>
        <w:tc>
          <w:tcPr>
            <w:tcW w:type="dxa" w:w="566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b w:val="false"/>
                <w:bCs w:val="false"/>
                <w:color w:val="1F2937"/>
                <w:sz w:val="20"/>
                <w:szCs w:val="20"/>
              </w:rPr>
              <w:t xml:space="preserve">Career-year spike in 2025 unlikely to fully repeat. ARI offense remains inconsistent with QB uncertainty.</w:t>
            </w:r>
          </w:p>
        </w:tc>
      </w:tr>
      <w:tr>
        <w:tc>
          <w:tcPr>
            <w:tcW w:type="dxa" w:w="260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b/>
                <w:bCs/>
                <w:color w:val="1A1D2E"/>
                <w:sz w:val="20"/>
                <w:szCs w:val="20"/>
              </w:rPr>
              <w:t xml:space="preserve">Drake Maye</w:t>
            </w:r>
          </w:p>
        </w:tc>
        <w:tc>
          <w:tcPr>
            <w:tcW w:type="dxa" w:w="110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b w:val="false"/>
                <w:bCs w:val="false"/>
                <w:color w:val="1F2937"/>
                <w:sz w:val="20"/>
                <w:szCs w:val="20"/>
              </w:rPr>
              <w:t xml:space="preserve">0.88×</w:t>
            </w:r>
          </w:p>
        </w:tc>
        <w:tc>
          <w:tcPr>
            <w:tcW w:type="dxa" w:w="566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b w:val="false"/>
                <w:bCs w:val="false"/>
                <w:color w:val="1F2937"/>
                <w:sz w:val="20"/>
                <w:szCs w:val="20"/>
              </w:rPr>
              <w:t xml:space="preserve">Year-2 NFL QB development is highly variable. New England’s supporting cast remains thin, limiting ceiling.</w:t>
            </w:r>
          </w:p>
        </w:tc>
      </w:tr>
      <w:tr>
        <w:tc>
          <w:tcPr>
            <w:tcW w:type="dxa" w:w="260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b/>
                <w:bCs/>
                <w:color w:val="1A1D2E"/>
                <w:sz w:val="20"/>
                <w:szCs w:val="20"/>
              </w:rPr>
              <w:t xml:space="preserve">Tua Tagovailoa</w:t>
            </w:r>
          </w:p>
        </w:tc>
        <w:tc>
          <w:tcPr>
            <w:tcW w:type="dxa" w:w="110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b w:val="false"/>
                <w:bCs w:val="false"/>
                <w:color w:val="1F2937"/>
                <w:sz w:val="20"/>
                <w:szCs w:val="20"/>
              </w:rPr>
              <w:t xml:space="preserve">0.75×</w:t>
            </w:r>
          </w:p>
        </w:tc>
        <w:tc>
          <w:tcPr>
            <w:tcW w:type="dxa" w:w="566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b w:val="false"/>
                <w:bCs w:val="false"/>
                <w:color w:val="1F2937"/>
                <w:sz w:val="20"/>
                <w:szCs w:val="20"/>
              </w:rPr>
              <w:t xml:space="preserve">ATL move is a major downgrade. Competing with Michael Penix Jr. for the starting role. Signed at veteran minimum ($1.3M), signaling low team investment.</w:t>
            </w:r>
          </w:p>
        </w:tc>
      </w:tr>
      <w:tr>
        <w:tc>
          <w:tcPr>
            <w:tcW w:type="dxa" w:w="260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b/>
                <w:bCs/>
                <w:color w:val="1A1D2E"/>
                <w:sz w:val="20"/>
                <w:szCs w:val="20"/>
              </w:rPr>
              <w:t xml:space="preserve">Mike Evans</w:t>
            </w:r>
          </w:p>
        </w:tc>
        <w:tc>
          <w:tcPr>
            <w:tcW w:type="dxa" w:w="110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b w:val="false"/>
                <w:bCs w:val="false"/>
                <w:color w:val="1F2937"/>
                <w:sz w:val="20"/>
                <w:szCs w:val="20"/>
              </w:rPr>
              <w:t xml:space="preserve">0.80×</w:t>
            </w:r>
          </w:p>
        </w:tc>
        <w:tc>
          <w:tcPr>
            <w:tcW w:type="dxa" w:w="566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b w:val="false"/>
                <w:bCs w:val="false"/>
                <w:color w:val="1F2937"/>
                <w:sz w:val="20"/>
                <w:szCs w:val="20"/>
              </w:rPr>
              <w:t xml:space="preserve">Age 32 + limited to 8 games in 2025 (hamstring/collarbone). SF is a high-quality system but Evans faces real durability questions.</w:t>
            </w:r>
          </w:p>
        </w:tc>
      </w:tr>
      <w:tr>
        <w:tc>
          <w:tcPr>
            <w:tcW w:type="dxa" w:w="260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b/>
                <w:bCs/>
                <w:color w:val="1A1D2E"/>
                <w:sz w:val="20"/>
                <w:szCs w:val="20"/>
              </w:rPr>
              <w:t xml:space="preserve">De’Von Achane</w:t>
            </w:r>
          </w:p>
        </w:tc>
        <w:tc>
          <w:tcPr>
            <w:tcW w:type="dxa" w:w="110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b w:val="false"/>
                <w:bCs w:val="false"/>
                <w:color w:val="1F2937"/>
                <w:sz w:val="20"/>
                <w:szCs w:val="20"/>
              </w:rPr>
              <w:t xml:space="preserve">0.80×</w:t>
            </w:r>
          </w:p>
        </w:tc>
        <w:tc>
          <w:tcPr>
            <w:tcW w:type="dxa" w:w="566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b w:val="false"/>
                <w:bCs w:val="false"/>
                <w:color w:val="1F2937"/>
                <w:sz w:val="20"/>
                <w:szCs w:val="20"/>
              </w:rPr>
              <w:t xml:space="preserve">Malik Willis replacing Tua in Miami is a significant QB downgrade. Achane’s elite receiving value was predicated on Tua’s accuracy.</w:t>
            </w:r>
          </w:p>
        </w:tc>
      </w:tr>
    </w:tbl>
    <w:p>
      <w:pPr>
        <w:pStyle w:val="Heading2"/>
        <w:pBdr>
          <w:bottom w:val="single" w:color="F59E0B" w:sz="6" w:space="1"/>
        </w:pBdr>
        <w:spacing w:before="300" w:after="160"/>
      </w:pPr>
      <w:r>
        <w:rPr>
          <w:rFonts w:ascii="Arial" w:cs="Arial" w:eastAsia="Arial" w:hAnsi="Arial"/>
          <w:b/>
          <w:bCs/>
          <w:color w:val="1A1D2E"/>
          <w:sz w:val="28"/>
          <w:szCs w:val="28"/>
        </w:rPr>
        <w:t xml:space="preserve">Undervalued Players: Upward Adjustments</w:t>
      </w:r>
    </w:p>
    <w:p>
      <w:pPr>
        <w:spacing w:after="160" w:line="360"/>
        <w:jc w:val="both"/>
      </w:pPr>
      <w:r>
        <w:rPr>
          <w:rFonts w:ascii="Arial" w:cs="Arial" w:eastAsia="Arial" w:hAnsi="Arial"/>
          <w:color w:val="1F2937"/>
          <w:sz w:val="22"/>
          <w:szCs w:val="22"/>
        </w:rPr>
        <w:t xml:space="preserve">These players had their model projection increased based on improved situations, breakout trajectories, or new starter roles the historical data has not yet captured: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5660"/>
      </w:tblGrid>
      <w:tr>
        <w:trPr>
          <w:tblHeader/>
        </w:trPr>
        <w:tc>
          <w:tcPr>
            <w:tcW w:type="dxa" w:w="2600"/>
            <w:tcBorders>
              <w:top w:val="single" w:color="1A1D2E" w:sz="6"/>
              <w:left w:val="single" w:color="1A1D2E" w:sz="6"/>
              <w:bottom w:val="single" w:color="1A1D2E" w:sz="6"/>
              <w:right w:val="single" w:color="1A1D2E" w:sz="6"/>
            </w:tcBorders>
            <w:shd w:fill="1A1D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Player</w:t>
            </w:r>
          </w:p>
        </w:tc>
        <w:tc>
          <w:tcPr>
            <w:tcW w:type="dxa" w:w="1100"/>
            <w:tcBorders>
              <w:top w:val="single" w:color="1A1D2E" w:sz="6"/>
              <w:left w:val="single" w:color="1A1D2E" w:sz="6"/>
              <w:bottom w:val="single" w:color="1A1D2E" w:sz="6"/>
              <w:right w:val="single" w:color="1A1D2E" w:sz="6"/>
            </w:tcBorders>
            <w:shd w:fill="1A1D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Multiplier</w:t>
            </w:r>
          </w:p>
        </w:tc>
        <w:tc>
          <w:tcPr>
            <w:tcW w:type="dxa" w:w="5660"/>
            <w:tcBorders>
              <w:top w:val="single" w:color="1A1D2E" w:sz="6"/>
              <w:left w:val="single" w:color="1A1D2E" w:sz="6"/>
              <w:bottom w:val="single" w:color="1A1D2E" w:sz="6"/>
              <w:right w:val="single" w:color="1A1D2E" w:sz="6"/>
            </w:tcBorders>
            <w:shd w:fill="1A1D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Expert Reasoning</w:t>
            </w:r>
          </w:p>
        </w:tc>
      </w:tr>
      <w:tr>
        <w:tc>
          <w:tcPr>
            <w:tcW w:type="dxa" w:w="260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b/>
                <w:bCs/>
                <w:color w:val="1A1D2E"/>
                <w:sz w:val="20"/>
                <w:szCs w:val="20"/>
              </w:rPr>
              <w:t xml:space="preserve">Cam Skattebo</w:t>
            </w:r>
          </w:p>
        </w:tc>
        <w:tc>
          <w:tcPr>
            <w:tcW w:type="dxa" w:w="110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b w:val="false"/>
                <w:bCs w:val="false"/>
                <w:color w:val="1F2937"/>
                <w:sz w:val="20"/>
                <w:szCs w:val="20"/>
              </w:rPr>
              <w:t xml:space="preserve">1.20×</w:t>
            </w:r>
          </w:p>
        </w:tc>
        <w:tc>
          <w:tcPr>
            <w:tcW w:type="dxa" w:w="566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b w:val="false"/>
                <w:bCs w:val="false"/>
                <w:color w:val="1F2937"/>
                <w:sz w:val="20"/>
                <w:szCs w:val="20"/>
              </w:rPr>
              <w:t xml:space="preserve">High-volume Giants starter whose 2025 breakout was compressed by a poor surrounding cast. Model underweights him because training data predates his established starter role.</w:t>
            </w:r>
          </w:p>
        </w:tc>
      </w:tr>
      <w:tr>
        <w:tc>
          <w:tcPr>
            <w:tcW w:type="dxa" w:w="260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b/>
                <w:bCs/>
                <w:color w:val="1A1D2E"/>
                <w:sz w:val="20"/>
                <w:szCs w:val="20"/>
              </w:rPr>
              <w:t xml:space="preserve">Bucky Irving</w:t>
            </w:r>
          </w:p>
        </w:tc>
        <w:tc>
          <w:tcPr>
            <w:tcW w:type="dxa" w:w="110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b w:val="false"/>
                <w:bCs w:val="false"/>
                <w:color w:val="1F2937"/>
                <w:sz w:val="20"/>
                <w:szCs w:val="20"/>
              </w:rPr>
              <w:t xml:space="preserve">1.18×</w:t>
            </w:r>
          </w:p>
        </w:tc>
        <w:tc>
          <w:tcPr>
            <w:tcW w:type="dxa" w:w="566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b w:val="false"/>
                <w:bCs w:val="false"/>
                <w:color w:val="1F2937"/>
                <w:sz w:val="20"/>
                <w:szCs w:val="20"/>
              </w:rPr>
              <w:t xml:space="preserve">Projected RB1 in Tampa Bay with a full offseason of preparation. Showed elite YPC efficiency when healthy in 2025.</w:t>
            </w:r>
          </w:p>
        </w:tc>
      </w:tr>
      <w:tr>
        <w:tc>
          <w:tcPr>
            <w:tcW w:type="dxa" w:w="260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b/>
                <w:bCs/>
                <w:color w:val="1A1D2E"/>
                <w:sz w:val="20"/>
                <w:szCs w:val="20"/>
              </w:rPr>
              <w:t xml:space="preserve">Jaxon Smith-Njigba</w:t>
            </w:r>
          </w:p>
        </w:tc>
        <w:tc>
          <w:tcPr>
            <w:tcW w:type="dxa" w:w="110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b w:val="false"/>
                <w:bCs w:val="false"/>
                <w:color w:val="1F2937"/>
                <w:sz w:val="20"/>
                <w:szCs w:val="20"/>
              </w:rPr>
              <w:t xml:space="preserve">1.18×</w:t>
            </w:r>
          </w:p>
        </w:tc>
        <w:tc>
          <w:tcPr>
            <w:tcW w:type="dxa" w:w="566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b w:val="false"/>
                <w:bCs w:val="false"/>
                <w:color w:val="1F2937"/>
                <w:sz w:val="20"/>
                <w:szCs w:val="20"/>
              </w:rPr>
              <w:t xml:space="preserve">Highest-paid WR contract in NFL history. WR1 role fully cemented in Seattle. Model trained on his emergence season; full ceiling not yet captured.</w:t>
            </w:r>
          </w:p>
        </w:tc>
      </w:tr>
      <w:tr>
        <w:tc>
          <w:tcPr>
            <w:tcW w:type="dxa" w:w="260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b/>
                <w:bCs/>
                <w:color w:val="1A1D2E"/>
                <w:sz w:val="20"/>
                <w:szCs w:val="20"/>
              </w:rPr>
              <w:t xml:space="preserve">Tucker Kraft</w:t>
            </w:r>
          </w:p>
        </w:tc>
        <w:tc>
          <w:tcPr>
            <w:tcW w:type="dxa" w:w="110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b w:val="false"/>
                <w:bCs w:val="false"/>
                <w:color w:val="1F2937"/>
                <w:sz w:val="20"/>
                <w:szCs w:val="20"/>
              </w:rPr>
              <w:t xml:space="preserve">1.15×</w:t>
            </w:r>
          </w:p>
        </w:tc>
        <w:tc>
          <w:tcPr>
            <w:tcW w:type="dxa" w:w="566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b w:val="false"/>
                <w:bCs w:val="false"/>
                <w:color w:val="1F2937"/>
                <w:sz w:val="20"/>
                <w:szCs w:val="20"/>
              </w:rPr>
              <w:t xml:space="preserve">Ascending TE1 in Green Bay with Jordan Love developing chemistry. TE breakouts are notoriously underweighted in historical models.</w:t>
            </w:r>
          </w:p>
        </w:tc>
      </w:tr>
      <w:tr>
        <w:tc>
          <w:tcPr>
            <w:tcW w:type="dxa" w:w="260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b/>
                <w:bCs/>
                <w:color w:val="1A1D2E"/>
                <w:sz w:val="20"/>
                <w:szCs w:val="20"/>
              </w:rPr>
              <w:t xml:space="preserve">Kyler Murray</w:t>
            </w:r>
          </w:p>
        </w:tc>
        <w:tc>
          <w:tcPr>
            <w:tcW w:type="dxa" w:w="110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b w:val="false"/>
                <w:bCs w:val="false"/>
                <w:color w:val="1F2937"/>
                <w:sz w:val="20"/>
                <w:szCs w:val="20"/>
              </w:rPr>
              <w:t xml:space="preserve">1.05×</w:t>
            </w:r>
          </w:p>
        </w:tc>
        <w:tc>
          <w:tcPr>
            <w:tcW w:type="dxa" w:w="566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b w:val="false"/>
                <w:bCs w:val="false"/>
                <w:color w:val="1F2937"/>
                <w:sz w:val="20"/>
                <w:szCs w:val="20"/>
              </w:rPr>
              <w:t xml:space="preserve">Vikings landing spot is ideal: Justin Jefferson and Jordan Addison provide top-tier weapons. Kevin O’Connell is QB-friendly as OC.</w:t>
            </w:r>
          </w:p>
        </w:tc>
      </w:tr>
      <w:tr>
        <w:tc>
          <w:tcPr>
            <w:tcW w:type="dxa" w:w="260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b/>
                <w:bCs/>
                <w:color w:val="1A1D2E"/>
                <w:sz w:val="20"/>
                <w:szCs w:val="20"/>
              </w:rPr>
              <w:t xml:space="preserve">DJ Moore</w:t>
            </w:r>
          </w:p>
        </w:tc>
        <w:tc>
          <w:tcPr>
            <w:tcW w:type="dxa" w:w="110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b w:val="false"/>
                <w:bCs w:val="false"/>
                <w:color w:val="1F2937"/>
                <w:sz w:val="20"/>
                <w:szCs w:val="20"/>
              </w:rPr>
              <w:t xml:space="preserve">1.10×</w:t>
            </w:r>
          </w:p>
        </w:tc>
        <w:tc>
          <w:tcPr>
            <w:tcW w:type="dxa" w:w="566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b w:val="false"/>
                <w:bCs w:val="false"/>
                <w:color w:val="1F2937"/>
                <w:sz w:val="20"/>
                <w:szCs w:val="20"/>
              </w:rPr>
              <w:t xml:space="preserve">Joining Josh Allen is one of the highest-upside situations in the NFL for a WR. Previous QB situation (Fields/Taylor in CHI) suppressed his statistical output.</w:t>
            </w:r>
          </w:p>
        </w:tc>
      </w:tr>
      <w:tr>
        <w:tc>
          <w:tcPr>
            <w:tcW w:type="dxa" w:w="260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b/>
                <w:bCs/>
                <w:color w:val="1A1D2E"/>
                <w:sz w:val="20"/>
                <w:szCs w:val="20"/>
              </w:rPr>
              <w:t xml:space="preserve">Jaylen Waddle</w:t>
            </w:r>
          </w:p>
        </w:tc>
        <w:tc>
          <w:tcPr>
            <w:tcW w:type="dxa" w:w="110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b w:val="false"/>
                <w:bCs w:val="false"/>
                <w:color w:val="1F2937"/>
                <w:sz w:val="20"/>
                <w:szCs w:val="20"/>
              </w:rPr>
              <w:t xml:space="preserve">1.10×</w:t>
            </w:r>
          </w:p>
        </w:tc>
        <w:tc>
          <w:tcPr>
            <w:tcW w:type="dxa" w:w="566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b w:val="false"/>
                <w:bCs w:val="false"/>
                <w:color w:val="1F2937"/>
                <w:sz w:val="20"/>
                <w:szCs w:val="20"/>
              </w:rPr>
              <w:t xml:space="preserve">Bo Nix at DEN provides better QB stability than Tua. Waddle’s route-running and YAC ability will show more consistently with a healthy-arm QB.</w:t>
            </w:r>
          </w:p>
        </w:tc>
      </w:tr>
      <w:tr>
        <w:tc>
          <w:tcPr>
            <w:tcW w:type="dxa" w:w="260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b/>
                <w:bCs/>
                <w:color w:val="1A1D2E"/>
                <w:sz w:val="20"/>
                <w:szCs w:val="20"/>
              </w:rPr>
              <w:t xml:space="preserve">Garrett Wilson</w:t>
            </w:r>
          </w:p>
        </w:tc>
        <w:tc>
          <w:tcPr>
            <w:tcW w:type="dxa" w:w="110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b w:val="false"/>
                <w:bCs w:val="false"/>
                <w:color w:val="1F2937"/>
                <w:sz w:val="20"/>
                <w:szCs w:val="20"/>
              </w:rPr>
              <w:t xml:space="preserve">1.12×</w:t>
            </w:r>
          </w:p>
        </w:tc>
        <w:tc>
          <w:tcPr>
            <w:tcW w:type="dxa" w:w="566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b w:val="false"/>
                <w:bCs w:val="false"/>
                <w:color w:val="1F2937"/>
                <w:sz w:val="20"/>
                <w:szCs w:val="20"/>
              </w:rPr>
              <w:t xml:space="preserve">Elite route runner who was statistically suppressed by poor QB play in NYJ. Improved QB situation expected to unlock his true WR1 ceiling.</w:t>
            </w:r>
          </w:p>
        </w:tc>
      </w:tr>
      <w:tr>
        <w:tc>
          <w:tcPr>
            <w:tcW w:type="dxa" w:w="260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b/>
                <w:bCs/>
                <w:color w:val="1A1D2E"/>
                <w:sz w:val="20"/>
                <w:szCs w:val="20"/>
              </w:rPr>
              <w:t xml:space="preserve">C.J. Stroud</w:t>
            </w:r>
          </w:p>
        </w:tc>
        <w:tc>
          <w:tcPr>
            <w:tcW w:type="dxa" w:w="110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b w:val="false"/>
                <w:bCs w:val="false"/>
                <w:color w:val="1F2937"/>
                <w:sz w:val="20"/>
                <w:szCs w:val="20"/>
              </w:rPr>
              <w:t xml:space="preserve">1.10×</w:t>
            </w:r>
          </w:p>
        </w:tc>
        <w:tc>
          <w:tcPr>
            <w:tcW w:type="dxa" w:w="566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b w:val="false"/>
                <w:bCs w:val="false"/>
                <w:color w:val="1F2937"/>
                <w:sz w:val="20"/>
                <w:szCs w:val="20"/>
              </w:rPr>
              <w:t xml:space="preserve">Bounce-back candidate after shoulder injury cut his 2025 season short. Stroud was a top-5 fantasy QB in 2024 when healthy; regression to that baseline is expected.</w:t>
            </w:r>
          </w:p>
        </w:tc>
      </w:tr>
      <w:tr>
        <w:tc>
          <w:tcPr>
            <w:tcW w:type="dxa" w:w="260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b/>
                <w:bCs/>
                <w:color w:val="1A1D2E"/>
                <w:sz w:val="20"/>
                <w:szCs w:val="20"/>
              </w:rPr>
              <w:t xml:space="preserve">Kenneth Walker III</w:t>
            </w:r>
          </w:p>
        </w:tc>
        <w:tc>
          <w:tcPr>
            <w:tcW w:type="dxa" w:w="110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b w:val="false"/>
                <w:bCs w:val="false"/>
                <w:color w:val="1F2937"/>
                <w:sz w:val="20"/>
                <w:szCs w:val="20"/>
              </w:rPr>
              <w:t xml:space="preserve">1.05×</w:t>
            </w:r>
          </w:p>
        </w:tc>
        <w:tc>
          <w:tcPr>
            <w:tcW w:type="dxa" w:w="566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b w:val="false"/>
                <w:bCs w:val="false"/>
                <w:color w:val="1F2937"/>
                <w:sz w:val="20"/>
                <w:szCs w:val="20"/>
              </w:rPr>
              <w:t xml:space="preserve">Kansas City landing spot is excellent. Andy Reid maximizes RB production; HC pairing with Mahomes (even at 0.92×) provides a high floor.</w:t>
            </w:r>
          </w:p>
        </w:tc>
      </w:tr>
    </w:tbl>
    <w:p>
      <w:r>
        <w:br w:type="page"/>
      </w:r>
    </w:p>
    <w:p>
      <w:pPr>
        <w:pStyle w:val="Heading2"/>
        <w:pBdr>
          <w:bottom w:val="single" w:color="F59E0B" w:sz="6" w:space="1"/>
        </w:pBdr>
        <w:spacing w:before="300" w:after="160"/>
      </w:pPr>
      <w:r>
        <w:rPr>
          <w:rFonts w:ascii="Arial" w:cs="Arial" w:eastAsia="Arial" w:hAnsi="Arial"/>
          <w:b/>
          <w:bCs/>
          <w:color w:val="1A1D2E"/>
          <w:sz w:val="28"/>
          <w:szCs w:val="28"/>
        </w:rPr>
        <w:t xml:space="preserve">Expert Assessment: Model Accuracy</w:t>
      </w:r>
    </w:p>
    <w:p>
      <w:pPr>
        <w:spacing w:after="160" w:line="360"/>
        <w:jc w:val="both"/>
      </w:pPr>
      <w:r>
        <w:rPr>
          <w:rFonts w:ascii="Arial" w:cs="Arial" w:eastAsia="Arial" w:hAnsi="Arial"/>
          <w:color w:val="1F2937"/>
          <w:sz w:val="22"/>
          <w:szCs w:val="22"/>
        </w:rPr>
        <w:t xml:space="preserve">The v2.0 model with expert overlays represents a substantial improvement over the initial OLS baseline. The key gains came from three areas:</w:t>
      </w:r>
    </w:p>
    <w:p>
      <w:pPr>
        <w:pStyle w:val="ListParagraph"/>
        <w:numPr>
          <w:ilvl w:val="0"/>
          <w:numId w:val="2"/>
        </w:numPr>
        <w:spacing w:after="80"/>
      </w:pPr>
      <w:r>
        <w:rPr>
          <w:rFonts w:ascii="Arial" w:cs="Arial" w:eastAsia="Arial" w:hAnsi="Arial"/>
          <w:color w:val="1F2937"/>
          <w:sz w:val="22"/>
          <w:szCs w:val="22"/>
        </w:rPr>
        <w:t xml:space="preserve">Quarterback realism: The shift to per-game features and a 12-game minimum eliminated backup QBs and injury-fill-in players from the board, reducing projected QB starters from 37 to 24.</w:t>
      </w:r>
    </w:p>
    <w:p>
      <w:pPr>
        <w:pStyle w:val="ListParagraph"/>
        <w:numPr>
          <w:ilvl w:val="0"/>
          <w:numId w:val="2"/>
        </w:numPr>
        <w:spacing w:after="80"/>
      </w:pPr>
      <w:r>
        <w:rPr>
          <w:rFonts w:ascii="Arial" w:cs="Arial" w:eastAsia="Arial" w:hAnsi="Arial"/>
          <w:color w:val="1F2937"/>
          <w:sz w:val="22"/>
          <w:szCs w:val="22"/>
        </w:rPr>
        <w:t xml:space="preserve">Offseason intelligence: The 9 team corrections and 20 multiplier adjustments bring roster reality into the projections. Without these, the model would show Travis Kelce as a top-5 TE despite clear age-cliff indicators.</w:t>
      </w:r>
    </w:p>
    <w:p>
      <w:pPr>
        <w:pStyle w:val="ListParagraph"/>
        <w:numPr>
          <w:ilvl w:val="0"/>
          <w:numId w:val="2"/>
        </w:numPr>
        <w:spacing w:after="80"/>
      </w:pPr>
      <w:r>
        <w:rPr>
          <w:rFonts w:ascii="Arial" w:cs="Arial" w:eastAsia="Arial" w:hAnsi="Arial"/>
          <w:color w:val="1F2937"/>
          <w:sz w:val="22"/>
          <w:szCs w:val="22"/>
        </w:rPr>
        <w:t xml:space="preserve">Injury handling: The force-include mechanism and games-blending formula mean players like Kyler Murray and Joe Burrow appear at realistic projections despite injury-shortened 2025 seasons.</w:t>
      </w:r>
    </w:p>
    <w:p>
      <w:pPr>
        <w:pBdr>
          <w:left w:val="single" w:color="F59E0B" w:sz="12"/>
        </w:pBdr>
        <w:shd w:fill="FFF7ED" w:val="clear"/>
        <w:spacing w:before="120" w:after="200" w:line="360"/>
        <w:ind w:left="360" w:right="240"/>
      </w:pPr>
      <w:r>
        <w:rPr>
          <w:rFonts w:ascii="Arial" w:cs="Arial" w:eastAsia="Arial" w:hAnsi="Arial"/>
          <w:b/>
          <w:bCs/>
          <w:color w:val="F59E0B"/>
          <w:sz w:val="22"/>
          <w:szCs w:val="22"/>
        </w:rPr>
        <w:t xml:space="preserve">→ FUTURE ROADMAP  </w:t>
      </w:r>
      <w:r>
        <w:rPr>
          <w:rFonts w:ascii="Arial" w:cs="Arial" w:eastAsia="Arial" w:hAnsi="Arial"/>
          <w:color w:val="1F2937"/>
          <w:sz w:val="22"/>
          <w:szCs w:val="22"/>
        </w:rPr>
        <w:t xml:space="preserve">Areas for future improvement: (1) OC continuity scoring — measure whether a player’s offensive coordinator returns in 2026; (2) age-curve modeling built into the statistical layer rather than as post-hoc multipliers; (3) QB-to-receiver continuity flags to capture the JSN/Geno Smith separation effect.</w:t>
      </w:r>
    </w:p>
    <w:p>
      <w:r>
        <w:br w:type="page"/>
      </w:r>
    </w:p>
    <w:p>
      <w:pPr>
        <w:pStyle w:val="Heading1"/>
        <w:shd w:fill="1A1D2E" w:val="clear"/>
        <w:spacing w:before="360" w:after="200"/>
        <w:ind w:left="240" w:right="240"/>
      </w:pPr>
      <w:r>
        <w:rPr>
          <w:rFonts w:ascii="Arial" w:cs="Arial" w:eastAsia="Arial" w:hAnsi="Arial"/>
          <w:b/>
          <w:bCs/>
          <w:color w:val="FFFFFF"/>
          <w:sz w:val="36"/>
          <w:szCs w:val="36"/>
        </w:rPr>
        <w:t xml:space="preserve">DASHBOARD FEATURES &amp; ROADMAP</w:t>
      </w:r>
    </w:p>
    <w:p>
      <w:pPr>
        <w:spacing w:after="180"/>
      </w:pPr>
      <w:r>
        <w:rPr>
          <w:rFonts w:ascii="Arial" w:cs="Arial" w:eastAsia="Arial" w:hAnsi="Arial"/>
          <w:b/>
          <w:bCs/>
          <w:i/>
          <w:iCs/>
          <w:color w:val="F59E0B"/>
          <w:sz w:val="20"/>
          <w:szCs w:val="20"/>
        </w:rPr>
        <w:t xml:space="preserve">From the Project Manager</w:t>
      </w:r>
    </w:p>
    <w:p>
      <w:pPr>
        <w:pStyle w:val="Heading2"/>
        <w:pBdr>
          <w:bottom w:val="single" w:color="F59E0B" w:sz="6" w:space="1"/>
        </w:pBdr>
        <w:spacing w:before="300" w:after="160"/>
      </w:pPr>
      <w:r>
        <w:rPr>
          <w:rFonts w:ascii="Arial" w:cs="Arial" w:eastAsia="Arial" w:hAnsi="Arial"/>
          <w:b/>
          <w:bCs/>
          <w:color w:val="1A1D2E"/>
          <w:sz w:val="28"/>
          <w:szCs w:val="28"/>
        </w:rPr>
        <w:t xml:space="preserve">Current Dashboard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A1D2E" w:sz="6"/>
              <w:left w:val="single" w:color="1A1D2E" w:sz="6"/>
              <w:bottom w:val="single" w:color="1A1D2E" w:sz="6"/>
              <w:right w:val="single" w:color="1A1D2E" w:sz="6"/>
            </w:tcBorders>
            <w:shd w:fill="1A1D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w:t>
            </w:r>
          </w:p>
        </w:tc>
        <w:tc>
          <w:tcPr>
            <w:tcW w:type="dxa" w:w="6240"/>
            <w:tcBorders>
              <w:top w:val="single" w:color="1A1D2E" w:sz="6"/>
              <w:left w:val="single" w:color="1A1D2E" w:sz="6"/>
              <w:bottom w:val="single" w:color="1A1D2E" w:sz="6"/>
              <w:right w:val="single" w:color="1A1D2E" w:sz="6"/>
            </w:tcBorders>
            <w:shd w:fill="1A1D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312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Top 3 Hero Cards</w:t>
            </w:r>
          </w:p>
        </w:tc>
        <w:tc>
          <w:tcPr>
            <w:tcW w:type="dxa" w:w="624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Gold-accented stat cards for the top 3 projected players in the selected position filter. Shows projected pts, PPG, projected games, and vs-last-season delta.</w:t>
            </w:r>
          </w:p>
        </w:tc>
      </w:tr>
      <w:tr>
        <w:tc>
          <w:tcPr>
            <w:tcW w:type="dxa" w:w="312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Trajectory Line Chart</w:t>
            </w:r>
          </w:p>
        </w:tc>
        <w:tc>
          <w:tcPr>
            <w:tcW w:type="dxa" w:w="624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Historical PPR totals (2016–2025) + 2026 projection connected by a dashed line with a star marker. Interactive player selector; projected zone shaded.</w:t>
            </w:r>
          </w:p>
        </w:tc>
      </w:tr>
      <w:tr>
        <w:tc>
          <w:tcPr>
            <w:tcW w:type="dxa" w:w="312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2026 Big Board</w:t>
            </w:r>
          </w:p>
        </w:tc>
        <w:tc>
          <w:tcPr>
            <w:tcW w:type="dxa" w:w="624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Sortable/filterable ranked table of up to 200 players. Shows 2026 projection, PPG, projected games, 2025 actual, delta %, and position-specific counting stats.</w:t>
            </w:r>
          </w:p>
        </w:tc>
      </w:tr>
      <w:tr>
        <w:tc>
          <w:tcPr>
            <w:tcW w:type="dxa" w:w="312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Risers &amp; Fallers</w:t>
            </w:r>
          </w:p>
        </w:tc>
        <w:tc>
          <w:tcPr>
            <w:tcW w:type="dxa" w:w="624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Per-position tabs showing top 5 risers and fallers by % change. Limited to top 200 players on the board. Includes overall rank column.</w:t>
            </w:r>
          </w:p>
        </w:tc>
      </w:tr>
      <w:tr>
        <w:tc>
          <w:tcPr>
            <w:tcW w:type="dxa" w:w="312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Position Filter</w:t>
            </w:r>
          </w:p>
        </w:tc>
        <w:tc>
          <w:tcPr>
            <w:tcW w:type="dxa" w:w="624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Sidebar selectbox filters all sections (hero cards, chart, big board, risers/fallers) to a single position or all positions.</w:t>
            </w:r>
          </w:p>
        </w:tc>
      </w:tr>
      <w:tr>
        <w:tc>
          <w:tcPr>
            <w:tcW w:type="dxa" w:w="312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Reset Filters</w:t>
            </w:r>
          </w:p>
        </w:tc>
        <w:tc>
          <w:tcPr>
            <w:tcW w:type="dxa" w:w="624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Versioned session state resets all widgets cleanly without stale Streamlit key conflicts.</w:t>
            </w:r>
          </w:p>
        </w:tc>
      </w:tr>
    </w:tbl>
    <w:p>
      <w:pPr>
        <w:pStyle w:val="Heading2"/>
        <w:pBdr>
          <w:bottom w:val="single" w:color="F59E0B" w:sz="6" w:space="1"/>
        </w:pBdr>
        <w:spacing w:before="300" w:after="160"/>
      </w:pPr>
      <w:r>
        <w:rPr>
          <w:rFonts w:ascii="Arial" w:cs="Arial" w:eastAsia="Arial" w:hAnsi="Arial"/>
          <w:b/>
          <w:bCs/>
          <w:color w:val="1A1D2E"/>
          <w:sz w:val="28"/>
          <w:szCs w:val="28"/>
        </w:rPr>
        <w:t xml:space="preserve">Model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5200"/>
      </w:tblGrid>
      <w:tr>
        <w:trPr>
          <w:tblHeader/>
        </w:trPr>
        <w:tc>
          <w:tcPr>
            <w:tcW w:type="dxa" w:w="1560"/>
            <w:tcBorders>
              <w:top w:val="single" w:color="1A1D2E" w:sz="6"/>
              <w:left w:val="single" w:color="1A1D2E" w:sz="6"/>
              <w:bottom w:val="single" w:color="1A1D2E" w:sz="6"/>
              <w:right w:val="single" w:color="1A1D2E" w:sz="6"/>
            </w:tcBorders>
            <w:shd w:fill="1A1D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Version</w:t>
            </w:r>
          </w:p>
        </w:tc>
        <w:tc>
          <w:tcPr>
            <w:tcW w:type="dxa" w:w="2600"/>
            <w:tcBorders>
              <w:top w:val="single" w:color="1A1D2E" w:sz="6"/>
              <w:left w:val="single" w:color="1A1D2E" w:sz="6"/>
              <w:bottom w:val="single" w:color="1A1D2E" w:sz="6"/>
              <w:right w:val="single" w:color="1A1D2E" w:sz="6"/>
            </w:tcBorders>
            <w:shd w:fill="1A1D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Change</w:t>
            </w:r>
          </w:p>
        </w:tc>
        <w:tc>
          <w:tcPr>
            <w:tcW w:type="dxa" w:w="5200"/>
            <w:tcBorders>
              <w:top w:val="single" w:color="1A1D2E" w:sz="6"/>
              <w:left w:val="single" w:color="1A1D2E" w:sz="6"/>
              <w:bottom w:val="single" w:color="1A1D2E" w:sz="6"/>
              <w:right w:val="single" w:color="1A1D2E" w:sz="6"/>
            </w:tcBorders>
            <w:shd w:fill="1A1D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Impact</w:t>
            </w:r>
          </w:p>
        </w:tc>
      </w:tr>
      <w:tr>
        <w:tc>
          <w:tcPr>
            <w:tcW w:type="dxa" w:w="156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v1.0</w:t>
            </w:r>
          </w:p>
        </w:tc>
        <w:tc>
          <w:tcPr>
            <w:tcW w:type="dxa" w:w="260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OLS with raw season totals</w:t>
            </w:r>
          </w:p>
        </w:tc>
        <w:tc>
          <w:tcPr>
            <w:tcW w:type="dxa" w:w="520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QB overvaluation; backup QBs inflating projections; 37 projected starters</w:t>
            </w:r>
          </w:p>
        </w:tc>
      </w:tr>
      <w:tr>
        <w:tc>
          <w:tcPr>
            <w:tcW w:type="dxa" w:w="156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v1.5</w:t>
            </w:r>
          </w:p>
        </w:tc>
        <w:tc>
          <w:tcPr>
            <w:tcW w:type="dxa" w:w="260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Ridge regression + per-game features</w:t>
            </w:r>
          </w:p>
        </w:tc>
        <w:tc>
          <w:tcPr>
            <w:tcW w:type="dxa" w:w="520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Eliminated volume bias; meaningful per-game rate separation between starters and backups</w:t>
            </w:r>
          </w:p>
        </w:tc>
      </w:tr>
      <w:tr>
        <w:tc>
          <w:tcPr>
            <w:tcW w:type="dxa" w:w="156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v1.8</w:t>
            </w:r>
          </w:p>
        </w:tc>
        <w:tc>
          <w:tcPr>
            <w:tcW w:type="dxa" w:w="260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Recency weighting + games blending</w:t>
            </w:r>
          </w:p>
        </w:tc>
        <w:tc>
          <w:tcPr>
            <w:tcW w:type="dxa" w:w="520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Improved year-to-year stability; injury-recovery handled via damped adjustment factor</w:t>
            </w:r>
          </w:p>
        </w:tc>
      </w:tr>
      <w:tr>
        <w:tc>
          <w:tcPr>
            <w:tcW w:type="dxa" w:w="156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v2.0</w:t>
            </w:r>
          </w:p>
        </w:tc>
        <w:tc>
          <w:tcPr>
            <w:tcW w:type="dxa" w:w="260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NFL Expert overlays + force-include</w:t>
            </w:r>
          </w:p>
        </w:tc>
        <w:tc>
          <w:tcPr>
            <w:tcW w:type="dxa" w:w="520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2026 offseason intelligence applied; 9 team corrections; 20+ player multipliers; Kyler Murray restored</w:t>
            </w:r>
          </w:p>
        </w:tc>
      </w:tr>
    </w:tbl>
    <w:p>
      <w:pPr>
        <w:pStyle w:val="Heading2"/>
        <w:pBdr>
          <w:bottom w:val="single" w:color="F59E0B" w:sz="6" w:space="1"/>
        </w:pBdr>
        <w:spacing w:before="300" w:after="160"/>
      </w:pPr>
      <w:r>
        <w:rPr>
          <w:rFonts w:ascii="Arial" w:cs="Arial" w:eastAsia="Arial" w:hAnsi="Arial"/>
          <w:b/>
          <w:bCs/>
          <w:color w:val="1A1D2E"/>
          <w:sz w:val="28"/>
          <w:szCs w:val="28"/>
        </w:rPr>
        <w:t xml:space="preserve">Recommended Next Steps</w:t>
      </w:r>
    </w:p>
    <w:p>
      <w:pPr>
        <w:pStyle w:val="Heading3"/>
        <w:spacing w:before="200" w:after="100"/>
      </w:pPr>
      <w:r>
        <w:rPr>
          <w:rFonts w:ascii="Arial" w:cs="Arial" w:eastAsia="Arial" w:hAnsi="Arial"/>
          <w:b/>
          <w:bCs/>
          <w:color w:val="4F46E5"/>
          <w:sz w:val="24"/>
          <w:szCs w:val="24"/>
        </w:rPr>
        <w:t xml:space="preserve">Short-Term (Next Sprint)</w:t>
      </w:r>
    </w:p>
    <w:p>
      <w:pPr>
        <w:pStyle w:val="ListParagraph"/>
        <w:numPr>
          <w:ilvl w:val="0"/>
          <w:numId w:val="2"/>
        </w:numPr>
        <w:spacing w:after="80"/>
      </w:pPr>
      <w:r>
        <w:rPr>
          <w:rFonts w:ascii="Arial" w:cs="Arial" w:eastAsia="Arial" w:hAnsi="Arial"/>
          <w:color w:val="1F2937"/>
          <w:sz w:val="22"/>
          <w:szCs w:val="22"/>
        </w:rPr>
        <w:t xml:space="preserve">OC Continuity Feature: Add a flag for players whose offensive coordinator returns vs. is replaced for 2026. Scheme continuity is one of the strongest predictors of YOY fantasy performance.</w:t>
      </w:r>
    </w:p>
    <w:p>
      <w:pPr>
        <w:pStyle w:val="ListParagraph"/>
        <w:numPr>
          <w:ilvl w:val="0"/>
          <w:numId w:val="2"/>
        </w:numPr>
        <w:spacing w:after="80"/>
      </w:pPr>
      <w:r>
        <w:rPr>
          <w:rFonts w:ascii="Arial" w:cs="Arial" w:eastAsia="Arial" w:hAnsi="Arial"/>
          <w:color w:val="1F2937"/>
          <w:sz w:val="22"/>
          <w:szCs w:val="22"/>
        </w:rPr>
        <w:t xml:space="preserve">Age Cliff Integration: Build age-curve multipliers directly into the statistical model using birth year data, rather than as post-hoc named adjustments. More scalable and less manual.</w:t>
      </w:r>
    </w:p>
    <w:p>
      <w:pPr>
        <w:pStyle w:val="ListParagraph"/>
        <w:numPr>
          <w:ilvl w:val="0"/>
          <w:numId w:val="2"/>
        </w:numPr>
        <w:spacing w:after="80"/>
      </w:pPr>
      <w:r>
        <w:rPr>
          <w:rFonts w:ascii="Arial" w:cs="Arial" w:eastAsia="Arial" w:hAnsi="Arial"/>
          <w:color w:val="1F2937"/>
          <w:sz w:val="22"/>
          <w:szCs w:val="22"/>
        </w:rPr>
        <w:t xml:space="preserve">Confidence Intervals: Display a prediction range (e.g., ±25 pts) alongside each projection based on historical RMSE to communicate uncertainty to users.</w:t>
      </w:r>
    </w:p>
    <w:p>
      <w:pPr>
        <w:pStyle w:val="Heading3"/>
        <w:spacing w:before="200" w:after="100"/>
      </w:pPr>
      <w:r>
        <w:rPr>
          <w:rFonts w:ascii="Arial" w:cs="Arial" w:eastAsia="Arial" w:hAnsi="Arial"/>
          <w:b/>
          <w:bCs/>
          <w:color w:val="4F46E5"/>
          <w:sz w:val="24"/>
          <w:szCs w:val="24"/>
        </w:rPr>
        <w:t xml:space="preserve">Medium-Term (Q2 2026)</w:t>
      </w:r>
    </w:p>
    <w:p>
      <w:pPr>
        <w:pStyle w:val="ListParagraph"/>
        <w:numPr>
          <w:ilvl w:val="0"/>
          <w:numId w:val="2"/>
        </w:numPr>
        <w:spacing w:after="80"/>
      </w:pPr>
      <w:r>
        <w:rPr>
          <w:rFonts w:ascii="Arial" w:cs="Arial" w:eastAsia="Arial" w:hAnsi="Arial"/>
          <w:color w:val="1F2937"/>
          <w:sz w:val="22"/>
          <w:szCs w:val="22"/>
        </w:rPr>
        <w:t xml:space="preserve">Snap Rate &amp; Target Share Data: Integrate Pro Football Reference or nfl_data_py snap/route data to give the model role-depth signal beyond game count alone.</w:t>
      </w:r>
    </w:p>
    <w:p>
      <w:pPr>
        <w:pStyle w:val="ListParagraph"/>
        <w:numPr>
          <w:ilvl w:val="0"/>
          <w:numId w:val="2"/>
        </w:numPr>
        <w:spacing w:after="80"/>
      </w:pPr>
      <w:r>
        <w:rPr>
          <w:rFonts w:ascii="Arial" w:cs="Arial" w:eastAsia="Arial" w:hAnsi="Arial"/>
          <w:color w:val="1F2937"/>
          <w:sz w:val="22"/>
          <w:szCs w:val="22"/>
        </w:rPr>
        <w:t xml:space="preserve">Automated Expert Refresh: Schedule the NFL Expert agent to run weekly during the offseason to pick up new signings, releases, and injury updates automatically.</w:t>
      </w:r>
    </w:p>
    <w:p>
      <w:pPr>
        <w:pStyle w:val="ListParagraph"/>
        <w:numPr>
          <w:ilvl w:val="0"/>
          <w:numId w:val="2"/>
        </w:numPr>
        <w:spacing w:after="80"/>
      </w:pPr>
      <w:r>
        <w:rPr>
          <w:rFonts w:ascii="Arial" w:cs="Arial" w:eastAsia="Arial" w:hAnsi="Arial"/>
          <w:color w:val="1F2937"/>
          <w:sz w:val="22"/>
          <w:szCs w:val="22"/>
        </w:rPr>
        <w:t xml:space="preserve">ADP Comparison Layer: Pull current average draft position data and compare it to our projections to surface value picks and reaches on the same interface.</w:t>
      </w:r>
    </w:p>
    <w:p>
      <w:pPr>
        <w:pStyle w:val="Heading3"/>
        <w:spacing w:before="200" w:after="100"/>
      </w:pPr>
      <w:r>
        <w:rPr>
          <w:rFonts w:ascii="Arial" w:cs="Arial" w:eastAsia="Arial" w:hAnsi="Arial"/>
          <w:b/>
          <w:bCs/>
          <w:color w:val="4F46E5"/>
          <w:sz w:val="24"/>
          <w:szCs w:val="24"/>
        </w:rPr>
        <w:t xml:space="preserve">Long-Term (2026 Season)</w:t>
      </w:r>
    </w:p>
    <w:p>
      <w:pPr>
        <w:pStyle w:val="ListParagraph"/>
        <w:numPr>
          <w:ilvl w:val="0"/>
          <w:numId w:val="2"/>
        </w:numPr>
        <w:spacing w:after="80"/>
      </w:pPr>
      <w:r>
        <w:rPr>
          <w:rFonts w:ascii="Arial" w:cs="Arial" w:eastAsia="Arial" w:hAnsi="Arial"/>
          <w:color w:val="1F2937"/>
          <w:sz w:val="22"/>
          <w:szCs w:val="22"/>
        </w:rPr>
        <w:t xml:space="preserve">In-Season Model: Retrain the model weekly during the 2026 season as new game data arrives, shifting weight toward current-year performance as the sample grows.</w:t>
      </w:r>
    </w:p>
    <w:p>
      <w:pPr>
        <w:pStyle w:val="ListParagraph"/>
        <w:numPr>
          <w:ilvl w:val="0"/>
          <w:numId w:val="2"/>
        </w:numPr>
        <w:spacing w:after="80"/>
      </w:pPr>
      <w:r>
        <w:rPr>
          <w:rFonts w:ascii="Arial" w:cs="Arial" w:eastAsia="Arial" w:hAnsi="Arial"/>
          <w:color w:val="1F2937"/>
          <w:sz w:val="22"/>
          <w:szCs w:val="22"/>
        </w:rPr>
        <w:t xml:space="preserve">DFS Salary Integration: Connect DraftKings/FanDuel salary data to surface value scores (projected pts per salary dollar) for DFS lineup optimization.</w:t>
      </w:r>
    </w:p>
    <w:p>
      <w:pPr>
        <w:pStyle w:val="ListParagraph"/>
        <w:numPr>
          <w:ilvl w:val="0"/>
          <w:numId w:val="2"/>
        </w:numPr>
        <w:spacing w:after="80"/>
      </w:pPr>
      <w:r>
        <w:rPr>
          <w:rFonts w:ascii="Arial" w:cs="Arial" w:eastAsia="Arial" w:hAnsi="Arial"/>
          <w:color w:val="1F2937"/>
          <w:sz w:val="22"/>
          <w:szCs w:val="22"/>
        </w:rPr>
        <w:t xml:space="preserve">Trade Analyzer: Allow users to input two players and receive a data-driven trade value comparison based on the model’s projections and trajectory analysis.</w:t>
      </w:r>
    </w:p>
    <w:p>
      <w:pPr>
        <w:spacing w:after="240"/>
      </w:pPr>
      <w:r>
        <w:rPr>
          <w:rFonts w:ascii="Arial" w:cs="Arial" w:eastAsia="Arial" w:hAnsi="Arial"/>
          <w:sz w:val="22"/>
          <w:szCs w:val="22"/>
        </w:rPr>
        <w:t xml:space="preserve"> </w:t>
      </w:r>
    </w:p>
    <w:p>
      <w:pPr>
        <w:pBdr>
          <w:left w:val="single" w:color="4F46E5" w:sz="12"/>
        </w:pBdr>
        <w:shd w:fill="EFF6FF" w:val="clear"/>
        <w:spacing w:before="120" w:after="200" w:line="360"/>
        <w:ind w:left="360" w:right="240"/>
      </w:pPr>
      <w:r>
        <w:rPr>
          <w:rFonts w:ascii="Arial" w:cs="Arial" w:eastAsia="Arial" w:hAnsi="Arial"/>
          <w:b/>
          <w:bCs/>
          <w:color w:val="4F46E5"/>
          <w:sz w:val="22"/>
          <w:szCs w:val="22"/>
        </w:rPr>
        <w:t xml:space="preserve">ℹ PROJECT INFO  </w:t>
      </w:r>
      <w:r>
        <w:rPr>
          <w:rFonts w:ascii="Arial" w:cs="Arial" w:eastAsia="Arial" w:hAnsi="Arial"/>
          <w:color w:val="1F2937"/>
          <w:sz w:val="22"/>
          <w:szCs w:val="22"/>
        </w:rPr>
        <w:t xml:space="preserve">The NFL Analytics Dashboard is actively iterated. All model changes are version-controlled on GitHub (FlyingDeacon/nfl-analytics) and deployed automatically to Streamlit Cloud on push to main. The multi-agent team (PM, Data Scientist, NFL Expert, UI Specialist, Python Engineer) collaborates asynchronously through this project session.</w:t>
      </w:r>
    </w:p>
    <w:p>
      <w:r>
        <w:br w:type="page"/>
      </w:r>
    </w:p>
    <w:p>
      <w:pPr>
        <w:pStyle w:val="Heading1"/>
        <w:shd w:fill="1A1D2E" w:val="clear"/>
        <w:spacing w:before="360" w:after="200"/>
        <w:ind w:left="240" w:right="240"/>
      </w:pPr>
      <w:r>
        <w:rPr>
          <w:rFonts w:ascii="Arial" w:cs="Arial" w:eastAsia="Arial" w:hAnsi="Arial"/>
          <w:b/>
          <w:bCs/>
          <w:color w:val="FFFFFF"/>
          <w:sz w:val="36"/>
          <w:szCs w:val="36"/>
        </w:rPr>
        <w:t xml:space="preserve">APPENDIX: MODEL CONSTANTS</w:t>
      </w:r>
    </w:p>
    <w:p>
      <w:pPr>
        <w:spacing w:after="160" w:line="360"/>
        <w:jc w:val="both"/>
      </w:pPr>
      <w:r>
        <w:rPr>
          <w:rFonts w:ascii="Arial" w:cs="Arial" w:eastAsia="Arial" w:hAnsi="Arial"/>
          <w:color w:val="1F2937"/>
          <w:sz w:val="22"/>
          <w:szCs w:val="22"/>
        </w:rPr>
        <w:t xml:space="preserve">The following constants are defined in 7_Fantasy_Predictions.py and govern the model’s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1A1D2E" w:sz="6"/>
              <w:left w:val="single" w:color="1A1D2E" w:sz="6"/>
              <w:bottom w:val="single" w:color="1A1D2E" w:sz="6"/>
              <w:right w:val="single" w:color="1A1D2E" w:sz="6"/>
            </w:tcBorders>
            <w:shd w:fill="1A1D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Constant</w:t>
            </w:r>
          </w:p>
        </w:tc>
        <w:tc>
          <w:tcPr>
            <w:tcW w:type="dxa" w:w="1800"/>
            <w:tcBorders>
              <w:top w:val="single" w:color="1A1D2E" w:sz="6"/>
              <w:left w:val="single" w:color="1A1D2E" w:sz="6"/>
              <w:bottom w:val="single" w:color="1A1D2E" w:sz="6"/>
              <w:right w:val="single" w:color="1A1D2E" w:sz="6"/>
            </w:tcBorders>
            <w:shd w:fill="1A1D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w:t>
            </w:r>
          </w:p>
        </w:tc>
        <w:tc>
          <w:tcPr>
            <w:tcW w:type="dxa" w:w="4760"/>
            <w:tcBorders>
              <w:top w:val="single" w:color="1A1D2E" w:sz="6"/>
              <w:left w:val="single" w:color="1A1D2E" w:sz="6"/>
              <w:bottom w:val="single" w:color="1A1D2E" w:sz="6"/>
              <w:right w:val="single" w:color="1A1D2E" w:sz="6"/>
            </w:tcBorders>
            <w:shd w:fill="1A1D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r>
      <w:tr>
        <w:tc>
          <w:tcPr>
            <w:tcW w:type="dxa" w:w="280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TARGET_COL</w:t>
            </w:r>
          </w:p>
        </w:tc>
        <w:tc>
          <w:tcPr>
            <w:tcW w:type="dxa" w:w="180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fantasy_points_ppr</w:t>
            </w:r>
          </w:p>
        </w:tc>
        <w:tc>
          <w:tcPr>
            <w:tcW w:type="dxa" w:w="476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Dependent variable: PPR fantasy points per season</w:t>
            </w:r>
          </w:p>
        </w:tc>
      </w:tr>
      <w:tr>
        <w:tc>
          <w:tcPr>
            <w:tcW w:type="dxa" w:w="280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PREDICTION_YEAR</w:t>
            </w:r>
          </w:p>
        </w:tc>
        <w:tc>
          <w:tcPr>
            <w:tcW w:type="dxa" w:w="180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2026</w:t>
            </w:r>
          </w:p>
        </w:tc>
        <w:tc>
          <w:tcPr>
            <w:tcW w:type="dxa" w:w="476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Target prediction year</w:t>
            </w:r>
          </w:p>
        </w:tc>
      </w:tr>
      <w:tr>
        <w:tc>
          <w:tcPr>
            <w:tcW w:type="dxa" w:w="280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NFL_GAMES</w:t>
            </w:r>
          </w:p>
        </w:tc>
        <w:tc>
          <w:tcPr>
            <w:tcW w:type="dxa" w:w="180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17</w:t>
            </w:r>
          </w:p>
        </w:tc>
        <w:tc>
          <w:tcPr>
            <w:tcW w:type="dxa" w:w="476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Full-season game count (current NFL schedule)</w:t>
            </w:r>
          </w:p>
        </w:tc>
      </w:tr>
      <w:tr>
        <w:tc>
          <w:tcPr>
            <w:tcW w:type="dxa" w:w="280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DEFAULT_PROJ_GAMES</w:t>
            </w:r>
          </w:p>
        </w:tc>
        <w:tc>
          <w:tcPr>
            <w:tcW w:type="dxa" w:w="180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14.0</w:t>
            </w:r>
          </w:p>
        </w:tc>
        <w:tc>
          <w:tcPr>
            <w:tcW w:type="dxa" w:w="476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Fallback projected games when prior-season data is absent</w:t>
            </w:r>
          </w:p>
        </w:tc>
      </w:tr>
      <w:tr>
        <w:tc>
          <w:tcPr>
            <w:tcW w:type="dxa" w:w="280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MIN_GAMES_BY_POS (QB)</w:t>
            </w:r>
          </w:p>
        </w:tc>
        <w:tc>
          <w:tcPr>
            <w:tcW w:type="dxa" w:w="180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12</w:t>
            </w:r>
          </w:p>
        </w:tc>
        <w:tc>
          <w:tcPr>
            <w:tcW w:type="dxa" w:w="476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Minimum games to qualify as starter in the model</w:t>
            </w:r>
          </w:p>
        </w:tc>
      </w:tr>
      <w:tr>
        <w:tc>
          <w:tcPr>
            <w:tcW w:type="dxa" w:w="280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MIN_GAMES_BY_POS (RB/WR/TE)</w:t>
            </w:r>
          </w:p>
        </w:tc>
        <w:tc>
          <w:tcPr>
            <w:tcW w:type="dxa" w:w="180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6</w:t>
            </w:r>
          </w:p>
        </w:tc>
        <w:tc>
          <w:tcPr>
            <w:tcW w:type="dxa" w:w="476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Minimum games for skill positions</w:t>
            </w:r>
          </w:p>
        </w:tc>
      </w:tr>
      <w:tr>
        <w:tc>
          <w:tcPr>
            <w:tcW w:type="dxa" w:w="280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MAX_PROJ_GAMES</w:t>
            </w:r>
          </w:p>
        </w:tc>
        <w:tc>
          <w:tcPr>
            <w:tcW w:type="dxa" w:w="180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16</w:t>
            </w:r>
          </w:p>
        </w:tc>
        <w:tc>
          <w:tcPr>
            <w:tcW w:type="dxa" w:w="476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Conservative ceiling on projected 2026 games</w:t>
            </w:r>
          </w:p>
        </w:tc>
      </w:tr>
      <w:tr>
        <w:tc>
          <w:tcPr>
            <w:tcW w:type="dxa" w:w="280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RIDGE_ALPHA</w:t>
            </w:r>
          </w:p>
        </w:tc>
        <w:tc>
          <w:tcPr>
            <w:tcW w:type="dxa" w:w="180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8.0</w:t>
            </w:r>
          </w:p>
        </w:tc>
        <w:tc>
          <w:tcPr>
            <w:tcW w:type="dxa" w:w="476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L2 regularization penalty (higher = more shrinkage toward zero)</w:t>
            </w:r>
          </w:p>
        </w:tc>
      </w:tr>
      <w:tr>
        <w:tc>
          <w:tcPr>
            <w:tcW w:type="dxa" w:w="280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DECAY</w:t>
            </w:r>
          </w:p>
        </w:tc>
        <w:tc>
          <w:tcPr>
            <w:tcW w:type="dxa" w:w="180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0.35</w:t>
            </w:r>
          </w:p>
        </w:tc>
        <w:tc>
          <w:tcPr>
            <w:tcW w:type="dxa" w:w="476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Exponential recency decay rate for season-pair weights</w:t>
            </w:r>
          </w:p>
        </w:tc>
      </w:tr>
      <w:tr>
        <w:tc>
          <w:tcPr>
            <w:tcW w:type="dxa" w:w="280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Damping factor</w:t>
            </w:r>
          </w:p>
        </w:tc>
        <w:tc>
          <w:tcPr>
            <w:tcW w:type="dxa" w:w="180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0.45</w:t>
            </w:r>
          </w:p>
        </w:tc>
        <w:tc>
          <w:tcPr>
            <w:tcW w:type="dxa" w:w="4760"/>
            <w:tcBorders>
              <w:top w:val="single" w:color="DDDDDD" w:sz="4"/>
              <w:left w:val="single" w:color="DDDDDD" w:sz="4"/>
              <w:bottom w:val="single" w:color="DDDDDD" w:sz="4"/>
              <w:right w:val="single" w:color="DDDDDD" w:sz="4"/>
            </w:tcBorders>
            <w:tcMar>
              <w:top w:type="dxa" w:w="80"/>
              <w:left w:type="dxa" w:w="140"/>
              <w:bottom w:type="dxa" w:w="80"/>
              <w:right w:type="dxa" w:w="140"/>
            </w:tcMar>
            <w:vAlign w:val="center"/>
          </w:tcPr>
          <w:p>
            <w:r>
              <w:rPr>
                <w:rFonts w:ascii="Arial" w:cs="Arial" w:eastAsia="Arial" w:hAnsi="Arial"/>
                <w:color w:val="1F2937"/>
                <w:sz w:val="20"/>
                <w:szCs w:val="20"/>
              </w:rPr>
              <w:t xml:space="preserve">Games-ratio adjustment damping (prevents full injury extrapolation)</w:t>
            </w:r>
          </w:p>
        </w:tc>
      </w:tr>
      <w:tr>
        <w:tc>
          <w:tcPr>
            <w:tcW w:type="dxa" w:w="280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Recency blend</w:t>
            </w:r>
          </w:p>
        </w:tc>
        <w:tc>
          <w:tcPr>
            <w:tcW w:type="dxa" w:w="180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65/35</w:t>
            </w:r>
          </w:p>
        </w:tc>
        <w:tc>
          <w:tcPr>
            <w:tcW w:type="dxa" w:w="4760"/>
            <w:tcBorders>
              <w:top w:val="single" w:color="DDDDDD" w:sz="4"/>
              <w:left w:val="single" w:color="DDDDDD" w:sz="4"/>
              <w:bottom w:val="single" w:color="DDDDDD" w:sz="4"/>
              <w:right w:val="single" w:color="DDDDDD"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Weight split between latest and prior season for games projection</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tabs>
        <w:tab w:val="right" w:pos="9360"/>
      </w:tabs>
    </w:pPr>
    <w:r>
      <w:rPr>
        <w:rFonts w:ascii="Arial" w:cs="Arial" w:eastAsia="Arial" w:hAnsi="Arial"/>
        <w:color w:val="6B7280"/>
        <w:sz w:val="18"/>
        <w:szCs w:val="18"/>
      </w:rPr>
      <w:t xml:space="preserve">Confidential — NFL Analytics Team</w:t>
    </w:r>
    <w:r>
      <w:rPr>
        <w:rFonts w:ascii="Arial" w:cs="Arial" w:eastAsia="Arial" w:hAnsi="Arial"/>
        <w:sz w:val="18"/>
        <w:szCs w:val="18"/>
      </w:rPr>
      <w:t xml:space="preserve">	</w:t>
    </w: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tabs>
        <w:tab w:val="right" w:pos="9360"/>
      </w:tabs>
    </w:pPr>
    <w:r>
      <w:rPr>
        <w:rFonts w:ascii="Arial" w:cs="Arial" w:eastAsia="Arial" w:hAnsi="Arial"/>
        <w:i/>
        <w:iCs/>
        <w:color w:val="6B7280"/>
        <w:sz w:val="18"/>
        <w:szCs w:val="18"/>
      </w:rPr>
      <w:t xml:space="preserve">NFL Analytics Dashboard — 2026 Fantasy Predictions Model Report</w:t>
    </w:r>
    <w:r>
      <w:rPr>
        <w:rFonts w:ascii="Arial" w:cs="Arial" w:eastAsia="Arial" w:hAnsi="Arial"/>
        <w:sz w:val="18"/>
        <w:szCs w:val="18"/>
      </w:rPr>
      <w:t xml:space="preserve">	</w:t>
    </w:r>
    <w:r>
      <w:rPr>
        <w:rFonts w:ascii="Arial" w:cs="Arial" w:eastAsia="Arial" w:hAnsi="Arial"/>
        <w:color w:val="6B7280"/>
        <w:sz w:val="18"/>
        <w:szCs w:val="18"/>
      </w:rPr>
      <w:t xml:space="preserve">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A1D2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F46E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2026-03-25T18:50:30.375Z</dcterms:created>
  <dcterms:modified xsi:type="dcterms:W3CDTF">2026-03-25T18:50:30.375Z</dcterms:modified>
</cp:coreProperties>
</file>

<file path=docProps/custom.xml><?xml version="1.0" encoding="utf-8"?>
<Properties xmlns="http://schemas.openxmlformats.org/officeDocument/2006/custom-properties" xmlns:vt="http://schemas.openxmlformats.org/officeDocument/2006/docPropsVTypes"/>
</file>