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синхронном коде каждая операция ожидает окончание предыдущей, по этому программа может не отвечать пока выполняется какая то большая операция.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Блокирующие операции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 операции которые мешают выполнению других операций.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браузер будет работать в 1 потоке, то загрузка файла будет блокировать выполнение других функций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I/O – ввод/вывод – взаимодействие с “Миром”, пример ниже.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conn_data = conn.read(1024) # network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file_data = fileobj.read(1024) # filesystem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проблем блокировки: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отдельная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подпрограмма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от текущей программы. Требует большие затраты на создание, требует очень много памяти, сложно связать с основной программой,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оверхед со стороны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user-space to scheduling, context switching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Поток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подпрограмма, которая выполняется внутри текущей(в текущем процессе). Требует большие затраты на создание(меньше по сравнению с процессами). При работе в высоконагруженных систем выполнения могут произойти например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race conditional, dedlock, starvation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да еще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Если не ограничить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Pool Threads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программа встанет из за переполнения файлового дескриптора или ограничений системы.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Асинхронность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когда программа работает используя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Loop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(цикл событий),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подпрограммы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coroutine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место где происходит их хранение и выполнение путем прохода по всем событиям.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