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0718" w14:textId="4AB08BE5" w:rsidR="006A1200" w:rsidRPr="00B22296" w:rsidRDefault="006A1200" w:rsidP="006A1200">
      <w:pPr>
        <w:pStyle w:val="a3"/>
        <w:spacing w:before="240" w:beforeAutospacing="0" w:after="240" w:afterAutospacing="0"/>
        <w:ind w:left="280" w:hanging="280"/>
        <w:jc w:val="both"/>
        <w:rPr>
          <w:b/>
          <w:bCs/>
          <w:sz w:val="28"/>
          <w:szCs w:val="28"/>
        </w:rPr>
      </w:pPr>
      <w:r w:rsidRPr="00B22296">
        <w:rPr>
          <w:b/>
          <w:bCs/>
          <w:color w:val="000000"/>
          <w:sz w:val="28"/>
          <w:szCs w:val="28"/>
        </w:rPr>
        <w:t>12.Для чего нужно планирование проведения экспериментов на имитационных моделях? Что такое и как рассчитываются эффекты взаимодействия факторов?</w:t>
      </w:r>
    </w:p>
    <w:p w14:paraId="261D7656" w14:textId="01C94D53" w:rsidR="00507849" w:rsidRDefault="006A1200" w:rsidP="006A1200">
      <w:pPr>
        <w:rPr>
          <w:rFonts w:ascii="Times New Roman" w:hAnsi="Times New Roman" w:cs="Times New Roman"/>
          <w:sz w:val="28"/>
          <w:szCs w:val="28"/>
        </w:rPr>
      </w:pPr>
      <w:r w:rsidRPr="006A1200">
        <w:rPr>
          <w:rFonts w:ascii="Times New Roman" w:hAnsi="Times New Roman" w:cs="Times New Roman"/>
          <w:sz w:val="28"/>
          <w:szCs w:val="28"/>
        </w:rPr>
        <w:t>После того как создана модель и установлена ее адекватность (для выбранной цели исследования), можно приступать к проведению экспериментов. Однако вместо того чтобы выполнять прогоны наугад, намного эффективнее распланировать проведение экспериментов, определить какие именно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r w:rsidRPr="006A1200">
        <w:rPr>
          <w:rFonts w:ascii="Times New Roman" w:hAnsi="Times New Roman" w:cs="Times New Roman"/>
          <w:sz w:val="28"/>
          <w:szCs w:val="28"/>
        </w:rPr>
        <w:t>конфигурации системы следует моделировать, чтобы получить исчерпывающую информацию при наименьшем объеме моделирования.</w:t>
      </w:r>
    </w:p>
    <w:p w14:paraId="231C9791" w14:textId="76C2BE51" w:rsidR="00B22296" w:rsidRPr="00B22296" w:rsidRDefault="00B22296" w:rsidP="006A1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296">
        <w:rPr>
          <w:rFonts w:ascii="Times New Roman" w:hAnsi="Times New Roman" w:cs="Times New Roman"/>
          <w:b/>
          <w:bCs/>
          <w:sz w:val="28"/>
          <w:szCs w:val="28"/>
        </w:rPr>
        <w:t>Факторы.</w:t>
      </w:r>
    </w:p>
    <w:p w14:paraId="759777F4" w14:textId="2802CB48" w:rsidR="00B22296" w:rsidRDefault="00B22296" w:rsidP="00B22296">
      <w:pPr>
        <w:rPr>
          <w:rFonts w:ascii="Times New Roman" w:hAnsi="Times New Roman" w:cs="Times New Roman"/>
          <w:sz w:val="28"/>
          <w:szCs w:val="28"/>
        </w:rPr>
      </w:pPr>
      <w:r w:rsidRPr="00B22296">
        <w:rPr>
          <w:rFonts w:ascii="Times New Roman" w:hAnsi="Times New Roman" w:cs="Times New Roman"/>
          <w:sz w:val="28"/>
          <w:szCs w:val="28"/>
        </w:rPr>
        <w:t>Под факторами понимаются входные переменные или структурные допущения, принятые в модели. Выходные показатели и характеристики работы системы называются откликами.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r w:rsidRPr="00B22296">
        <w:rPr>
          <w:rFonts w:ascii="Times New Roman" w:hAnsi="Times New Roman" w:cs="Times New Roman"/>
          <w:sz w:val="28"/>
          <w:szCs w:val="28"/>
        </w:rPr>
        <w:t>Факторы делятся по характеру допущений на качественные и количественные. По возможности влияния руководства на факторы, они делятся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r w:rsidRPr="00B22296">
        <w:rPr>
          <w:rFonts w:ascii="Times New Roman" w:hAnsi="Times New Roman" w:cs="Times New Roman"/>
          <w:sz w:val="28"/>
          <w:szCs w:val="28"/>
        </w:rPr>
        <w:t>на управляемые и неуправляемые.</w:t>
      </w:r>
    </w:p>
    <w:p w14:paraId="46B216A9" w14:textId="06311B11" w:rsidR="00B22296" w:rsidRDefault="00B22296" w:rsidP="00B22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53D">
        <w:rPr>
          <w:rFonts w:ascii="Times New Roman" w:hAnsi="Times New Roman" w:cs="Times New Roman"/>
          <w:b/>
          <w:bCs/>
          <w:sz w:val="28"/>
          <w:szCs w:val="28"/>
        </w:rPr>
        <w:t>Эффекты взаимо</w:t>
      </w:r>
      <w:r w:rsidR="0001053D" w:rsidRPr="0001053D">
        <w:rPr>
          <w:rFonts w:ascii="Times New Roman" w:hAnsi="Times New Roman" w:cs="Times New Roman"/>
          <w:b/>
          <w:bCs/>
          <w:sz w:val="28"/>
          <w:szCs w:val="28"/>
        </w:rPr>
        <w:t>действия факторов.</w:t>
      </w:r>
    </w:p>
    <w:p w14:paraId="24E80729" w14:textId="7D4908A4" w:rsid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>Эффект взаимодействия двух факторов показывает насколько изменяется главный эффект фактора (половина) при изменении взаимодействующего фактора с уровня «—» на «+».</w:t>
      </w:r>
    </w:p>
    <w:p w14:paraId="1F56387D" w14:textId="17675E6F" w:rsidR="0001053D" w:rsidRP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5B92F" wp14:editId="6D4DFAF7">
            <wp:extent cx="28575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формула 1)</w:t>
      </w:r>
    </w:p>
    <w:p w14:paraId="0B498FE2" w14:textId="77777777" w:rsidR="0001053D" w:rsidRP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>Например, эффект взаимодействия первого и второго фактора можно</w:t>
      </w:r>
    </w:p>
    <w:p w14:paraId="5145D2D5" w14:textId="44436CC5" w:rsid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>вычислить следующим образом:</w:t>
      </w:r>
    </w:p>
    <w:p w14:paraId="69B09662" w14:textId="156827DE" w:rsid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E4664" wp14:editId="3B7F157D">
            <wp:extent cx="511492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4AD" w14:textId="77777777" w:rsidR="0001053D" w:rsidRP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>Что представляет собой разницу главных эффектов первого фактора, когда</w:t>
      </w:r>
    </w:p>
    <w:p w14:paraId="57CE36C1" w14:textId="341B44D9" w:rsid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>второй фактор поменял уровень с «—» на «+» (половину разницы).</w:t>
      </w:r>
    </w:p>
    <w:p w14:paraId="152D032A" w14:textId="22C76793" w:rsidR="0001053D" w:rsidRPr="0001053D" w:rsidRDefault="0001053D" w:rsidP="0001053D">
      <w:pPr>
        <w:rPr>
          <w:rFonts w:ascii="Times New Roman" w:hAnsi="Times New Roman" w:cs="Times New Roman"/>
          <w:sz w:val="28"/>
          <w:szCs w:val="28"/>
        </w:rPr>
      </w:pPr>
      <w:r w:rsidRPr="0001053D">
        <w:rPr>
          <w:rFonts w:ascii="Times New Roman" w:hAnsi="Times New Roman" w:cs="Times New Roman"/>
          <w:sz w:val="28"/>
          <w:szCs w:val="28"/>
        </w:rPr>
        <w:t xml:space="preserve">Глядя на </w:t>
      </w:r>
      <w:r w:rsidRPr="000058FA">
        <w:rPr>
          <w:rFonts w:ascii="Times New Roman" w:hAnsi="Times New Roman" w:cs="Times New Roman"/>
          <w:sz w:val="28"/>
          <w:szCs w:val="28"/>
        </w:rPr>
        <w:t>(</w:t>
      </w:r>
      <w:r w:rsidRPr="0001053D">
        <w:rPr>
          <w:rFonts w:ascii="Times New Roman" w:hAnsi="Times New Roman" w:cs="Times New Roman"/>
          <w:sz w:val="28"/>
          <w:szCs w:val="28"/>
        </w:rPr>
        <w:t xml:space="preserve">формулу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058FA">
        <w:rPr>
          <w:rFonts w:ascii="Times New Roman" w:hAnsi="Times New Roman" w:cs="Times New Roman"/>
          <w:sz w:val="28"/>
          <w:szCs w:val="28"/>
        </w:rPr>
        <w:t>)</w:t>
      </w:r>
      <w:r w:rsidRPr="0001053D">
        <w:rPr>
          <w:rFonts w:ascii="Times New Roman" w:hAnsi="Times New Roman" w:cs="Times New Roman"/>
          <w:sz w:val="28"/>
          <w:szCs w:val="28"/>
        </w:rPr>
        <w:t xml:space="preserve"> можно заменить, что перемена индексов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053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r w:rsidRPr="0001053D">
        <w:rPr>
          <w:rFonts w:ascii="Times New Roman" w:hAnsi="Times New Roman" w:cs="Times New Roman"/>
          <w:sz w:val="28"/>
          <w:szCs w:val="28"/>
        </w:rPr>
        <w:t>местами не повлияет на эффект взаимодействия, так как произведение знаков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r w:rsidRPr="0001053D">
        <w:rPr>
          <w:rFonts w:ascii="Times New Roman" w:hAnsi="Times New Roman" w:cs="Times New Roman"/>
          <w:sz w:val="28"/>
          <w:szCs w:val="28"/>
        </w:rPr>
        <w:t>не меняется от перемены места сомножителей, другими словами эффекты</w:t>
      </w:r>
      <w:r w:rsidR="000058F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1053D">
        <w:rPr>
          <w:rFonts w:ascii="Times New Roman" w:hAnsi="Times New Roman" w:cs="Times New Roman"/>
          <w:sz w:val="28"/>
          <w:szCs w:val="28"/>
        </w:rPr>
        <w:t>взаимодействия факторов являются симметричными характеристиками.</w:t>
      </w:r>
    </w:p>
    <w:sectPr w:rsidR="0001053D" w:rsidRPr="0001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49"/>
    <w:rsid w:val="000058FA"/>
    <w:rsid w:val="0001053D"/>
    <w:rsid w:val="00507849"/>
    <w:rsid w:val="006A1200"/>
    <w:rsid w:val="00B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F106"/>
  <w15:chartTrackingRefBased/>
  <w15:docId w15:val="{EB5E98FF-BE71-4C2B-915C-2A68D75A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3</cp:revision>
  <dcterms:created xsi:type="dcterms:W3CDTF">2020-06-24T12:18:00Z</dcterms:created>
  <dcterms:modified xsi:type="dcterms:W3CDTF">2020-06-24T13:01:00Z</dcterms:modified>
</cp:coreProperties>
</file>