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280" w:hanging="280"/>
        <w:jc w:val="both"/>
        <w:rPr>
          <w:rFonts w:ascii="Arial" w:cs="Arial" w:eastAsia="Arial" w:hAnsi="Arial"/>
          <w:b w:val="0"/>
          <w:i w:val="0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7"/>
          <w:szCs w:val="27"/>
          <w:rtl w:val="0"/>
        </w:rPr>
        <w:t xml:space="preserve">28.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14"/>
          <w:szCs w:val="14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7"/>
          <w:szCs w:val="27"/>
          <w:rtl w:val="0"/>
        </w:rPr>
        <w:t xml:space="preserve">Как устроены многократные рекурсивные и сложные генераторы? Какие преимущества они могут дать?</w:t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84251369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184251369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84251369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xQqV1JNw8f5GOx762tMHZBr43w==">AMUW2mWZHm/BKWAMPKkX3G0CPLo37AN9+WfnUJC5k4lb2ipoPvgCbADMVdRBKBnp9M1HAHmiihyndvg69ohlKazokwbTqShimfUwdv8rNi23bL4XUj2inLM=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2020-06-24T10:34:39.9182179Z</dcterms:created>
  <dc:creator>besong danny</dc:creator>
</cp:coreProperties>
</file>