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Анонимные блоки PL/SQL. 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Использование связанных переменных.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Область видимости переменных. 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Использование стандартных функций в PL/SQL.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Соглашения по написанию PL/SQL кода. Лучшие практики.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Использование запросов SELECT в PL/SQL блоках. 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Соглашения именования переменных, таблиц, полей.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Управляющие конструкции. Операторы IF и CASE, выражение CASE. Использование NULL-значений.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Управляющие конструкции. Операторы цикла Basic Loop, While, For. Вложенные циклы.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Различия между анонимным PL/SQL блоком, процедурами и функциями.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Процедура. Определение, синтаксис создания, удаления. Пример простейшей процедуры и ее вызова.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Функция. Определение, синтаксис создания и удаления. Пример простейшей функции.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Calibri" w:cs="Calibri" w:eastAsia="Calibri" w:hAnsi="Calibri"/>
          <w:color w:val="2e75b5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color w:val="2e75b5"/>
          <w:sz w:val="28"/>
          <w:szCs w:val="28"/>
          <w:rtl w:val="0"/>
        </w:rPr>
        <w:t xml:space="preserve"> Вложенные PL/SQL блоки и области видимости.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