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433" w:rsidRPr="00964433" w:rsidRDefault="00964433" w:rsidP="00964433">
      <w:pPr>
        <w:pStyle w:val="a4"/>
        <w:shd w:val="clear" w:color="auto" w:fill="FFFFFF"/>
        <w:spacing w:after="0"/>
        <w:ind w:left="0"/>
        <w:jc w:val="center"/>
        <w:rPr>
          <w:rFonts w:ascii="Calibri" w:eastAsia="Calibri" w:hAnsi="Calibri" w:cs="Calibri"/>
          <w:color w:val="2E75B5"/>
          <w:sz w:val="52"/>
          <w:szCs w:val="52"/>
        </w:rPr>
      </w:pPr>
      <w:r w:rsidRPr="00964433">
        <w:rPr>
          <w:rFonts w:ascii="Calibri" w:eastAsia="Calibri" w:hAnsi="Calibri" w:cs="Calibri"/>
          <w:color w:val="2E75B5"/>
          <w:sz w:val="52"/>
          <w:szCs w:val="52"/>
        </w:rPr>
        <w:t>Соглашения именования переменных, таблиц, полей.</w:t>
      </w:r>
    </w:p>
    <w:p w:rsidR="003B3AA0" w:rsidRPr="003B3AA0" w:rsidRDefault="003B3AA0" w:rsidP="003B3AA0">
      <w:pPr>
        <w:spacing w:line="240" w:lineRule="auto"/>
        <w:rPr>
          <w:sz w:val="32"/>
          <w:szCs w:val="32"/>
        </w:rPr>
      </w:pPr>
      <w:r w:rsidRPr="003B3AA0">
        <w:rPr>
          <w:sz w:val="32"/>
          <w:szCs w:val="32"/>
        </w:rPr>
        <w:t>Соглашения об именах</w:t>
      </w:r>
    </w:p>
    <w:p w:rsidR="003B3AA0" w:rsidRDefault="003B3AA0" w:rsidP="003B3AA0">
      <w:pPr>
        <w:spacing w:line="240" w:lineRule="auto"/>
        <w:rPr>
          <w:sz w:val="32"/>
          <w:szCs w:val="32"/>
        </w:rPr>
      </w:pPr>
      <w:r w:rsidRPr="003B3AA0">
        <w:rPr>
          <w:sz w:val="32"/>
          <w:szCs w:val="32"/>
        </w:rPr>
        <w:t>Наименование идентификаторов должно быть четким, непротиворечивым и однозначным.</w:t>
      </w:r>
    </w:p>
    <w:p w:rsidR="006063EB" w:rsidRPr="006063EB" w:rsidRDefault="006063EB" w:rsidP="006063EB">
      <w:pPr>
        <w:spacing w:line="240" w:lineRule="auto"/>
        <w:rPr>
          <w:sz w:val="32"/>
          <w:szCs w:val="32"/>
        </w:rPr>
      </w:pPr>
      <w:r w:rsidRPr="006063EB">
        <w:rPr>
          <w:sz w:val="32"/>
          <w:szCs w:val="32"/>
        </w:rPr>
        <w:t>Вы не можете объявить две переменные с одинаковым именем в одном и том же блоке. Однако вы можете объявить переменные с одинаковыми именами в двух разных блоках (вложенных блоках). Два элемента, представленные одним и тем же именем, различны, и любое изменение в одном не влияет на другое.</w:t>
      </w:r>
    </w:p>
    <w:p w:rsidR="003B3AA0" w:rsidRPr="003B3AA0" w:rsidRDefault="003B3AA0" w:rsidP="003B3AA0">
      <w:pPr>
        <w:spacing w:line="240" w:lineRule="auto"/>
        <w:rPr>
          <w:sz w:val="32"/>
          <w:szCs w:val="32"/>
        </w:rPr>
      </w:pPr>
      <w:bookmarkStart w:id="0" w:name="_GoBack"/>
      <w:bookmarkEnd w:id="0"/>
      <w:r w:rsidRPr="003B3AA0">
        <w:rPr>
          <w:sz w:val="32"/>
          <w:szCs w:val="32"/>
        </w:rPr>
        <w:t>Одним из наиболее часто используемых соглашений является:</w:t>
      </w:r>
    </w:p>
    <w:p w:rsidR="003B3AA0" w:rsidRPr="003B3AA0" w:rsidRDefault="003B3AA0" w:rsidP="003B3AA0">
      <w:pPr>
        <w:pStyle w:val="a4"/>
        <w:numPr>
          <w:ilvl w:val="0"/>
          <w:numId w:val="10"/>
        </w:numPr>
        <w:spacing w:line="240" w:lineRule="auto"/>
        <w:rPr>
          <w:sz w:val="32"/>
          <w:szCs w:val="32"/>
        </w:rPr>
      </w:pPr>
      <w:r w:rsidRPr="003B3AA0">
        <w:rPr>
          <w:sz w:val="32"/>
          <w:szCs w:val="32"/>
        </w:rPr>
        <w:t>Переменные, начинающиеся с v_</w:t>
      </w:r>
    </w:p>
    <w:p w:rsidR="003B3AA0" w:rsidRPr="003B3AA0" w:rsidRDefault="003B3AA0" w:rsidP="003B3AA0">
      <w:pPr>
        <w:pStyle w:val="a4"/>
        <w:numPr>
          <w:ilvl w:val="0"/>
          <w:numId w:val="10"/>
        </w:numPr>
        <w:spacing w:line="240" w:lineRule="auto"/>
        <w:rPr>
          <w:sz w:val="32"/>
          <w:szCs w:val="32"/>
        </w:rPr>
      </w:pPr>
      <w:r w:rsidRPr="003B3AA0">
        <w:rPr>
          <w:sz w:val="32"/>
          <w:szCs w:val="32"/>
        </w:rPr>
        <w:t>константы, начинающиеся с c_</w:t>
      </w:r>
    </w:p>
    <w:p w:rsidR="003B3AA0" w:rsidRPr="003B3AA0" w:rsidRDefault="003B3AA0" w:rsidP="003B3AA0">
      <w:pPr>
        <w:pStyle w:val="a4"/>
        <w:numPr>
          <w:ilvl w:val="0"/>
          <w:numId w:val="10"/>
        </w:numPr>
        <w:spacing w:line="240" w:lineRule="auto"/>
        <w:rPr>
          <w:sz w:val="32"/>
          <w:szCs w:val="32"/>
        </w:rPr>
      </w:pPr>
      <w:r w:rsidRPr="003B3AA0">
        <w:rPr>
          <w:sz w:val="32"/>
          <w:szCs w:val="32"/>
        </w:rPr>
        <w:t>параметры (переданные в процедуры и функции), начинающиеся с p_</w:t>
      </w:r>
    </w:p>
    <w:p w:rsidR="003B3AA0" w:rsidRPr="006063EB" w:rsidRDefault="003B3AA0" w:rsidP="003B3AA0">
      <w:pPr>
        <w:spacing w:line="240" w:lineRule="auto"/>
        <w:rPr>
          <w:sz w:val="32"/>
          <w:szCs w:val="32"/>
          <w:lang w:val="en-US"/>
        </w:rPr>
      </w:pPr>
      <w:r w:rsidRPr="003B3AA0">
        <w:rPr>
          <w:sz w:val="32"/>
          <w:szCs w:val="32"/>
        </w:rPr>
        <w:t>Примеры</w:t>
      </w:r>
      <w:r w:rsidRPr="006063EB">
        <w:rPr>
          <w:sz w:val="32"/>
          <w:szCs w:val="32"/>
          <w:lang w:val="en-US"/>
        </w:rPr>
        <w:t>:</w:t>
      </w:r>
    </w:p>
    <w:p w:rsidR="003B3AA0" w:rsidRPr="003B3AA0" w:rsidRDefault="003B3AA0" w:rsidP="003B3AA0">
      <w:pPr>
        <w:spacing w:line="240" w:lineRule="auto"/>
        <w:rPr>
          <w:sz w:val="32"/>
          <w:szCs w:val="32"/>
          <w:lang w:val="en-US"/>
        </w:rPr>
      </w:pPr>
      <w:proofErr w:type="spellStart"/>
      <w:r w:rsidRPr="003B3AA0">
        <w:rPr>
          <w:sz w:val="32"/>
          <w:szCs w:val="32"/>
          <w:lang w:val="en-US"/>
        </w:rPr>
        <w:t>v_date_of_birth</w:t>
      </w:r>
      <w:proofErr w:type="spellEnd"/>
    </w:p>
    <w:p w:rsidR="003B3AA0" w:rsidRPr="003B3AA0" w:rsidRDefault="003B3AA0" w:rsidP="003B3AA0">
      <w:pPr>
        <w:spacing w:line="240" w:lineRule="auto"/>
        <w:rPr>
          <w:sz w:val="32"/>
          <w:szCs w:val="32"/>
          <w:lang w:val="en-US"/>
        </w:rPr>
      </w:pPr>
      <w:proofErr w:type="spellStart"/>
      <w:r w:rsidRPr="003B3AA0">
        <w:rPr>
          <w:sz w:val="32"/>
          <w:szCs w:val="32"/>
          <w:lang w:val="en-US"/>
        </w:rPr>
        <w:t>c_tax_rate</w:t>
      </w:r>
      <w:proofErr w:type="spellEnd"/>
    </w:p>
    <w:p w:rsidR="00A902F3" w:rsidRDefault="003B3AA0" w:rsidP="003B3AA0">
      <w:pPr>
        <w:spacing w:line="240" w:lineRule="auto"/>
        <w:rPr>
          <w:sz w:val="32"/>
          <w:szCs w:val="32"/>
        </w:rPr>
      </w:pPr>
      <w:r w:rsidRPr="003B3AA0">
        <w:rPr>
          <w:sz w:val="32"/>
          <w:szCs w:val="32"/>
          <w:lang w:val="en-US"/>
        </w:rPr>
        <w:t>p</w:t>
      </w:r>
      <w:r w:rsidRPr="006063EB">
        <w:rPr>
          <w:sz w:val="32"/>
          <w:szCs w:val="32"/>
        </w:rPr>
        <w:t>_</w:t>
      </w:r>
      <w:proofErr w:type="spellStart"/>
      <w:r w:rsidRPr="003B3AA0">
        <w:rPr>
          <w:sz w:val="32"/>
          <w:szCs w:val="32"/>
          <w:lang w:val="en-US"/>
        </w:rPr>
        <w:t>empno</w:t>
      </w:r>
      <w:proofErr w:type="spellEnd"/>
    </w:p>
    <w:p w:rsidR="003B3AA0" w:rsidRDefault="003B3AA0" w:rsidP="003B3AA0">
      <w:pPr>
        <w:spacing w:line="240" w:lineRule="auto"/>
        <w:rPr>
          <w:sz w:val="32"/>
          <w:szCs w:val="32"/>
        </w:rPr>
      </w:pPr>
    </w:p>
    <w:p w:rsidR="00221E0D" w:rsidRPr="00221E0D" w:rsidRDefault="00221E0D" w:rsidP="00221E0D">
      <w:pPr>
        <w:spacing w:line="240" w:lineRule="auto"/>
        <w:rPr>
          <w:sz w:val="32"/>
          <w:szCs w:val="32"/>
        </w:rPr>
      </w:pPr>
      <w:r w:rsidRPr="00221E0D">
        <w:rPr>
          <w:sz w:val="32"/>
          <w:szCs w:val="32"/>
        </w:rPr>
        <w:t>Руководство по соглашениям об именах</w:t>
      </w:r>
    </w:p>
    <w:p w:rsidR="00221E0D" w:rsidRPr="00221E0D" w:rsidRDefault="00221E0D" w:rsidP="00221E0D">
      <w:pPr>
        <w:spacing w:line="240" w:lineRule="auto"/>
        <w:rPr>
          <w:sz w:val="32"/>
          <w:szCs w:val="32"/>
        </w:rPr>
      </w:pPr>
      <w:r w:rsidRPr="00221E0D">
        <w:rPr>
          <w:sz w:val="32"/>
          <w:szCs w:val="32"/>
        </w:rPr>
        <w:t xml:space="preserve">В потенциально неоднозначных операторах </w:t>
      </w:r>
      <w:r w:rsidRPr="00221E0D">
        <w:rPr>
          <w:sz w:val="32"/>
          <w:szCs w:val="32"/>
          <w:lang w:val="en-US"/>
        </w:rPr>
        <w:t>SQL</w:t>
      </w:r>
      <w:r w:rsidRPr="00221E0D">
        <w:rPr>
          <w:sz w:val="32"/>
          <w:szCs w:val="32"/>
        </w:rPr>
        <w:t xml:space="preserve"> имена</w:t>
      </w:r>
    </w:p>
    <w:p w:rsidR="00221E0D" w:rsidRPr="00221E0D" w:rsidRDefault="00221E0D" w:rsidP="00221E0D">
      <w:pPr>
        <w:spacing w:line="240" w:lineRule="auto"/>
        <w:rPr>
          <w:sz w:val="32"/>
          <w:szCs w:val="32"/>
        </w:rPr>
      </w:pPr>
      <w:r w:rsidRPr="00221E0D">
        <w:rPr>
          <w:sz w:val="32"/>
          <w:szCs w:val="32"/>
        </w:rPr>
        <w:t>Столбцы базы данных имеют приоритет над именами локальных переменных.</w:t>
      </w:r>
    </w:p>
    <w:p w:rsidR="00221E0D" w:rsidRPr="00221E0D" w:rsidRDefault="00221E0D" w:rsidP="00221E0D">
      <w:pPr>
        <w:spacing w:line="240" w:lineRule="auto"/>
        <w:rPr>
          <w:sz w:val="32"/>
          <w:szCs w:val="32"/>
        </w:rPr>
      </w:pPr>
    </w:p>
    <w:p w:rsidR="00221E0D" w:rsidRPr="00221E0D" w:rsidRDefault="00221E0D" w:rsidP="00221E0D">
      <w:pPr>
        <w:spacing w:line="240" w:lineRule="auto"/>
        <w:rPr>
          <w:sz w:val="32"/>
          <w:szCs w:val="32"/>
        </w:rPr>
      </w:pPr>
      <w:r w:rsidRPr="00221E0D">
        <w:rPr>
          <w:sz w:val="32"/>
          <w:szCs w:val="32"/>
        </w:rPr>
        <w:t>Руководство по соглашениям об именах Подробнее</w:t>
      </w:r>
    </w:p>
    <w:p w:rsidR="00221E0D" w:rsidRPr="00221E0D" w:rsidRDefault="00221E0D" w:rsidP="00221E0D">
      <w:pPr>
        <w:spacing w:line="240" w:lineRule="auto"/>
        <w:rPr>
          <w:sz w:val="32"/>
          <w:szCs w:val="32"/>
        </w:rPr>
      </w:pPr>
      <w:r w:rsidRPr="00221E0D">
        <w:rPr>
          <w:sz w:val="32"/>
          <w:szCs w:val="32"/>
        </w:rPr>
        <w:t>Рекомендации по соглашениям об именах:</w:t>
      </w:r>
    </w:p>
    <w:p w:rsidR="00221E0D" w:rsidRPr="000C5F5A" w:rsidRDefault="00221E0D" w:rsidP="000C5F5A">
      <w:pPr>
        <w:pStyle w:val="a4"/>
        <w:numPr>
          <w:ilvl w:val="0"/>
          <w:numId w:val="13"/>
        </w:numPr>
        <w:spacing w:line="240" w:lineRule="auto"/>
        <w:rPr>
          <w:sz w:val="32"/>
          <w:szCs w:val="32"/>
        </w:rPr>
      </w:pPr>
      <w:r w:rsidRPr="000C5F5A">
        <w:rPr>
          <w:sz w:val="32"/>
          <w:szCs w:val="32"/>
        </w:rPr>
        <w:lastRenderedPageBreak/>
        <w:t xml:space="preserve">Используйте соглашение об именах, чтобы избежать двусмысленности в предложении </w:t>
      </w:r>
      <w:r w:rsidRPr="000C5F5A">
        <w:rPr>
          <w:sz w:val="32"/>
          <w:szCs w:val="32"/>
          <w:lang w:val="en-US"/>
        </w:rPr>
        <w:t>WHERE</w:t>
      </w:r>
      <w:r w:rsidRPr="000C5F5A">
        <w:rPr>
          <w:sz w:val="32"/>
          <w:szCs w:val="32"/>
        </w:rPr>
        <w:t>.</w:t>
      </w:r>
    </w:p>
    <w:p w:rsidR="00221E0D" w:rsidRPr="000C5F5A" w:rsidRDefault="00221E0D" w:rsidP="000C5F5A">
      <w:pPr>
        <w:pStyle w:val="a4"/>
        <w:numPr>
          <w:ilvl w:val="0"/>
          <w:numId w:val="13"/>
        </w:numPr>
        <w:spacing w:line="240" w:lineRule="auto"/>
        <w:rPr>
          <w:sz w:val="32"/>
          <w:szCs w:val="32"/>
        </w:rPr>
      </w:pPr>
      <w:r w:rsidRPr="000C5F5A">
        <w:rPr>
          <w:sz w:val="32"/>
          <w:szCs w:val="32"/>
        </w:rPr>
        <w:t>Избегайте использования имен столбцов базы данных в качестве идентификаторов.</w:t>
      </w:r>
    </w:p>
    <w:p w:rsidR="00221E0D" w:rsidRPr="000C5F5A" w:rsidRDefault="00221E0D" w:rsidP="000C5F5A">
      <w:pPr>
        <w:pStyle w:val="a4"/>
        <w:numPr>
          <w:ilvl w:val="0"/>
          <w:numId w:val="13"/>
        </w:numPr>
        <w:spacing w:line="240" w:lineRule="auto"/>
        <w:rPr>
          <w:sz w:val="32"/>
          <w:szCs w:val="32"/>
        </w:rPr>
      </w:pPr>
      <w:r w:rsidRPr="000C5F5A">
        <w:rPr>
          <w:sz w:val="32"/>
          <w:szCs w:val="32"/>
        </w:rPr>
        <w:t xml:space="preserve">Ошибки могут возникать во время выполнения, поскольку </w:t>
      </w:r>
      <w:r w:rsidRPr="000C5F5A">
        <w:rPr>
          <w:sz w:val="32"/>
          <w:szCs w:val="32"/>
          <w:lang w:val="en-US"/>
        </w:rPr>
        <w:t>PL</w:t>
      </w:r>
      <w:r w:rsidRPr="000C5F5A">
        <w:rPr>
          <w:sz w:val="32"/>
          <w:szCs w:val="32"/>
        </w:rPr>
        <w:t xml:space="preserve"> / </w:t>
      </w:r>
      <w:r w:rsidRPr="000C5F5A">
        <w:rPr>
          <w:sz w:val="32"/>
          <w:szCs w:val="32"/>
          <w:lang w:val="en-US"/>
        </w:rPr>
        <w:t>SQL</w:t>
      </w:r>
      <w:r w:rsidRPr="000C5F5A">
        <w:rPr>
          <w:sz w:val="32"/>
          <w:szCs w:val="32"/>
        </w:rPr>
        <w:t xml:space="preserve"> сначала проверяет базу данных на наличие столбца в таблице.</w:t>
      </w:r>
    </w:p>
    <w:p w:rsidR="00221E0D" w:rsidRPr="000C5F5A" w:rsidRDefault="00221E0D" w:rsidP="000C5F5A">
      <w:pPr>
        <w:pStyle w:val="a4"/>
        <w:numPr>
          <w:ilvl w:val="0"/>
          <w:numId w:val="13"/>
        </w:numPr>
        <w:spacing w:line="240" w:lineRule="auto"/>
        <w:rPr>
          <w:sz w:val="32"/>
          <w:szCs w:val="32"/>
        </w:rPr>
      </w:pPr>
      <w:r w:rsidRPr="000C5F5A">
        <w:rPr>
          <w:sz w:val="32"/>
          <w:szCs w:val="32"/>
        </w:rPr>
        <w:t xml:space="preserve">Имена локальных переменных и формальных параметров имеют приоритет над именами таблиц базы данных (в операторе </w:t>
      </w:r>
      <w:r w:rsidRPr="000C5F5A">
        <w:rPr>
          <w:sz w:val="32"/>
          <w:szCs w:val="32"/>
          <w:lang w:val="en-US"/>
        </w:rPr>
        <w:t>PL</w:t>
      </w:r>
      <w:r w:rsidRPr="000C5F5A">
        <w:rPr>
          <w:sz w:val="32"/>
          <w:szCs w:val="32"/>
        </w:rPr>
        <w:t xml:space="preserve"> / </w:t>
      </w:r>
      <w:r w:rsidRPr="000C5F5A">
        <w:rPr>
          <w:sz w:val="32"/>
          <w:szCs w:val="32"/>
          <w:lang w:val="en-US"/>
        </w:rPr>
        <w:t>SQL</w:t>
      </w:r>
      <w:r w:rsidRPr="000C5F5A">
        <w:rPr>
          <w:sz w:val="32"/>
          <w:szCs w:val="32"/>
        </w:rPr>
        <w:t>).</w:t>
      </w:r>
    </w:p>
    <w:p w:rsidR="003B3AA0" w:rsidRPr="000C5F5A" w:rsidRDefault="00221E0D" w:rsidP="000C5F5A">
      <w:pPr>
        <w:pStyle w:val="a4"/>
        <w:numPr>
          <w:ilvl w:val="0"/>
          <w:numId w:val="13"/>
        </w:numPr>
        <w:spacing w:line="240" w:lineRule="auto"/>
        <w:rPr>
          <w:sz w:val="32"/>
          <w:szCs w:val="32"/>
        </w:rPr>
      </w:pPr>
      <w:r w:rsidRPr="000C5F5A">
        <w:rPr>
          <w:sz w:val="32"/>
          <w:szCs w:val="32"/>
        </w:rPr>
        <w:t>Имена столбцов таблицы базы данных имеют приоритет над именами локальных переменных.</w:t>
      </w:r>
    </w:p>
    <w:p w:rsidR="003B3AA0" w:rsidRPr="006063EB" w:rsidRDefault="003B3AA0" w:rsidP="003B3AA0">
      <w:pPr>
        <w:spacing w:line="240" w:lineRule="auto"/>
        <w:rPr>
          <w:sz w:val="32"/>
          <w:szCs w:val="32"/>
        </w:rPr>
      </w:pPr>
    </w:p>
    <w:p w:rsidR="000C5F5A" w:rsidRPr="006063EB" w:rsidRDefault="000C5F5A" w:rsidP="003B3AA0">
      <w:pPr>
        <w:spacing w:line="240" w:lineRule="auto"/>
        <w:rPr>
          <w:sz w:val="32"/>
          <w:szCs w:val="32"/>
        </w:rPr>
      </w:pPr>
    </w:p>
    <w:tbl>
      <w:tblPr>
        <w:tblW w:w="69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8000"/>
      </w:tblGrid>
      <w:tr w:rsidR="000C5F5A" w:rsidRPr="000C5F5A" w:rsidTr="000C5F5A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:rsidR="000C5F5A" w:rsidRPr="000C5F5A" w:rsidRDefault="000C5F5A" w:rsidP="000C5F5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</w:pPr>
            <w:r w:rsidRPr="000C5F5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FFFFFF"/>
            <w:hideMark/>
          </w:tcPr>
          <w:p w:rsidR="000C5F5A" w:rsidRPr="000C5F5A" w:rsidRDefault="000C5F5A" w:rsidP="000C5F5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</w:pPr>
            <w:r w:rsidRPr="000C5F5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Описание</w:t>
            </w:r>
          </w:p>
        </w:tc>
      </w:tr>
      <w:tr w:rsidR="000C5F5A" w:rsidRPr="000C5F5A" w:rsidTr="000C5F5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5F5A" w:rsidRPr="000C5F5A" w:rsidRDefault="000C5F5A" w:rsidP="000C5F5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proofErr w:type="spellStart"/>
            <w:r w:rsidRPr="000C5F5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Separator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5F5A" w:rsidRPr="000C5F5A" w:rsidRDefault="000C5F5A" w:rsidP="000C5F5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0C5F5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Символ, разделяющий слова в имени объекта. В столбце </w:t>
            </w:r>
            <w:r w:rsidRPr="000C5F5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Значение</w:t>
            </w:r>
            <w:r w:rsidRPr="000C5F5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 выберите </w:t>
            </w:r>
            <w:r w:rsidRPr="000C5F5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Подчеркивание</w:t>
            </w:r>
            <w:r w:rsidRPr="000C5F5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, </w:t>
            </w:r>
            <w:r w:rsidRPr="000C5F5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Пробел</w:t>
            </w:r>
            <w:r w:rsidRPr="000C5F5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или</w:t>
            </w:r>
            <w:proofErr w:type="gramStart"/>
            <w:r w:rsidRPr="000C5F5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 </w:t>
            </w:r>
            <w:r w:rsidRPr="000C5F5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Н</w:t>
            </w:r>
            <w:proofErr w:type="gramEnd"/>
            <w:r w:rsidRPr="000C5F5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ет</w:t>
            </w:r>
            <w:r w:rsidRPr="000C5F5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. Значение по умолчанию — </w:t>
            </w:r>
            <w:r w:rsidRPr="000C5F5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Подчеркивание</w:t>
            </w:r>
            <w:r w:rsidRPr="000C5F5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.</w:t>
            </w:r>
          </w:p>
        </w:tc>
      </w:tr>
      <w:tr w:rsidR="000C5F5A" w:rsidRPr="000C5F5A" w:rsidTr="000C5F5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5F5A" w:rsidRPr="000C5F5A" w:rsidRDefault="000C5F5A" w:rsidP="000C5F5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0C5F5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Префикс первичного ключевого столбца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5F5A" w:rsidRPr="000C5F5A" w:rsidRDefault="000C5F5A" w:rsidP="000C5F5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0C5F5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Определяет строку, которая предшествует имени каждого первичного ключевого столбца. Значение по умолчанию — </w:t>
            </w:r>
            <w:r w:rsidRPr="000C5F5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PK</w:t>
            </w:r>
            <w:r w:rsidRPr="000C5F5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.</w:t>
            </w:r>
          </w:p>
        </w:tc>
      </w:tr>
      <w:tr w:rsidR="000C5F5A" w:rsidRPr="000C5F5A" w:rsidTr="000C5F5A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5F5A" w:rsidRPr="000C5F5A" w:rsidRDefault="000C5F5A" w:rsidP="000C5F5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0C5F5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Префикс внешнего ключевого столбца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:rsidR="000C5F5A" w:rsidRPr="000C5F5A" w:rsidRDefault="000C5F5A" w:rsidP="000C5F5A">
            <w:pPr>
              <w:spacing w:after="0" w:line="240" w:lineRule="auto"/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</w:pPr>
            <w:r w:rsidRPr="000C5F5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Определяет строку, которая предшествует имени каждого внешнего ключевого столбца. Значение по умолчанию — </w:t>
            </w:r>
            <w:r w:rsidRPr="000C5F5A">
              <w:rPr>
                <w:rFonts w:ascii="Segoe UI" w:eastAsia="Times New Roman" w:hAnsi="Segoe UI" w:cs="Segoe UI"/>
                <w:b/>
                <w:bCs/>
                <w:color w:val="171717"/>
                <w:sz w:val="24"/>
                <w:szCs w:val="24"/>
                <w:lang w:eastAsia="ru-RU"/>
              </w:rPr>
              <w:t>FK</w:t>
            </w:r>
            <w:r w:rsidRPr="000C5F5A">
              <w:rPr>
                <w:rFonts w:ascii="Segoe UI" w:eastAsia="Times New Roman" w:hAnsi="Segoe UI" w:cs="Segoe UI"/>
                <w:color w:val="171717"/>
                <w:sz w:val="24"/>
                <w:szCs w:val="24"/>
                <w:lang w:eastAsia="ru-RU"/>
              </w:rPr>
              <w:t>.</w:t>
            </w:r>
          </w:p>
        </w:tc>
      </w:tr>
    </w:tbl>
    <w:p w:rsidR="000C5F5A" w:rsidRDefault="000C5F5A" w:rsidP="003B3AA0">
      <w:pPr>
        <w:spacing w:line="240" w:lineRule="auto"/>
        <w:rPr>
          <w:sz w:val="32"/>
          <w:szCs w:val="32"/>
          <w:lang w:val="en-US"/>
        </w:rPr>
      </w:pPr>
    </w:p>
    <w:p w:rsidR="000C5F5A" w:rsidRPr="000C5F5A" w:rsidRDefault="000C5F5A" w:rsidP="003B3AA0">
      <w:pPr>
        <w:spacing w:line="240" w:lineRule="auto"/>
        <w:rPr>
          <w:sz w:val="32"/>
          <w:szCs w:val="32"/>
          <w:lang w:val="en-US"/>
        </w:rPr>
      </w:pPr>
    </w:p>
    <w:p w:rsidR="003B3AA0" w:rsidRPr="003B3AA0" w:rsidRDefault="003B3AA0" w:rsidP="003B3AA0">
      <w:pPr>
        <w:spacing w:line="240" w:lineRule="auto"/>
        <w:rPr>
          <w:sz w:val="32"/>
          <w:szCs w:val="32"/>
        </w:rPr>
      </w:pPr>
    </w:p>
    <w:sectPr w:rsidR="003B3AA0" w:rsidRPr="003B3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0373"/>
    <w:multiLevelType w:val="multilevel"/>
    <w:tmpl w:val="0FFA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402CF"/>
    <w:multiLevelType w:val="multilevel"/>
    <w:tmpl w:val="C10A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4A3900"/>
    <w:multiLevelType w:val="hybridMultilevel"/>
    <w:tmpl w:val="952A0C14"/>
    <w:lvl w:ilvl="0" w:tplc="745EABE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441F13"/>
    <w:multiLevelType w:val="hybridMultilevel"/>
    <w:tmpl w:val="17E4E426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95528"/>
    <w:multiLevelType w:val="multilevel"/>
    <w:tmpl w:val="7266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E1398"/>
    <w:multiLevelType w:val="hybridMultilevel"/>
    <w:tmpl w:val="B69C373E"/>
    <w:lvl w:ilvl="0" w:tplc="256027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74E8D"/>
    <w:multiLevelType w:val="multilevel"/>
    <w:tmpl w:val="837477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>
    <w:nsid w:val="472C357D"/>
    <w:multiLevelType w:val="hybridMultilevel"/>
    <w:tmpl w:val="71E85436"/>
    <w:lvl w:ilvl="0" w:tplc="256027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E37AFC"/>
    <w:multiLevelType w:val="multilevel"/>
    <w:tmpl w:val="CCE8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CE33DC"/>
    <w:multiLevelType w:val="hybridMultilevel"/>
    <w:tmpl w:val="55BA4EF0"/>
    <w:lvl w:ilvl="0" w:tplc="256027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8F3D57"/>
    <w:multiLevelType w:val="multilevel"/>
    <w:tmpl w:val="000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C85062"/>
    <w:multiLevelType w:val="multilevel"/>
    <w:tmpl w:val="27F2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D881A90"/>
    <w:multiLevelType w:val="multilevel"/>
    <w:tmpl w:val="618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0"/>
  </w:num>
  <w:num w:numId="5">
    <w:abstractNumId w:val="12"/>
  </w:num>
  <w:num w:numId="6">
    <w:abstractNumId w:val="11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9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730"/>
    <w:rsid w:val="000C5F5A"/>
    <w:rsid w:val="00163727"/>
    <w:rsid w:val="001B4484"/>
    <w:rsid w:val="00221E0D"/>
    <w:rsid w:val="003B3AA0"/>
    <w:rsid w:val="006063EB"/>
    <w:rsid w:val="007C65CD"/>
    <w:rsid w:val="00964433"/>
    <w:rsid w:val="009861A6"/>
    <w:rsid w:val="009B1730"/>
    <w:rsid w:val="00A9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4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44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B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64433"/>
    <w:pPr>
      <w:ind w:left="720"/>
      <w:contextualSpacing/>
    </w:pPr>
  </w:style>
  <w:style w:type="character" w:styleId="a5">
    <w:name w:val="Strong"/>
    <w:basedOn w:val="a0"/>
    <w:uiPriority w:val="22"/>
    <w:qFormat/>
    <w:rsid w:val="000C5F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44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44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B4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64433"/>
    <w:pPr>
      <w:ind w:left="720"/>
      <w:contextualSpacing/>
    </w:pPr>
  </w:style>
  <w:style w:type="character" w:styleId="a5">
    <w:name w:val="Strong"/>
    <w:basedOn w:val="a0"/>
    <w:uiPriority w:val="22"/>
    <w:qFormat/>
    <w:rsid w:val="000C5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2020-06-03T13:28:00Z</dcterms:created>
  <dcterms:modified xsi:type="dcterms:W3CDTF">2020-06-03T20:35:00Z</dcterms:modified>
</cp:coreProperties>
</file>