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FFBDB">
      <w:pPr>
        <w:rPr>
          <w:rFonts w:hint="eastAsia"/>
        </w:rPr>
      </w:pPr>
      <w:r>
        <w:rPr>
          <w:rFonts w:hint="eastAsia"/>
        </w:rPr>
        <w:t xml:space="preserve">Semantic segmentation, a fundamental task in computer vision, aims to assign each pixel in an image to a specific semantic category~\cite{dai2025ctfs}. In autonomous driving systems~\cite{hu2023planning}, semantic segmentation~\cite{gong2023integrated} provides a fine-grained understanding of complex urban environments, supporting accurate decision-making and safe navigation, and thus serves as an indispensable foundation. With the rapid advancement of deep learning, methods based on convolutional neural networks (CNNs)~\cite{long2015fully,ronneberger2015u} and attention mechanisms~\cite{vaswani2017attention} have achieved remarkable progress.    </w:t>
      </w:r>
    </w:p>
    <w:p w14:paraId="3D05F11C">
      <w:pPr>
        <w:rPr>
          <w:rFonts w:hint="eastAsia"/>
        </w:rPr>
      </w:pPr>
    </w:p>
    <w:p w14:paraId="2299C94A">
      <w:pPr>
        <w:rPr>
          <w:rFonts w:hint="default" w:eastAsiaTheme="minorEastAsia"/>
          <w:color w:val="00B050"/>
          <w:lang w:val="en-US" w:eastAsia="zh-CN"/>
        </w:rPr>
      </w:pPr>
      <w:r>
        <w:rPr>
          <w:rFonts w:hint="eastAsia"/>
        </w:rPr>
        <w:t>Among CNN-based methods,</w:t>
      </w:r>
      <w:r>
        <w:rPr>
          <w:rFonts w:hint="eastAsia"/>
          <w:color w:val="00B050"/>
          <w:lang w:val="en-US" w:eastAsia="zh-CN"/>
        </w:rPr>
        <w:t xml:space="preserve">DFANet ~\cite{li2019dfanet} proposed a network architecture based on dynamic feature enhancement. This approach combines the advantages of convolutional neural networks and the Transformer model, enhancing contextual understanding and multi-scale feature processing. </w:t>
      </w:r>
      <w:r>
        <w:rPr>
          <w:rFonts w:ascii="Segoe UI" w:hAnsi="Segoe UI" w:eastAsia="Segoe UI" w:cs="Segoe UI"/>
          <w:i w:val="0"/>
          <w:iCs w:val="0"/>
          <w:caps w:val="0"/>
          <w:color w:val="00B050"/>
          <w:spacing w:val="0"/>
          <w:sz w:val="19"/>
          <w:szCs w:val="19"/>
          <w:shd w:val="clear" w:fill="FFFFFF"/>
        </w:rPr>
        <w:t>PP-LiteSeg~\cite{xu2023fast} introduces an efficient encoder-decoder architecture that balances computational efficiency and segmentation accuracy through lightweight design principles. By incorporating flexible feature fusion and context aggregation strategies, the model achieves enhanced multi-scale representation and fine-grained boundary recovery for rooftop extraction from UAV imagery.</w:t>
      </w:r>
    </w:p>
    <w:p w14:paraId="0083B8B5">
      <w:pPr>
        <w:rPr>
          <w:rFonts w:hint="eastAsia" w:eastAsiaTheme="minorEastAsia"/>
          <w:color w:val="00B050"/>
          <w:lang w:val="en-US" w:eastAsia="zh-CN"/>
        </w:rPr>
      </w:pPr>
      <w:r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FasterSeg~\cite{chen2019fasterseg} leveraged neural architecture search to automatically design lightweight encoders and decoders, significantly reducing computational cost while preserving high-resolution features, making it suitable for real-time applications. </w:t>
      </w:r>
      <w:r>
        <w:rPr>
          <w:rFonts w:hint="eastAsia"/>
          <w:color w:val="00B050"/>
          <w:lang w:val="en-US" w:eastAsia="zh-CN"/>
        </w:rPr>
        <w:t xml:space="preserve">SegTransConv~\cite{fan2023segtransconv} proposed a Transformer and convolutional neural networks hybrid encoder-decoder structure. Its four-stage hierarchical encoder better exploits the global contexts of the input and expands the receptive fields. Then, the knowledge distillation strategy is leveraged to improve the model's performance. </w:t>
      </w:r>
    </w:p>
    <w:p w14:paraId="3F148DFC">
      <w:pPr>
        <w:rPr>
          <w:rFonts w:hint="eastAsia"/>
        </w:rPr>
      </w:pPr>
      <w:r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In addition, lightweight architectures such as PDBNet~\cite{dai2022pdbnet}, which employed parameter-efficient convolutional modules and effective feature fusion strategies, further enhance segmentation accuracy under strict resource constraints, making them practical for deployment on devices with limited computational resources.    </w:t>
      </w:r>
    </w:p>
    <w:p w14:paraId="2BB59CA8">
      <w:pPr>
        <w:rPr>
          <w:rFonts w:hint="eastAsia"/>
        </w:rPr>
      </w:pPr>
    </w:p>
    <w:p w14:paraId="14963717">
      <w:pPr>
        <w:rPr>
          <w:rFonts w:hint="eastAsia"/>
          <w:color w:val="00B050"/>
          <w:lang w:val="en-US" w:eastAsia="zh-CN"/>
        </w:rPr>
      </w:pPr>
      <w:r>
        <w:rPr>
          <w:rFonts w:hint="eastAsia"/>
        </w:rPr>
        <w:t xml:space="preserve">Recent advances in attention mechanisms have significantly enhanced the performance of semantic segmentation. </w:t>
      </w:r>
      <w:r>
        <w:rPr>
          <w:rFonts w:hint="eastAsia"/>
          <w:color w:val="00B050"/>
          <w:lang w:val="en-US" w:eastAsia="zh-CN"/>
        </w:rPr>
        <w:t xml:space="preserve">RAM~\cite{yuan2024towards} refined attention responses to mitigate the impact of adversarial patch-based attacks, highlighting the role of attention in ensuring both performance and security of segmentation models.  </w:t>
      </w:r>
      <w:r>
        <w:rPr>
          <w:rFonts w:hint="eastAsia"/>
        </w:rPr>
        <w:t xml:space="preserve">SeaFormer~\cite{wan2023seaformer} introduced an axial attention mechanism that reduces computational complexity, enabling fast inference in resource-limited scenarios. </w:t>
      </w:r>
      <w:r>
        <w:rPr>
          <w:rFonts w:hint="eastAsia"/>
          <w:color w:val="00B050"/>
          <w:lang w:val="en-US" w:eastAsia="zh-CN"/>
        </w:rPr>
        <w:t>TSG [28] introduced a scale-aware gating mechanism that adaptively selects and reweights multi-</w:t>
      </w:r>
    </w:p>
    <w:p w14:paraId="44969FB4">
      <w:pPr>
        <w:rPr>
          <w:rFonts w:hint="default" w:eastAsiaTheme="minor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 xml:space="preserve">scale features, enabling more effective context fusion. </w:t>
      </w:r>
    </w:p>
    <w:p w14:paraId="5A52469F">
      <w:pPr>
        <w:rPr>
          <w:rFonts w:hint="eastAsia"/>
        </w:rPr>
      </w:pPr>
      <w:r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Furthermore, MobileSAM~\cite{zhang2023faster} utilized dynamic prototypes to guide attention, thereby strengthening the model’s focus on foreground regions and enhancing fine-grained detail modeling.    </w:t>
      </w:r>
    </w:p>
    <w:p w14:paraId="785B0258">
      <w:pPr>
        <w:rPr>
          <w:rFonts w:hint="eastAsia"/>
        </w:rPr>
      </w:pPr>
    </w:p>
    <w:p w14:paraId="6AADE4FD">
      <w:pPr>
        <w:rPr>
          <w:rFonts w:hint="eastAsia"/>
        </w:rPr>
      </w:pPr>
      <w:r>
        <w:rPr>
          <w:rFonts w:hint="eastAsia"/>
        </w:rPr>
        <w:t>Despite these advances, several challenges remain. In real-world scenarios such as autonomous driving, existing methods often struggle to accurately delineate object boundaries and distinguish visually similar categories in dynamic urban scenes~\cite{cordts2016cityscapes}. While many approaches improve segmentation accuracy, they often incur high computational overhead, making it challenging to meet the dual requirements of real-time inference and resource efficiency on vehicle-mounted platforms. In particular, multi-scale fusion and global context modeling tend to significantly increase computation, impeding lightweight deployment. Consequently, reducing model complexity and computational cost while maintaining competitive accuracy remains a key research direction for semantic segmentation, especially to meet the practical needs of autonomous driving.</w:t>
      </w:r>
    </w:p>
    <w:p w14:paraId="6A0690D9">
      <w:pPr>
        <w:rPr>
          <w:rFonts w:hint="eastAsia"/>
        </w:rPr>
      </w:pPr>
    </w:p>
    <w:p w14:paraId="31AC9361">
      <w:pPr>
        <w:rPr>
          <w:rFonts w:hint="eastAsia"/>
        </w:rPr>
      </w:pPr>
    </w:p>
    <w:p w14:paraId="264FE564">
      <w:pPr>
        <w:rPr>
          <w:rFonts w:hint="eastAsia"/>
        </w:rPr>
      </w:pPr>
    </w:p>
    <w:p w14:paraId="12C50859">
      <w:pPr>
        <w:rPr>
          <w:rFonts w:hint="eastAsia"/>
        </w:rPr>
      </w:pPr>
      <w:r>
        <w:rPr>
          <w:rFonts w:hint="eastAsia"/>
        </w:rPr>
        <w:t>To address these issues, this paper proposes the Collaborative Attention Network (CoANet), a lightweight and efficient semantic segmentation network tailored for real-time urban scene understanding. Unlike architectures that pursue stronger representation through extensive decoder expansion or computationally intensive context modules, CoANet is built upon a compact encoder--decoder framework with lightweight residual blocks, which provides the fundamental efficiency basis of the network. On top of this lightweight backbone, we introduce three targeted attention-based modules to compensate for the representational deficiencies that compact models often exhibit. Rather than serving as heavy add-on components, these modules are designed as low-overhead refinements</w:t>
      </w:r>
      <w:bookmarkStart w:id="0" w:name="_GoBack"/>
      <w:bookmarkEnd w:id="0"/>
      <w:r>
        <w:rPr>
          <w:rFonts w:hint="eastAsia"/>
        </w:rPr>
        <w:t xml:space="preserve"> that selectively enhance the feature quality at different stages of the network. In this way, CoANet maintains the efficiency advantage of a lightweight backbone while improving contextual reasoning, boundary recovery, and semantic separability. Extensive evaluations on benchmark datasets such as Cityscapes and CamVid demonstrate that CoANet achieves a competitive accuracy--efficiency trade-off and shows strong potential for real-time applications such as autonomous driving (as illustrated in Fig.~\ref{fig:comparison}). The main contributions of this paper are as follows:</w:t>
      </w:r>
    </w:p>
    <w:p w14:paraId="3C5913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A32D13"/>
    <w:rsid w:val="45A3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2026-03-17T09:26:00Z</dcterms:created>
  <dc:creator>王海生</dc:creator>
  <cp:lastModifiedBy>王海生</cp:lastModifiedBy>
  <dcterms:modified xsi:type="dcterms:W3CDTF">2026-03-17T12:47:04Z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7A878C66A3364AE091569E5247555801_11</vt:lpwstr>
  </property>
  <property fmtid="{D5CDD505-2E9C-101B-9397-08002B2CF9AE}" pid="4" name="KSOTemplateDocerSaveRecord">
    <vt:lpwstr>eyJoZGlkIjoiMjMxM2U0Mjk3Zjk0YzFjZDEzOTI1Yzg1YTIxNTlhN2EiLCJ1c2VySWQiOiIxNTU2OTA3OTk5In0=</vt:lpwstr>
  </property>
</Properties>
</file>