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d1e766be50e060de5c0dce016da132ce60b93a1"/>
    <w:p>
      <w:pPr>
        <w:pStyle w:val="Heading1"/>
      </w:pPr>
      <w:r>
        <w:t xml:space="preserve">GameStop Path to the Ryan Cohen Performance Award Milestones</w:t>
      </w:r>
    </w:p>
    <w:bookmarkStart w:id="25" w:name="executive-summary"/>
    <w:p>
      <w:pPr>
        <w:pStyle w:val="Heading2"/>
      </w:pPr>
      <w:r>
        <w:t xml:space="preserve">Executive summary</w:t>
      </w:r>
    </w:p>
    <w:p>
      <w:pPr>
        <w:pStyle w:val="FirstParagraph"/>
      </w:pPr>
      <w:r>
        <w:t xml:space="preserve">GameStop Corp.</w:t>
      </w:r>
      <w:hyperlink r:id="rId21">
        <w:r>
          <w:rPr>
            <w:rStyle w:val="Hyperlink"/>
          </w:rPr>
          <w:t xml:space="preserve">[1]</w:t>
        </w:r>
      </w:hyperlink>
      <w:r>
        <w:t xml:space="preserve"> </w:t>
      </w:r>
      <w:r>
        <w:t xml:space="preserve">has disclosed a CEO performance award for Ryan Cohen</w:t>
      </w:r>
      <w:hyperlink r:id="rId22">
        <w:r>
          <w:rPr>
            <w:rStyle w:val="Hyperlink"/>
          </w:rPr>
          <w:t xml:space="preserve">[2]</w:t>
        </w:r>
      </w:hyperlink>
      <w:r>
        <w:t xml:space="preserve"> </w:t>
      </w:r>
      <w:r>
        <w:t xml:space="preserve">that vests only if</w:t>
      </w:r>
      <w:r>
        <w:t xml:space="preserve"> </w:t>
      </w:r>
      <w:r>
        <w:rPr>
          <w:b/>
          <w:bCs/>
        </w:rPr>
        <w:t xml:space="preserve">both</w:t>
      </w:r>
      <w:r>
        <w:t xml:space="preserve"> </w:t>
      </w:r>
      <w:r>
        <w:t xml:space="preserve">(i) a</w:t>
      </w:r>
      <w:r>
        <w:t xml:space="preserve"> </w:t>
      </w:r>
      <w:r>
        <w:rPr>
          <w:b/>
          <w:bCs/>
        </w:rPr>
        <w:t xml:space="preserve">60‑trading‑day average market capitalization</w:t>
      </w:r>
      <w:r>
        <w:t xml:space="preserve"> </w:t>
      </w:r>
      <w:r>
        <w:t xml:space="preserve">hurdle and (ii) a</w:t>
      </w:r>
      <w:r>
        <w:t xml:space="preserve"> </w:t>
      </w:r>
      <w:r>
        <w:rPr>
          <w:b/>
          <w:bCs/>
        </w:rPr>
        <w:t xml:space="preserve">cumulative “Performance EBITDA”</w:t>
      </w:r>
      <w:r>
        <w:t xml:space="preserve"> </w:t>
      </w:r>
      <w:r>
        <w:t xml:space="preserve">hurdle are achieved during a 10‑year term.</w:t>
      </w:r>
      <w:r>
        <w:t xml:space="preserve"> </w:t>
      </w:r>
      <w:hyperlink r:id="rId23">
        <w:r>
          <w:rPr>
            <w:rStyle w:val="Hyperlink"/>
          </w:rPr>
          <w:t xml:space="preserve">[3]</w:t>
        </w:r>
      </w:hyperlink>
      <w:r>
        <w:t xml:space="preserve"> </w:t>
      </w:r>
      <w:r>
        <w:t xml:space="preserve">The market‑cap ladder runs from</w:t>
      </w:r>
      <w:r>
        <w:t xml:space="preserve"> </w:t>
      </w:r>
      <w:r>
        <w:rPr>
          <w:b/>
          <w:bCs/>
        </w:rPr>
        <w:t xml:space="preserve">$20B to $100B</w:t>
      </w:r>
      <w:r>
        <w:t xml:space="preserve">; the cumulative EBITDA ladder runs from</w:t>
      </w:r>
      <w:r>
        <w:t xml:space="preserve"> </w:t>
      </w:r>
      <w:r>
        <w:rPr>
          <w:b/>
          <w:bCs/>
        </w:rPr>
        <w:t xml:space="preserve">$2B to $10B</w:t>
      </w:r>
      <w:r>
        <w:t xml:space="preserve">.</w:t>
      </w:r>
      <w:r>
        <w:t xml:space="preserve"> </w:t>
      </w:r>
      <w:hyperlink r:id="rId23">
        <w:r>
          <w:rPr>
            <w:rStyle w:val="Hyperlink"/>
          </w:rPr>
          <w:t xml:space="preserve">[4]</w:t>
        </w:r>
      </w:hyperlink>
      <w:r>
        <w:t xml:space="preserve"> </w:t>
      </w:r>
      <w:r>
        <w:t xml:space="preserve">“Performance EBITDA” is tied to</w:t>
      </w:r>
      <w:r>
        <w:t xml:space="preserve"> </w:t>
      </w:r>
      <w:r>
        <w:rPr>
          <w:b/>
          <w:bCs/>
        </w:rPr>
        <w:t xml:space="preserve">quarterly Adjusted EBITDA</w:t>
      </w:r>
      <w:r>
        <w:t xml:space="preserve"> </w:t>
      </w:r>
      <w:r>
        <w:t xml:space="preserve">and explicitly</w:t>
      </w:r>
      <w:r>
        <w:t xml:space="preserve"> </w:t>
      </w:r>
      <w:r>
        <w:rPr>
          <w:b/>
          <w:bCs/>
        </w:rPr>
        <w:t xml:space="preserve">starts accumulating from the fiscal quarter beginning Feb 1, 2026</w:t>
      </w:r>
      <w:r>
        <w:t xml:space="preserve">.</w:t>
      </w:r>
      <w:r>
        <w:t xml:space="preserve"> </w:t>
      </w:r>
      <w:hyperlink r:id="rId22">
        <w:r>
          <w:rPr>
            <w:rStyle w:val="Hyperlink"/>
          </w:rPr>
          <w:t xml:space="preserve">[5]</w:t>
        </w:r>
      </w:hyperlink>
    </w:p>
    <w:p>
      <w:pPr>
        <w:pStyle w:val="BodyText"/>
      </w:pPr>
      <w:r>
        <w:t xml:space="preserve">The Company’s current financial baseline (latest available Form 10‑Q as of 2026‑03‑15) already shows a</w:t>
      </w:r>
      <w:r>
        <w:t xml:space="preserve"> </w:t>
      </w:r>
      <w:r>
        <w:rPr>
          <w:b/>
          <w:bCs/>
        </w:rPr>
        <w:t xml:space="preserve">large liquidity reservoir</w:t>
      </w:r>
      <w:r>
        <w:t xml:space="preserve"> </w:t>
      </w:r>
      <w:r>
        <w:t xml:space="preserve">and a</w:t>
      </w:r>
      <w:r>
        <w:t xml:space="preserve"> </w:t>
      </w:r>
      <w:r>
        <w:rPr>
          <w:b/>
          <w:bCs/>
        </w:rPr>
        <w:t xml:space="preserve">deliberate “capital stack” design</w:t>
      </w:r>
      <w:r>
        <w:t xml:space="preserve"> </w:t>
      </w:r>
      <w:r>
        <w:t xml:space="preserve">that can finance expansion: about</w:t>
      </w:r>
      <w:r>
        <w:t xml:space="preserve"> </w:t>
      </w:r>
      <w:r>
        <w:rPr>
          <w:b/>
          <w:bCs/>
        </w:rPr>
        <w:t xml:space="preserve">$8.83B</w:t>
      </w:r>
      <w:r>
        <w:t xml:space="preserve"> </w:t>
      </w:r>
      <w:r>
        <w:t xml:space="preserve">in cash + marketable securities, and</w:t>
      </w:r>
      <w:r>
        <w:t xml:space="preserve"> </w:t>
      </w:r>
      <w:r>
        <w:rPr>
          <w:b/>
          <w:bCs/>
        </w:rPr>
        <w:t xml:space="preserve">$4.2B</w:t>
      </w:r>
      <w:r>
        <w:t xml:space="preserve"> </w:t>
      </w:r>
      <w:r>
        <w:t xml:space="preserve">in zero‑coupon convertibles (2030 and 2032) with conversion prices around</w:t>
      </w:r>
      <w:r>
        <w:t xml:space="preserve"> </w:t>
      </w:r>
      <w:r>
        <w:rPr>
          <w:b/>
          <w:bCs/>
        </w:rPr>
        <w:t xml:space="preserve">$29–$30</w:t>
      </w:r>
      <w:r>
        <w:t xml:space="preserve">.</w:t>
      </w:r>
      <w:r>
        <w:t xml:space="preserve"> </w:t>
      </w:r>
      <w:hyperlink r:id="rId24">
        <w:r>
          <w:rPr>
            <w:rStyle w:val="Hyperlink"/>
          </w:rPr>
          <w:t xml:space="preserve">[6]</w:t>
        </w:r>
      </w:hyperlink>
      <w:r>
        <w:t xml:space="preserve"> </w:t>
      </w:r>
      <w:r>
        <w:t xml:space="preserve">In addition, the Company distributed</w:t>
      </w:r>
      <w:r>
        <w:t xml:space="preserve"> </w:t>
      </w:r>
      <w:r>
        <w:rPr>
          <w:b/>
          <w:bCs/>
        </w:rPr>
        <w:t xml:space="preserve">~59.15M warrants</w:t>
      </w:r>
      <w:r>
        <w:t xml:space="preserve"> </w:t>
      </w:r>
      <w:r>
        <w:t xml:space="preserve">(cash exercise at</w:t>
      </w:r>
      <w:r>
        <w:t xml:space="preserve"> </w:t>
      </w:r>
      <w:r>
        <w:rPr>
          <w:b/>
          <w:bCs/>
        </w:rPr>
        <w:t xml:space="preserve">$32</w:t>
      </w:r>
      <w:r>
        <w:t xml:space="preserve">, expiring</w:t>
      </w:r>
      <w:r>
        <w:t xml:space="preserve"> </w:t>
      </w:r>
      <w:r>
        <w:rPr>
          <w:b/>
          <w:bCs/>
        </w:rPr>
        <w:t xml:space="preserve">Oct 30, 2026</w:t>
      </w:r>
      <w:r>
        <w:t xml:space="preserve">) that could raise up to</w:t>
      </w:r>
      <w:r>
        <w:t xml:space="preserve"> </w:t>
      </w:r>
      <w:r>
        <w:rPr>
          <w:b/>
          <w:bCs/>
        </w:rPr>
        <w:t xml:space="preserve">~$1.89B</w:t>
      </w:r>
      <w:r>
        <w:t xml:space="preserve"> </w:t>
      </w:r>
      <w:r>
        <w:t xml:space="preserve">if exercised, but only if the stock trades above the strike prior to expiration.</w:t>
      </w:r>
      <w:r>
        <w:t xml:space="preserve"> </w:t>
      </w:r>
      <w:hyperlink r:id="rId24">
        <w:r>
          <w:rPr>
            <w:rStyle w:val="Hyperlink"/>
          </w:rPr>
          <w:t xml:space="preserve">[7]</w:t>
        </w:r>
      </w:hyperlink>
      <w:r>
        <w:t xml:space="preserve"> </w:t>
      </w:r>
      <w:r>
        <w:t xml:space="preserve">The Company also states outright that its strategy includes using cash/liquidity for</w:t>
      </w:r>
      <w:r>
        <w:t xml:space="preserve"> </w:t>
      </w:r>
      <w:r>
        <w:rPr>
          <w:b/>
          <w:bCs/>
        </w:rPr>
        <w:t xml:space="preserve">“potential investment and/or acquisition opportunities.”</w:t>
      </w:r>
      <w:r>
        <w:t xml:space="preserve"> </w:t>
      </w:r>
      <w:hyperlink r:id="rId24">
        <w:r>
          <w:rPr>
            <w:rStyle w:val="Hyperlink"/>
          </w:rPr>
          <w:t xml:space="preserve">[8]</w:t>
        </w:r>
      </w:hyperlink>
    </w:p>
    <w:p>
      <w:pPr>
        <w:pStyle w:val="BodyText"/>
      </w:pPr>
      <w:r>
        <w:t xml:space="preserve">A Monte Carlo model (30,000 runs total;</w:t>
      </w:r>
      <w:r>
        <w:t xml:space="preserve"> </w:t>
      </w:r>
      <w:r>
        <w:rPr>
          <w:b/>
          <w:bCs/>
        </w:rPr>
        <w:t xml:space="preserve">10,000 per scenario</w:t>
      </w:r>
      <w:r>
        <w:t xml:space="preserve">) that integrates (1) the award rules, (2) the cash/debt/warrant mechanics, (3) acquisition economics with uncertain synergies, and (4) valuation multiple regimes finds:</w:t>
      </w:r>
    </w:p>
    <w:p>
      <w:pPr>
        <w:pStyle w:val="Compact"/>
        <w:numPr>
          <w:ilvl w:val="0"/>
          <w:numId w:val="1001"/>
        </w:numPr>
      </w:pPr>
      <w:r>
        <w:rPr>
          <w:b/>
          <w:bCs/>
        </w:rPr>
        <w:t xml:space="preserve">Tranche 1 (≥$20B market cap + ≥$2B cumulative EBITDA)</w:t>
      </w:r>
      <w:r>
        <w:t xml:space="preserve"> </w:t>
      </w:r>
      <w:r>
        <w:t xml:space="preserve">is</w:t>
      </w:r>
      <w:r>
        <w:t xml:space="preserve"> </w:t>
      </w:r>
      <w:r>
        <w:rPr>
          <w:b/>
          <w:bCs/>
        </w:rPr>
        <w:t xml:space="preserve">plausible but not “baseline‑likely”</w:t>
      </w:r>
      <w:r>
        <w:t xml:space="preserve">:</w:t>
      </w:r>
    </w:p>
    <w:p>
      <w:pPr>
        <w:pStyle w:val="Compact"/>
        <w:numPr>
          <w:ilvl w:val="0"/>
          <w:numId w:val="1001"/>
        </w:numPr>
      </w:pPr>
      <w:r>
        <w:t xml:space="preserve">Base case:</w:t>
      </w:r>
      <w:r>
        <w:t xml:space="preserve"> </w:t>
      </w:r>
      <w:r>
        <w:rPr>
          <w:b/>
          <w:bCs/>
        </w:rPr>
        <w:t xml:space="preserve">~39%</w:t>
      </w:r>
      <w:r>
        <w:t xml:space="preserve"> </w:t>
      </w:r>
      <w:r>
        <w:t xml:space="preserve">probability by 2036</w:t>
      </w:r>
    </w:p>
    <w:p>
      <w:pPr>
        <w:pStyle w:val="Compact"/>
        <w:numPr>
          <w:ilvl w:val="0"/>
          <w:numId w:val="1001"/>
        </w:numPr>
      </w:pPr>
      <w:r>
        <w:t xml:space="preserve">Optimistic:</w:t>
      </w:r>
      <w:r>
        <w:t xml:space="preserve"> </w:t>
      </w:r>
      <w:r>
        <w:rPr>
          <w:b/>
          <w:bCs/>
        </w:rPr>
        <w:t xml:space="preserve">~85%</w:t>
      </w:r>
    </w:p>
    <w:p>
      <w:pPr>
        <w:pStyle w:val="Compact"/>
        <w:numPr>
          <w:ilvl w:val="0"/>
          <w:numId w:val="1001"/>
        </w:numPr>
      </w:pPr>
      <w:r>
        <w:t xml:space="preserve">Conservative:</w:t>
      </w:r>
      <w:r>
        <w:t xml:space="preserve"> </w:t>
      </w:r>
      <w:r>
        <w:rPr>
          <w:b/>
          <w:bCs/>
        </w:rPr>
        <w:t xml:space="preserve">~6%</w:t>
      </w:r>
    </w:p>
    <w:p>
      <w:pPr>
        <w:pStyle w:val="Compact"/>
        <w:numPr>
          <w:ilvl w:val="0"/>
          <w:numId w:val="1001"/>
        </w:numPr>
      </w:pPr>
      <w:r>
        <w:rPr>
          <w:b/>
          <w:bCs/>
        </w:rPr>
        <w:t xml:space="preserve">Mid‑ladder outcomes</w:t>
      </w:r>
      <w:r>
        <w:t xml:space="preserve"> </w:t>
      </w:r>
      <w:r>
        <w:t xml:space="preserve">require sustained EBITDA expansion plus multiple expansion:</w:t>
      </w:r>
    </w:p>
    <w:p>
      <w:pPr>
        <w:pStyle w:val="Compact"/>
        <w:numPr>
          <w:ilvl w:val="0"/>
          <w:numId w:val="1001"/>
        </w:numPr>
      </w:pPr>
      <w:r>
        <w:t xml:space="preserve">Tranche 3 ($40B + $4B) probability:</w:t>
      </w:r>
      <w:r>
        <w:t xml:space="preserve"> </w:t>
      </w:r>
      <w:r>
        <w:rPr>
          <w:b/>
          <w:bCs/>
        </w:rPr>
        <w:t xml:space="preserve">~1%</w:t>
      </w:r>
      <w:r>
        <w:t xml:space="preserve"> </w:t>
      </w:r>
      <w:r>
        <w:t xml:space="preserve">(base) vs</w:t>
      </w:r>
      <w:r>
        <w:t xml:space="preserve"> </w:t>
      </w:r>
      <w:r>
        <w:rPr>
          <w:b/>
          <w:bCs/>
        </w:rPr>
        <w:t xml:space="preserve">~38%</w:t>
      </w:r>
      <w:r>
        <w:t xml:space="preserve"> </w:t>
      </w:r>
      <w:r>
        <w:t xml:space="preserve">(optimistic)</w:t>
      </w:r>
    </w:p>
    <w:p>
      <w:pPr>
        <w:pStyle w:val="Compact"/>
        <w:numPr>
          <w:ilvl w:val="0"/>
          <w:numId w:val="1001"/>
        </w:numPr>
      </w:pPr>
      <w:r>
        <w:rPr>
          <w:b/>
          <w:bCs/>
        </w:rPr>
        <w:t xml:space="preserve">Top‑end outcomes</w:t>
      </w:r>
      <w:r>
        <w:t xml:space="preserve"> </w:t>
      </w:r>
      <w:r>
        <w:t xml:space="preserve">(e.g., Tranche 9: $100B + $10B) are</w:t>
      </w:r>
      <w:r>
        <w:t xml:space="preserve"> </w:t>
      </w:r>
      <w:r>
        <w:rPr>
          <w:b/>
          <w:bCs/>
        </w:rPr>
        <w:t xml:space="preserve">rare even in optimistic assumptions</w:t>
      </w:r>
      <w:r>
        <w:t xml:space="preserve">:</w:t>
      </w:r>
      <w:r>
        <w:t xml:space="preserve"> </w:t>
      </w:r>
      <w:r>
        <w:rPr>
          <w:b/>
          <w:bCs/>
        </w:rPr>
        <w:t xml:space="preserve">~0.7%</w:t>
      </w:r>
      <w:r>
        <w:t xml:space="preserve"> </w:t>
      </w:r>
      <w:r>
        <w:t xml:space="preserve">probability.</w:t>
      </w:r>
    </w:p>
    <w:p>
      <w:pPr>
        <w:pStyle w:val="Compact"/>
        <w:numPr>
          <w:ilvl w:val="0"/>
          <w:numId w:val="1001"/>
        </w:numPr>
      </w:pPr>
      <w:r>
        <w:t xml:space="preserve">Time‑to‑hit is typically</w:t>
      </w:r>
      <w:r>
        <w:t xml:space="preserve"> </w:t>
      </w:r>
      <w:r>
        <w:rPr>
          <w:b/>
          <w:bCs/>
        </w:rPr>
        <w:t xml:space="preserve">late in the term</w:t>
      </w:r>
      <w:r>
        <w:t xml:space="preserve"> </w:t>
      </w:r>
      <w:r>
        <w:t xml:space="preserve">because EBITDA is</w:t>
      </w:r>
      <w:r>
        <w:t xml:space="preserve"> </w:t>
      </w:r>
      <w:r>
        <w:rPr>
          <w:b/>
          <w:bCs/>
        </w:rPr>
        <w:t xml:space="preserve">cumulative starting Feb 1, 2026</w:t>
      </w:r>
      <w:r>
        <w:t xml:space="preserve">, and the Company’s recent Adjusted EBITDA run‑rate is far below the $2B–$10B cumulative ladder without major scale‑up.</w:t>
      </w:r>
      <w:r>
        <w:t xml:space="preserve"> </w:t>
      </w:r>
      <w:hyperlink r:id="rId22">
        <w:r>
          <w:rPr>
            <w:rStyle w:val="Hyperlink"/>
          </w:rPr>
          <w:t xml:space="preserve">[9]</w:t>
        </w:r>
      </w:hyperlink>
    </w:p>
    <w:p>
      <w:pPr>
        <w:pStyle w:val="FirstParagraph"/>
      </w:pPr>
      <w:r>
        <w:t xml:space="preserve">Key “what matters most” conclusion: the award is engineered so that</w:t>
      </w:r>
      <w:r>
        <w:t xml:space="preserve"> </w:t>
      </w:r>
      <w:r>
        <w:rPr>
          <w:b/>
          <w:bCs/>
        </w:rPr>
        <w:t xml:space="preserve">market‑cap strength alone is not enough</w:t>
      </w:r>
      <w:r>
        <w:t xml:space="preserve">; the binding constraint in most realistic paths is achieving</w:t>
      </w:r>
      <w:r>
        <w:t xml:space="preserve"> </w:t>
      </w:r>
      <w:r>
        <w:rPr>
          <w:b/>
          <w:bCs/>
        </w:rPr>
        <w:t xml:space="preserve">large cumulative operating EBITDA</w:t>
      </w:r>
      <w:r>
        <w:t xml:space="preserve">, which in turn likely requires either (a) successful execution of a platform transition with meaningful margin expansion, (b) acquisitions that contribute material positive EBITDA, or (c) both.</w:t>
      </w:r>
    </w:p>
    <w:bookmarkEnd w:id="25"/>
    <w:bookmarkStart w:id="30" w:name="primary-source-fact-base"/>
    <w:p>
      <w:pPr>
        <w:pStyle w:val="Heading2"/>
      </w:pPr>
      <w:r>
        <w:t xml:space="preserve">Primary-source fact base</w:t>
      </w:r>
    </w:p>
    <w:bookmarkStart w:id="26" w:name="X3a251c57de50c663b0189f4d323b886d1101780"/>
    <w:p>
      <w:pPr>
        <w:pStyle w:val="Heading3"/>
      </w:pPr>
      <w:r>
        <w:t xml:space="preserve">Capital structure and liquidity from SEC filings</w:t>
      </w:r>
    </w:p>
    <w:p>
      <w:pPr>
        <w:pStyle w:val="FirstParagraph"/>
      </w:pPr>
      <w:r>
        <w:t xml:space="preserve">As of</w:t>
      </w:r>
      <w:r>
        <w:t xml:space="preserve"> </w:t>
      </w:r>
      <w:r>
        <w:rPr>
          <w:b/>
          <w:bCs/>
        </w:rPr>
        <w:t xml:space="preserve">Nov 1, 2025</w:t>
      </w:r>
      <w:r>
        <w:t xml:space="preserve">, the Company reported</w:t>
      </w:r>
      <w:r>
        <w:t xml:space="preserve"> </w:t>
      </w:r>
      <w:r>
        <w:rPr>
          <w:b/>
          <w:bCs/>
        </w:rPr>
        <w:t xml:space="preserve">$7.8427B</w:t>
      </w:r>
      <w:r>
        <w:t xml:space="preserve"> </w:t>
      </w:r>
      <w:r>
        <w:t xml:space="preserve">of cash and cash equivalents and</w:t>
      </w:r>
      <w:r>
        <w:t xml:space="preserve"> </w:t>
      </w:r>
      <w:r>
        <w:rPr>
          <w:b/>
          <w:bCs/>
        </w:rPr>
        <w:t xml:space="preserve">$0.9869B</w:t>
      </w:r>
      <w:r>
        <w:t xml:space="preserve"> </w:t>
      </w:r>
      <w:r>
        <w:t xml:space="preserve">of marketable securities (total</w:t>
      </w:r>
      <w:r>
        <w:t xml:space="preserve"> </w:t>
      </w:r>
      <w:r>
        <w:rPr>
          <w:b/>
          <w:bCs/>
        </w:rPr>
        <w:t xml:space="preserve">$8.8296B</w:t>
      </w:r>
      <w:r>
        <w:t xml:space="preserve">).</w:t>
      </w:r>
      <w:r>
        <w:t xml:space="preserve"> </w:t>
      </w:r>
      <w:hyperlink r:id="rId24">
        <w:r>
          <w:rPr>
            <w:rStyle w:val="Hyperlink"/>
          </w:rPr>
          <w:t xml:space="preserve">[10]</w:t>
        </w:r>
      </w:hyperlink>
      <w:r>
        <w:t xml:space="preserve"> </w:t>
      </w:r>
      <w:r>
        <w:t xml:space="preserve">Shares outstanding were</w:t>
      </w:r>
      <w:r>
        <w:t xml:space="preserve"> </w:t>
      </w:r>
      <w:r>
        <w:rPr>
          <w:b/>
          <w:bCs/>
        </w:rPr>
        <w:t xml:space="preserve">~447.9M</w:t>
      </w:r>
      <w:r>
        <w:t xml:space="preserve"> </w:t>
      </w:r>
      <w:r>
        <w:t xml:space="preserve">as of Nov 1, 2025, and the Company later disclosed</w:t>
      </w:r>
      <w:r>
        <w:t xml:space="preserve"> </w:t>
      </w:r>
      <w:r>
        <w:rPr>
          <w:b/>
          <w:bCs/>
        </w:rPr>
        <w:t xml:space="preserve">448,009,480 shares</w:t>
      </w:r>
      <w:r>
        <w:t xml:space="preserve"> </w:t>
      </w:r>
      <w:r>
        <w:t xml:space="preserve">outstanding as of</w:t>
      </w:r>
      <w:r>
        <w:t xml:space="preserve"> </w:t>
      </w:r>
      <w:r>
        <w:rPr>
          <w:b/>
          <w:bCs/>
        </w:rPr>
        <w:t xml:space="preserve">Dec 5, 2025</w:t>
      </w:r>
      <w:r>
        <w:t xml:space="preserve">.</w:t>
      </w:r>
      <w:r>
        <w:t xml:space="preserve"> </w:t>
      </w:r>
      <w:hyperlink r:id="rId24">
        <w:r>
          <w:rPr>
            <w:rStyle w:val="Hyperlink"/>
          </w:rPr>
          <w:t xml:space="preserve">[11]</w:t>
        </w:r>
      </w:hyperlink>
    </w:p>
    <w:p>
      <w:pPr>
        <w:pStyle w:val="BodyText"/>
      </w:pPr>
      <w:r>
        <w:t xml:space="preserve">The Company’s long‑term debt is dominated by two zero‑coupon convertible note series:</w:t>
      </w:r>
      <w:r>
        <w:br/>
      </w:r>
      <w:r>
        <w:t xml:space="preserve">-</w:t>
      </w:r>
      <w:r>
        <w:t xml:space="preserve"> </w:t>
      </w:r>
      <w:r>
        <w:rPr>
          <w:b/>
          <w:bCs/>
        </w:rPr>
        <w:t xml:space="preserve">$1.5B 0.00% Convertible Senior Notes due 2030</w:t>
      </w:r>
      <w:r>
        <w:t xml:space="preserve"> </w:t>
      </w:r>
      <w:r>
        <w:t xml:space="preserve">(conversion price ~</w:t>
      </w:r>
      <w:r>
        <w:rPr>
          <w:b/>
          <w:bCs/>
        </w:rPr>
        <w:t xml:space="preserve">$29.85</w:t>
      </w:r>
      <w:r>
        <w:t xml:space="preserve">).</w:t>
      </w:r>
      <w:r>
        <w:t xml:space="preserve"> </w:t>
      </w:r>
      <w:hyperlink r:id="rId24">
        <w:r>
          <w:rPr>
            <w:rStyle w:val="Hyperlink"/>
          </w:rPr>
          <w:t xml:space="preserve">[12]</w:t>
        </w:r>
      </w:hyperlink>
      <w:r>
        <w:br/>
      </w:r>
      <w:r>
        <w:t xml:space="preserve">-</w:t>
      </w:r>
      <w:r>
        <w:t xml:space="preserve"> </w:t>
      </w:r>
      <w:r>
        <w:rPr>
          <w:b/>
          <w:bCs/>
        </w:rPr>
        <w:t xml:space="preserve">$2.7B 0.00% Convertible Senior Notes due 2032</w:t>
      </w:r>
      <w:r>
        <w:t xml:space="preserve"> </w:t>
      </w:r>
      <w:r>
        <w:t xml:space="preserve">(conversion price ~</w:t>
      </w:r>
      <w:r>
        <w:rPr>
          <w:b/>
          <w:bCs/>
        </w:rPr>
        <w:t xml:space="preserve">$28.91</w:t>
      </w:r>
      <w:r>
        <w:t xml:space="preserve">), after the initial purchaser exercised an option for an additional</w:t>
      </w:r>
      <w:r>
        <w:t xml:space="preserve"> </w:t>
      </w:r>
      <w:r>
        <w:rPr>
          <w:b/>
          <w:bCs/>
        </w:rPr>
        <w:t xml:space="preserve">$450M</w:t>
      </w:r>
      <w:r>
        <w:t xml:space="preserve"> </w:t>
      </w:r>
      <w:r>
        <w:t xml:space="preserve">principal.</w:t>
      </w:r>
      <w:r>
        <w:t xml:space="preserve"> </w:t>
      </w:r>
      <w:hyperlink r:id="rId24">
        <w:r>
          <w:rPr>
            <w:rStyle w:val="Hyperlink"/>
          </w:rPr>
          <w:t xml:space="preserve">[13]</w:t>
        </w:r>
      </w:hyperlink>
      <w:r>
        <w:br/>
      </w:r>
      <w:r>
        <w:t xml:space="preserve">Both series include typical convert mechanics, including conditional conversion triggers and issuer call options after specified dates if the stock trades at least</w:t>
      </w:r>
      <w:r>
        <w:t xml:space="preserve"> </w:t>
      </w:r>
      <w:r>
        <w:rPr>
          <w:b/>
          <w:bCs/>
        </w:rPr>
        <w:t xml:space="preserve">130%</w:t>
      </w:r>
      <w:r>
        <w:t xml:space="preserve"> </w:t>
      </w:r>
      <w:r>
        <w:t xml:space="preserve">of the conversion price for</w:t>
      </w:r>
      <w:r>
        <w:t xml:space="preserve"> </w:t>
      </w:r>
      <w:r>
        <w:rPr>
          <w:b/>
          <w:bCs/>
        </w:rPr>
        <w:t xml:space="preserve">20 of 30 trading days</w:t>
      </w:r>
      <w:r>
        <w:t xml:space="preserve">.</w:t>
      </w:r>
      <w:r>
        <w:t xml:space="preserve"> </w:t>
      </w:r>
      <w:hyperlink r:id="rId24">
        <w:r>
          <w:rPr>
            <w:rStyle w:val="Hyperlink"/>
          </w:rPr>
          <w:t xml:space="preserve">[12]</w:t>
        </w:r>
      </w:hyperlink>
    </w:p>
    <w:p>
      <w:pPr>
        <w:pStyle w:val="BodyText"/>
      </w:pPr>
      <w:r>
        <w:t xml:space="preserve">The Company also disclosed that, as of Dec 5, 2025, approximately</w:t>
      </w:r>
      <w:r>
        <w:t xml:space="preserve"> </w:t>
      </w:r>
      <w:r>
        <w:rPr>
          <w:b/>
          <w:bCs/>
        </w:rPr>
        <w:t xml:space="preserve">381.0M shares</w:t>
      </w:r>
      <w:r>
        <w:t xml:space="preserve"> </w:t>
      </w:r>
      <w:r>
        <w:t xml:space="preserve">were held by Cede &amp; Co. on behalf of entity["organization","Depository Trust &amp; Clearing Corporation","dtcc us clearing"], and</w:t>
      </w:r>
      <w:r>
        <w:t xml:space="preserve"> </w:t>
      </w:r>
      <w:r>
        <w:rPr>
          <w:b/>
          <w:bCs/>
        </w:rPr>
        <w:t xml:space="preserve">~67.0M shares</w:t>
      </w:r>
      <w:r>
        <w:t xml:space="preserve"> </w:t>
      </w:r>
      <w:r>
        <w:t xml:space="preserve">were held by registered holders via Computershare Limited</w:t>
      </w:r>
      <w:hyperlink r:id="rId23">
        <w:r>
          <w:rPr>
            <w:rStyle w:val="Hyperlink"/>
          </w:rPr>
          <w:t xml:space="preserve">[14]</w:t>
        </w:r>
      </w:hyperlink>
      <w:r>
        <w:t xml:space="preserve">.</w:t>
      </w:r>
      <w:r>
        <w:t xml:space="preserve"> </w:t>
      </w:r>
      <w:hyperlink r:id="rId24">
        <w:r>
          <w:rPr>
            <w:rStyle w:val="Hyperlink"/>
          </w:rPr>
          <w:t xml:space="preserve">[13]</w:t>
        </w:r>
      </w:hyperlink>
    </w:p>
    <w:bookmarkEnd w:id="26"/>
    <w:bookmarkStart w:id="28" w:name="warrants-and-shelf-capacity"/>
    <w:p>
      <w:pPr>
        <w:pStyle w:val="Heading3"/>
      </w:pPr>
      <w:r>
        <w:t xml:space="preserve">Warrants and shelf capacity</w:t>
      </w:r>
    </w:p>
    <w:p>
      <w:pPr>
        <w:pStyle w:val="FirstParagraph"/>
      </w:pPr>
      <w:r>
        <w:t xml:space="preserve">The Company’s warrant dividend created tradable warrants (ticker shown as “GME WS” on the New York Stock Exchange</w:t>
      </w:r>
      <w:hyperlink r:id="rId24">
        <w:r>
          <w:rPr>
            <w:rStyle w:val="Hyperlink"/>
          </w:rPr>
          <w:t xml:space="preserve">[15]</w:t>
        </w:r>
      </w:hyperlink>
      <w:r>
        <w:t xml:space="preserve">) with a</w:t>
      </w:r>
      <w:r>
        <w:t xml:space="preserve"> </w:t>
      </w:r>
      <w:r>
        <w:rPr>
          <w:b/>
          <w:bCs/>
        </w:rPr>
        <w:t xml:space="preserve">$32 cash exercise</w:t>
      </w:r>
      <w:r>
        <w:t xml:space="preserve"> </w:t>
      </w:r>
      <w:r>
        <w:t xml:space="preserve">price and</w:t>
      </w:r>
      <w:r>
        <w:t xml:space="preserve"> </w:t>
      </w:r>
      <w:r>
        <w:rPr>
          <w:b/>
          <w:bCs/>
        </w:rPr>
        <w:t xml:space="preserve">Oct 30, 2026</w:t>
      </w:r>
      <w:r>
        <w:t xml:space="preserve"> </w:t>
      </w:r>
      <w:r>
        <w:t xml:space="preserve">expiration.</w:t>
      </w:r>
      <w:r>
        <w:t xml:space="preserve"> </w:t>
      </w:r>
      <w:hyperlink r:id="rId24">
        <w:r>
          <w:rPr>
            <w:rStyle w:val="Hyperlink"/>
          </w:rPr>
          <w:t xml:space="preserve">[16]</w:t>
        </w:r>
      </w:hyperlink>
      <w:r>
        <w:t xml:space="preserve"> </w:t>
      </w:r>
      <w:r>
        <w:t xml:space="preserve">The prospectus supplement registered up to</w:t>
      </w:r>
      <w:r>
        <w:t xml:space="preserve"> </w:t>
      </w:r>
      <w:r>
        <w:rPr>
          <w:b/>
          <w:bCs/>
        </w:rPr>
        <w:t xml:space="preserve">59,153,963 shares</w:t>
      </w:r>
      <w:r>
        <w:t xml:space="preserve"> </w:t>
      </w:r>
      <w:r>
        <w:t xml:space="preserve">issuable on exercise.</w:t>
      </w:r>
      <w:r>
        <w:t xml:space="preserve"> </w:t>
      </w:r>
      <w:hyperlink r:id="rId24">
        <w:r>
          <w:rPr>
            <w:rStyle w:val="Hyperlink"/>
          </w:rPr>
          <w:t xml:space="preserve">[17]</w:t>
        </w:r>
      </w:hyperlink>
    </w:p>
    <w:p>
      <w:pPr>
        <w:pStyle w:val="BodyText"/>
      </w:pPr>
      <w:r>
        <w:t xml:space="preserve">The Company simultaneously maintains an</w:t>
      </w:r>
      <w:r>
        <w:t xml:space="preserve"> </w:t>
      </w:r>
      <w:r>
        <w:rPr>
          <w:b/>
          <w:bCs/>
        </w:rPr>
        <w:t xml:space="preserve">automatic shelf registration statement</w:t>
      </w:r>
      <w:r>
        <w:t xml:space="preserve"> </w:t>
      </w:r>
      <w:r>
        <w:t xml:space="preserve">(Form</w:t>
      </w:r>
      <w:r>
        <w:t xml:space="preserve"> </w:t>
      </w:r>
      <w:r>
        <w:rPr>
          <w:b/>
          <w:bCs/>
        </w:rPr>
        <w:t xml:space="preserve">S‑3ASR</w:t>
      </w:r>
      <w:r>
        <w:t xml:space="preserve">, effective Oct 3, 2025) enabling flexible issuance of various securities via prospectus supplements.</w:t>
      </w:r>
      <w:r>
        <w:t xml:space="preserve"> </w:t>
      </w:r>
      <w:hyperlink r:id="rId27">
        <w:r>
          <w:rPr>
            <w:rStyle w:val="Hyperlink"/>
          </w:rPr>
          <w:t xml:space="preserve">[18]</w:t>
        </w:r>
      </w:hyperlink>
    </w:p>
    <w:bookmarkEnd w:id="28"/>
    <w:bookmarkStart w:id="29" w:name="current-market-snapshot"/>
    <w:p>
      <w:pPr>
        <w:pStyle w:val="Heading3"/>
      </w:pPr>
      <w:r>
        <w:t xml:space="preserve">Current market snapshot</w:t>
      </w:r>
    </w:p>
    <w:p>
      <w:pPr>
        <w:pStyle w:val="FirstParagraph"/>
      </w:pPr>
      <w:r>
        <w:t xml:space="preserve">financeturn0finance0</w:t>
      </w:r>
    </w:p>
    <w:p>
      <w:pPr>
        <w:pStyle w:val="BodyText"/>
      </w:pPr>
      <w:r>
        <w:t xml:space="preserve">As of the latest market data captured here (mid‑March 2026), GME traded around</w:t>
      </w:r>
      <w:r>
        <w:t xml:space="preserve"> </w:t>
      </w:r>
      <w:r>
        <w:rPr>
          <w:b/>
          <w:bCs/>
        </w:rPr>
        <w:t xml:space="preserve">$23.53</w:t>
      </w:r>
      <w:r>
        <w:t xml:space="preserve"> </w:t>
      </w:r>
      <w:r>
        <w:t xml:space="preserve">with market capitalization near</w:t>
      </w:r>
      <w:r>
        <w:t xml:space="preserve"> </w:t>
      </w:r>
      <w:r>
        <w:rPr>
          <w:b/>
          <w:bCs/>
        </w:rPr>
        <w:t xml:space="preserve">$10B</w:t>
      </w:r>
      <w:r>
        <w:t xml:space="preserve">. (This market‑cap figure varies mechanically with the exact shares‑out used by different data vendors; the Company’s own disclosed shares‑out as of Dec 5, 2025 is cited above.</w:t>
      </w:r>
      <w:r>
        <w:t xml:space="preserve"> </w:t>
      </w:r>
      <w:hyperlink r:id="rId24">
        <w:r>
          <w:rPr>
            <w:rStyle w:val="Hyperlink"/>
          </w:rPr>
          <w:t xml:space="preserve">[19]</w:t>
        </w:r>
      </w:hyperlink>
      <w:r>
        <w:t xml:space="preserve">)</w:t>
      </w:r>
    </w:p>
    <w:bookmarkEnd w:id="29"/>
    <w:bookmarkEnd w:id="30"/>
    <w:bookmarkStart w:id="36" w:name="cohen-performance-award-mechanics"/>
    <w:p>
      <w:pPr>
        <w:pStyle w:val="Heading2"/>
      </w:pPr>
      <w:r>
        <w:t xml:space="preserve">Cohen performance award mechanics</w:t>
      </w:r>
    </w:p>
    <w:bookmarkStart w:id="31" w:name="what-the-milestones-actually-require"/>
    <w:p>
      <w:pPr>
        <w:pStyle w:val="Heading3"/>
      </w:pPr>
      <w:r>
        <w:t xml:space="preserve">What the milestones actually require</w:t>
      </w:r>
    </w:p>
    <w:p>
      <w:pPr>
        <w:pStyle w:val="FirstParagraph"/>
      </w:pPr>
      <w:r>
        <w:t xml:space="preserve">The CEO award is</w:t>
      </w:r>
      <w:r>
        <w:t xml:space="preserve"> </w:t>
      </w:r>
      <w:r>
        <w:rPr>
          <w:b/>
          <w:bCs/>
        </w:rPr>
        <w:t xml:space="preserve">171,537,327</w:t>
      </w:r>
      <w:r>
        <w:t xml:space="preserve"> </w:t>
      </w:r>
      <w:r>
        <w:t xml:space="preserve">nonqualified stock options with</w:t>
      </w:r>
      <w:r>
        <w:t xml:space="preserve"> </w:t>
      </w:r>
      <w:r>
        <w:rPr>
          <w:b/>
          <w:bCs/>
        </w:rPr>
        <w:t xml:space="preserve">$20.66</w:t>
      </w:r>
      <w:r>
        <w:t xml:space="preserve"> </w:t>
      </w:r>
      <w:r>
        <w:t xml:space="preserve">exercise price and a 10‑year term, subject to shareholder approval.</w:t>
      </w:r>
      <w:r>
        <w:t xml:space="preserve"> </w:t>
      </w:r>
      <w:hyperlink r:id="rId23">
        <w:r>
          <w:rPr>
            <w:rStyle w:val="Hyperlink"/>
          </w:rPr>
          <w:t xml:space="preserve">[20]</w:t>
        </w:r>
      </w:hyperlink>
      <w:r>
        <w:t xml:space="preserve"> </w:t>
      </w:r>
      <w:r>
        <w:t xml:space="preserve">It is split into nine tranches, requiring</w:t>
      </w:r>
      <w:r>
        <w:t xml:space="preserve"> </w:t>
      </w:r>
      <w:r>
        <w:rPr>
          <w:b/>
          <w:bCs/>
        </w:rPr>
        <w:t xml:space="preserve">both</w:t>
      </w:r>
      <w:r>
        <w:t xml:space="preserve">:</w:t>
      </w:r>
    </w:p>
    <w:p>
      <w:pPr>
        <w:pStyle w:val="Compact"/>
        <w:numPr>
          <w:ilvl w:val="0"/>
          <w:numId w:val="1002"/>
        </w:numPr>
      </w:pPr>
      <w:r>
        <w:rPr>
          <w:b/>
          <w:bCs/>
        </w:rPr>
        <w:t xml:space="preserve">Market Cap hurdles:</w:t>
      </w:r>
      <w:r>
        <w:t xml:space="preserve"> </w:t>
      </w:r>
      <w:r>
        <w:t xml:space="preserve">$20B, then +$10B steps up to $100B.</w:t>
      </w:r>
      <w:r>
        <w:t xml:space="preserve"> </w:t>
      </w:r>
      <w:hyperlink r:id="rId23">
        <w:r>
          <w:rPr>
            <w:rStyle w:val="Hyperlink"/>
          </w:rPr>
          <w:t xml:space="preserve">[4]</w:t>
        </w:r>
      </w:hyperlink>
    </w:p>
    <w:p>
      <w:pPr>
        <w:pStyle w:val="Compact"/>
        <w:numPr>
          <w:ilvl w:val="0"/>
          <w:numId w:val="1002"/>
        </w:numPr>
      </w:pPr>
      <w:r>
        <w:rPr>
          <w:b/>
          <w:bCs/>
        </w:rPr>
        <w:t xml:space="preserve">Cumulative Performance EBITDA hurdles:</w:t>
      </w:r>
      <w:r>
        <w:t xml:space="preserve"> </w:t>
      </w:r>
      <w:r>
        <w:t xml:space="preserve">$2B, then +$1B steps up to $10B.</w:t>
      </w:r>
      <w:r>
        <w:t xml:space="preserve"> </w:t>
      </w:r>
      <w:hyperlink r:id="rId23">
        <w:r>
          <w:rPr>
            <w:rStyle w:val="Hyperlink"/>
          </w:rPr>
          <w:t xml:space="preserve">[4]</w:t>
        </w:r>
      </w:hyperlink>
    </w:p>
    <w:p>
      <w:pPr>
        <w:pStyle w:val="FirstParagraph"/>
      </w:pPr>
      <w:r>
        <w:t xml:space="preserve">Critically, the award agreement defines:</w:t>
      </w:r>
    </w:p>
    <w:p>
      <w:pPr>
        <w:pStyle w:val="Compact"/>
        <w:numPr>
          <w:ilvl w:val="0"/>
          <w:numId w:val="1003"/>
        </w:numPr>
      </w:pPr>
      <w:r>
        <w:t xml:space="preserve">Market cap is a</w:t>
      </w:r>
      <w:r>
        <w:t xml:space="preserve"> </w:t>
      </w:r>
      <w:r>
        <w:rPr>
          <w:b/>
          <w:bCs/>
        </w:rPr>
        <w:t xml:space="preserve">60‑trading‑day average</w:t>
      </w:r>
      <w:r>
        <w:t xml:space="preserve"> </w:t>
      </w:r>
      <w:r>
        <w:t xml:space="preserve">(“Sixty‑Trading‑Day Market Capitalization”) computed from daily closing price × shares outstanding.</w:t>
      </w:r>
      <w:r>
        <w:t xml:space="preserve"> </w:t>
      </w:r>
      <w:hyperlink r:id="rId22">
        <w:r>
          <w:rPr>
            <w:rStyle w:val="Hyperlink"/>
          </w:rPr>
          <w:t xml:space="preserve">[21]</w:t>
        </w:r>
      </w:hyperlink>
    </w:p>
    <w:p>
      <w:pPr>
        <w:pStyle w:val="Compact"/>
        <w:numPr>
          <w:ilvl w:val="0"/>
          <w:numId w:val="1003"/>
        </w:numPr>
      </w:pPr>
      <w:r>
        <w:t xml:space="preserve">“Cumulative Performance EBITDA” is the</w:t>
      </w:r>
      <w:r>
        <w:t xml:space="preserve"> </w:t>
      </w:r>
      <w:r>
        <w:rPr>
          <w:b/>
          <w:bCs/>
        </w:rPr>
        <w:t xml:space="preserve">sum of quarterly “Performance EBITDA”</w:t>
      </w:r>
      <w:r>
        <w:t xml:space="preserve"> </w:t>
      </w:r>
      <w:r>
        <w:t xml:space="preserve">starting from the fiscal quarter beginning</w:t>
      </w:r>
      <w:r>
        <w:t xml:space="preserve"> </w:t>
      </w:r>
      <w:r>
        <w:rPr>
          <w:b/>
          <w:bCs/>
        </w:rPr>
        <w:t xml:space="preserve">Feb 1, 2026</w:t>
      </w:r>
      <w:r>
        <w:t xml:space="preserve">.</w:t>
      </w:r>
      <w:r>
        <w:t xml:space="preserve"> </w:t>
      </w:r>
      <w:hyperlink r:id="rId22">
        <w:r>
          <w:rPr>
            <w:rStyle w:val="Hyperlink"/>
          </w:rPr>
          <w:t xml:space="preserve">[5]</w:t>
        </w:r>
      </w:hyperlink>
    </w:p>
    <w:p>
      <w:pPr>
        <w:pStyle w:val="Compact"/>
        <w:numPr>
          <w:ilvl w:val="0"/>
          <w:numId w:val="1003"/>
        </w:numPr>
      </w:pPr>
      <w:r>
        <w:t xml:space="preserve">“Performance EBITDA” is based on</w:t>
      </w:r>
      <w:r>
        <w:t xml:space="preserve"> </w:t>
      </w:r>
      <w:r>
        <w:rPr>
          <w:b/>
          <w:bCs/>
        </w:rPr>
        <w:t xml:space="preserve">Adjusted EBITDA</w:t>
      </w:r>
      <w:r>
        <w:t xml:space="preserve"> </w:t>
      </w:r>
      <w:r>
        <w:t xml:space="preserve">(as reported in earnings releases / filings), with specified adjustments including treatment of unrealized investment gains/losses and stock‑based compensation.</w:t>
      </w:r>
      <w:r>
        <w:t xml:space="preserve"> </w:t>
      </w:r>
      <w:hyperlink r:id="rId22">
        <w:r>
          <w:rPr>
            <w:rStyle w:val="Hyperlink"/>
          </w:rPr>
          <w:t xml:space="preserve">[5]</w:t>
        </w:r>
      </w:hyperlink>
    </w:p>
    <w:p>
      <w:pPr>
        <w:pStyle w:val="FirstParagraph"/>
      </w:pPr>
      <w:r>
        <w:t xml:space="preserve">This structure implies:</w:t>
      </w:r>
    </w:p>
    <w:p>
      <w:pPr>
        <w:pStyle w:val="Compact"/>
        <w:numPr>
          <w:ilvl w:val="0"/>
          <w:numId w:val="1004"/>
        </w:numPr>
      </w:pPr>
      <w:r>
        <w:t xml:space="preserve">You cannot earn tranches via valuation narrative alone;</w:t>
      </w:r>
      <w:r>
        <w:t xml:space="preserve"> </w:t>
      </w:r>
      <w:r>
        <w:rPr>
          <w:b/>
          <w:bCs/>
        </w:rPr>
        <w:t xml:space="preserve">EBITDA accumulation is mandatory</w:t>
      </w:r>
      <w:r>
        <w:t xml:space="preserve">.</w:t>
      </w:r>
      <w:r>
        <w:t xml:space="preserve"> </w:t>
      </w:r>
      <w:hyperlink r:id="rId23">
        <w:r>
          <w:rPr>
            <w:rStyle w:val="Hyperlink"/>
          </w:rPr>
          <w:t xml:space="preserve">[4]</w:t>
        </w:r>
      </w:hyperlink>
    </w:p>
    <w:p>
      <w:pPr>
        <w:pStyle w:val="Compact"/>
        <w:numPr>
          <w:ilvl w:val="0"/>
          <w:numId w:val="1004"/>
        </w:numPr>
      </w:pPr>
      <w:r>
        <w:t xml:space="preserve">Conversely, EBITDA alone is insufficient; the stock must achieve</w:t>
      </w:r>
      <w:r>
        <w:t xml:space="preserve"> </w:t>
      </w:r>
      <w:r>
        <w:rPr>
          <w:b/>
          <w:bCs/>
        </w:rPr>
        <w:t xml:space="preserve">sustained</w:t>
      </w:r>
      <w:r>
        <w:t xml:space="preserve"> </w:t>
      </w:r>
      <w:r>
        <w:t xml:space="preserve">higher market capitalization (60‑day average).</w:t>
      </w:r>
      <w:r>
        <w:t xml:space="preserve"> </w:t>
      </w:r>
      <w:hyperlink r:id="rId22">
        <w:r>
          <w:rPr>
            <w:rStyle w:val="Hyperlink"/>
          </w:rPr>
          <w:t xml:space="preserve">[21]</w:t>
        </w:r>
      </w:hyperlink>
    </w:p>
    <w:bookmarkEnd w:id="31"/>
    <w:bookmarkStart w:id="35" w:name="does-it-imply-multibillion-ebitda"/>
    <w:p>
      <w:pPr>
        <w:pStyle w:val="Heading3"/>
      </w:pPr>
      <w:r>
        <w:t xml:space="preserve">Does it “imply multi‑billion EBITDA”?</w:t>
      </w:r>
    </w:p>
    <w:p>
      <w:pPr>
        <w:pStyle w:val="FirstParagraph"/>
      </w:pPr>
      <w:r>
        <w:t xml:space="preserve">Because EBITDA is</w:t>
      </w:r>
      <w:r>
        <w:t xml:space="preserve"> </w:t>
      </w:r>
      <w:r>
        <w:rPr>
          <w:b/>
          <w:bCs/>
        </w:rPr>
        <w:t xml:space="preserve">cumulative</w:t>
      </w:r>
      <w:r>
        <w:t xml:space="preserve">, the ladder does</w:t>
      </w:r>
      <w:r>
        <w:t xml:space="preserve"> </w:t>
      </w:r>
      <w:r>
        <w:rPr>
          <w:i/>
          <w:iCs/>
        </w:rPr>
        <w:t xml:space="preserve">not</w:t>
      </w:r>
      <w:r>
        <w:t xml:space="preserve"> </w:t>
      </w:r>
      <w:r>
        <w:t xml:space="preserve">literally require $2B–$10B of annual EBITDA. But it strongly implies that</w:t>
      </w:r>
      <w:r>
        <w:t xml:space="preserve"> </w:t>
      </w:r>
      <w:r>
        <w:rPr>
          <w:b/>
          <w:bCs/>
        </w:rPr>
        <w:t xml:space="preserve">mid‑to‑high tranches require multi‑billion annual run‑rate at some point</w:t>
      </w:r>
      <w:r>
        <w:t xml:space="preserve">.</w:t>
      </w:r>
    </w:p>
    <w:p>
      <w:pPr>
        <w:pStyle w:val="BodyText"/>
      </w:pPr>
      <w:r>
        <w:t xml:space="preserve">A simple identity:</w:t>
      </w:r>
    </w:p>
    <w:p>
      <w:pPr>
        <w:pStyle w:val="Compact"/>
        <w:numPr>
          <w:ilvl w:val="0"/>
          <w:numId w:val="1005"/>
        </w:numPr>
      </w:pPr>
      <w:r>
        <w:t xml:space="preserve">Let</w:t>
      </w:r>
      <w:r>
        <w:t xml:space="preserve"> </w:t>
      </w:r>
      <m:oMath>
        <m:sSub>
          <m:e>
            <m:r>
              <m:t>E</m:t>
            </m:r>
          </m:e>
          <m:sub>
            <m:r>
              <m:t>q</m:t>
            </m:r>
          </m:sub>
        </m:sSub>
      </m:oMath>
      <w:r>
        <w:t xml:space="preserve"> </w:t>
      </w:r>
      <w:r>
        <w:t xml:space="preserve">be quarterly Performance EBITDA from Feb 1, 2026 onward.</w:t>
      </w:r>
    </w:p>
    <w:p>
      <w:pPr>
        <w:pStyle w:val="Compact"/>
        <w:numPr>
          <w:ilvl w:val="0"/>
          <w:numId w:val="1005"/>
        </w:numPr>
      </w:pPr>
      <w:r>
        <w:t xml:space="preserve">Cumulative EBITDA after</w:t>
      </w:r>
      <w:r>
        <w:t xml:space="preserve"> </w:t>
      </w:r>
      <m:oMath>
        <m:r>
          <m:t>Q</m:t>
        </m:r>
      </m:oMath>
      <w:r>
        <w:t xml:space="preserve"> </w:t>
      </w:r>
      <w:r>
        <w:t xml:space="preserve">quarters is</w:t>
      </w:r>
      <w:r>
        <w:t xml:space="preserve"> </w:t>
      </w:r>
      <m:oMath>
        <m:sSub>
          <m:e>
            <m:r>
              <m:t>C</m:t>
            </m:r>
          </m:e>
          <m:sub>
            <m:r>
              <m:t>Q</m:t>
            </m:r>
          </m:sub>
        </m:sSub>
        <m:r>
          <m:rPr>
            <m:sty m:val="p"/>
          </m:rPr>
          <m:t>=</m:t>
        </m:r>
        <m:nary>
          <m:naryPr>
            <m:chr m:val="∑"/>
            <m:limLoc m:val="undOvr"/>
            <m:subHide m:val="off"/>
            <m:supHide m:val="off"/>
          </m:naryPr>
          <m:sub>
            <m:r>
              <m:t>q</m:t>
            </m:r>
            <m:r>
              <m:rPr>
                <m:sty m:val="p"/>
              </m:rPr>
              <m:t>=</m:t>
            </m:r>
            <m:r>
              <m:t>1</m:t>
            </m:r>
          </m:sub>
          <m:sup>
            <m:r>
              <m:t>Q</m:t>
            </m:r>
          </m:sup>
          <m:e>
            <m:sSub>
              <m:e>
                <m:r>
                  <m:t>E</m:t>
                </m:r>
              </m:e>
              <m:sub>
                <m:r>
                  <m:t>q</m:t>
                </m:r>
              </m:sub>
            </m:sSub>
          </m:e>
        </m:nary>
      </m:oMath>
      <w:r>
        <w:t xml:space="preserve">.</w:t>
      </w:r>
      <w:r>
        <w:t xml:space="preserve"> </w:t>
      </w:r>
      <w:hyperlink r:id="rId22">
        <w:r>
          <w:rPr>
            <w:rStyle w:val="Hyperlink"/>
          </w:rPr>
          <w:t xml:space="preserve">[5]</w:t>
        </w:r>
      </w:hyperlink>
    </w:p>
    <w:p>
      <w:pPr>
        <w:pStyle w:val="FirstParagraph"/>
      </w:pPr>
      <w:r>
        <w:t xml:space="preserve">To reach Tranche 9 (</w:t>
      </w:r>
      <m:oMath>
        <m:sSub>
          <m:e>
            <m:r>
              <m:t>C</m:t>
            </m:r>
          </m:e>
          <m:sub>
            <m:r>
              <m:t>Q</m:t>
            </m:r>
          </m:sub>
        </m:sSub>
        <m:r>
          <m:rPr>
            <m:sty m:val="p"/>
          </m:rPr>
          <m:t>≥</m:t>
        </m:r>
        <m:r>
          <m:t>10</m:t>
        </m:r>
      </m:oMath>
      <w:r>
        <w:t xml:space="preserve">) within 10 years (40 quarters), the</w:t>
      </w:r>
      <w:r>
        <w:t xml:space="preserve"> </w:t>
      </w:r>
      <w:r>
        <w:rPr>
          <w:b/>
          <w:bCs/>
        </w:rPr>
        <w:t xml:space="preserve">average</w:t>
      </w:r>
      <w:r>
        <w:t xml:space="preserve"> </w:t>
      </w:r>
      <w:r>
        <w:t xml:space="preserve">quarterly EBITDA must satisfy:</w:t>
      </w:r>
    </w:p>
    <w:p>
      <w:pPr>
        <w:pStyle w:val="BodyText"/>
      </w:pPr>
      <m:oMathPara>
        <m:oMathParaPr>
          <m:jc m:val="center"/>
        </m:oMathParaPr>
        <m:oMath>
          <m:acc>
            <m:accPr>
              <m:chr m:val="‾"/>
            </m:accPr>
            <m:e>
              <m:r>
                <m:t>E</m:t>
              </m:r>
            </m:e>
          </m:acc>
          <m:r>
            <m:rPr>
              <m:sty m:val="p"/>
            </m:rPr>
            <m:t>≥</m:t>
          </m:r>
          <m:f>
            <m:fPr>
              <m:type m:val="bar"/>
            </m:fPr>
            <m:num>
              <m:r>
                <m:t>10</m:t>
              </m:r>
            </m:num>
            <m:den>
              <m:r>
                <m:t>40</m:t>
              </m:r>
            </m:den>
          </m:f>
          <m:r>
            <m:rPr>
              <m:sty m:val="p"/>
            </m:rPr>
            <m:t>=</m:t>
          </m:r>
          <m:r>
            <m:t>0.25</m:t>
          </m:r>
          <m:r>
            <m:rPr>
              <m:nor/>
              <m:sty m:val="p"/>
            </m:rPr>
            <m:t> (USD billions per quarter)</m:t>
          </m:r>
          <m:r>
            <m:rPr>
              <m:sty m:val="p"/>
            </m:rPr>
            <m:t>⇒</m:t>
          </m:r>
          <m:r>
            <m:t>1.0</m:t>
          </m:r>
          <m:r>
            <m:rPr>
              <m:nor/>
              <m:sty m:val="p"/>
            </m:rPr>
            <m:t>B per year average.</m:t>
          </m:r>
        </m:oMath>
      </m:oMathPara>
    </w:p>
    <w:p>
      <w:pPr>
        <w:pStyle w:val="FirstParagraph"/>
      </w:pPr>
      <w:r>
        <w:t xml:space="preserve">If early years are materially lower (which is consistent with recent Adjusted EBITDA levels), later years must be higher—often</w:t>
      </w:r>
      <w:r>
        <w:t xml:space="preserve"> </w:t>
      </w:r>
      <w:r>
        <w:rPr>
          <w:b/>
          <w:bCs/>
        </w:rPr>
        <w:t xml:space="preserve">multi‑billion annual</w:t>
      </w:r>
      <w:r>
        <w:t xml:space="preserve"> </w:t>
      </w:r>
      <w:r>
        <w:t xml:space="preserve">in the scenarios that actually reach the top rungs.</w:t>
      </w:r>
    </w:p>
    <w:p>
      <w:pPr>
        <w:pStyle w:val="BodyText"/>
      </w:pPr>
      <w:r>
        <w:t xml:space="preserve">For context, recent disclosed Adjusted EBITDA is still far below that scale:</w:t>
      </w:r>
      <w:r>
        <w:br/>
      </w:r>
      <w:r>
        <w:t xml:space="preserve">- Q1 FY2025 Adjusted EBITDA:</w:t>
      </w:r>
      <w:r>
        <w:t xml:space="preserve"> </w:t>
      </w:r>
      <w:r>
        <w:rPr>
          <w:b/>
          <w:bCs/>
        </w:rPr>
        <w:t xml:space="preserve">$38.6M</w:t>
      </w:r>
      <w:r>
        <w:t xml:space="preserve"> </w:t>
      </w:r>
      <w:hyperlink r:id="rId32">
        <w:r>
          <w:rPr>
            <w:rStyle w:val="Hyperlink"/>
          </w:rPr>
          <w:t xml:space="preserve">[22]</w:t>
        </w:r>
      </w:hyperlink>
      <w:r>
        <w:br/>
      </w:r>
      <w:r>
        <w:t xml:space="preserve">- Q2 FY2025 Adjusted EBITDA:</w:t>
      </w:r>
      <w:r>
        <w:t xml:space="preserve"> </w:t>
      </w:r>
      <w:r>
        <w:rPr>
          <w:b/>
          <w:bCs/>
        </w:rPr>
        <w:t xml:space="preserve">$75.7M</w:t>
      </w:r>
      <w:r>
        <w:t xml:space="preserve"> </w:t>
      </w:r>
      <w:hyperlink r:id="rId33">
        <w:r>
          <w:rPr>
            <w:rStyle w:val="Hyperlink"/>
          </w:rPr>
          <w:t xml:space="preserve">[23]</w:t>
        </w:r>
      </w:hyperlink>
      <w:r>
        <w:br/>
      </w:r>
      <w:r>
        <w:t xml:space="preserve">- Q3 FY2025 Adjusted EBITDA:</w:t>
      </w:r>
      <w:r>
        <w:t xml:space="preserve"> </w:t>
      </w:r>
      <w:r>
        <w:rPr>
          <w:b/>
          <w:bCs/>
        </w:rPr>
        <w:t xml:space="preserve">$64.4M</w:t>
      </w:r>
      <w:r>
        <w:t xml:space="preserve"> </w:t>
      </w:r>
      <w:r>
        <w:t xml:space="preserve">(39‑week FY2025 Adjusted EBITDA:</w:t>
      </w:r>
      <w:r>
        <w:t xml:space="preserve"> </w:t>
      </w:r>
      <w:r>
        <w:rPr>
          <w:b/>
          <w:bCs/>
        </w:rPr>
        <w:t xml:space="preserve">$178.7M</w:t>
      </w:r>
      <w:r>
        <w:t xml:space="preserve">)</w:t>
      </w:r>
      <w:r>
        <w:t xml:space="preserve"> </w:t>
      </w:r>
      <w:hyperlink r:id="rId34">
        <w:r>
          <w:rPr>
            <w:rStyle w:val="Hyperlink"/>
          </w:rPr>
          <w:t xml:space="preserve">[24]</w:t>
        </w:r>
      </w:hyperlink>
    </w:p>
    <w:p>
      <w:pPr>
        <w:pStyle w:val="BodyText"/>
      </w:pPr>
      <w:r>
        <w:t xml:space="preserve">That’s a strong reason the “platform + acquisitions” pathway is central to any credible high‑tranche thesis.</w:t>
      </w:r>
    </w:p>
    <w:bookmarkEnd w:id="35"/>
    <w:bookmarkEnd w:id="36"/>
    <w:bookmarkStart w:id="39" w:name="capital-stack-and-funding-flywheel"/>
    <w:p>
      <w:pPr>
        <w:pStyle w:val="Heading2"/>
      </w:pPr>
      <w:r>
        <w:t xml:space="preserve">Capital stack and funding flywheel</w:t>
      </w:r>
    </w:p>
    <w:bookmarkStart w:id="37" w:name="Xd05a7317b8847a16ecf72f0ce0646f8c12d346e"/>
    <w:p>
      <w:pPr>
        <w:pStyle w:val="Heading3"/>
      </w:pPr>
      <w:r>
        <w:t xml:space="preserve">Deterministic capital stack math from disclosed instruments</w:t>
      </w:r>
    </w:p>
    <w:p>
      <w:pPr>
        <w:pStyle w:val="FirstParagraph"/>
      </w:pPr>
      <w:r>
        <w:t xml:space="preserve">Starting point (latest 10‑Q data as of 2026‑03‑15):</w:t>
      </w:r>
    </w:p>
    <w:p>
      <w:pPr>
        <w:pStyle w:val="Compact"/>
        <w:numPr>
          <w:ilvl w:val="0"/>
          <w:numId w:val="1006"/>
        </w:numPr>
      </w:pPr>
      <w:r>
        <w:t xml:space="preserve">Liquid assets (cash + marketable securities):</w:t>
      </w:r>
      <w:r>
        <w:t xml:space="preserve"> </w:t>
      </w:r>
      <w:r>
        <w:rPr>
          <w:b/>
          <w:bCs/>
        </w:rPr>
        <w:t xml:space="preserve">$8.83B</w:t>
      </w:r>
      <w:r>
        <w:t xml:space="preserve"> </w:t>
      </w:r>
      <w:hyperlink r:id="rId24">
        <w:r>
          <w:rPr>
            <w:rStyle w:val="Hyperlink"/>
          </w:rPr>
          <w:t xml:space="preserve">[10]</w:t>
        </w:r>
      </w:hyperlink>
    </w:p>
    <w:p>
      <w:pPr>
        <w:pStyle w:val="Compact"/>
        <w:numPr>
          <w:ilvl w:val="0"/>
          <w:numId w:val="1006"/>
        </w:numPr>
      </w:pPr>
      <w:r>
        <w:t xml:space="preserve">Convertible principal outstanding:</w:t>
      </w:r>
      <w:r>
        <w:t xml:space="preserve"> </w:t>
      </w:r>
      <w:r>
        <w:rPr>
          <w:b/>
          <w:bCs/>
        </w:rPr>
        <w:t xml:space="preserve">$4.2B</w:t>
      </w:r>
      <w:r>
        <w:t xml:space="preserve"> </w:t>
      </w:r>
      <w:hyperlink r:id="rId24">
        <w:r>
          <w:rPr>
            <w:rStyle w:val="Hyperlink"/>
          </w:rPr>
          <w:t xml:space="preserve">[13]</w:t>
        </w:r>
      </w:hyperlink>
    </w:p>
    <w:p>
      <w:pPr>
        <w:pStyle w:val="Compact"/>
        <w:numPr>
          <w:ilvl w:val="0"/>
          <w:numId w:val="1006"/>
        </w:numPr>
      </w:pPr>
      <w:r>
        <w:t xml:space="preserve">Shares outstanding:</w:t>
      </w:r>
      <w:r>
        <w:t xml:space="preserve"> </w:t>
      </w:r>
      <w:r>
        <w:rPr>
          <w:b/>
          <w:bCs/>
        </w:rPr>
        <w:t xml:space="preserve">448,009,480</w:t>
      </w:r>
      <w:r>
        <w:t xml:space="preserve"> </w:t>
      </w:r>
      <w:hyperlink r:id="rId24">
        <w:r>
          <w:rPr>
            <w:rStyle w:val="Hyperlink"/>
          </w:rPr>
          <w:t xml:space="preserve">[19]</w:t>
        </w:r>
      </w:hyperlink>
    </w:p>
    <w:p>
      <w:pPr>
        <w:pStyle w:val="Compact"/>
        <w:numPr>
          <w:ilvl w:val="0"/>
          <w:numId w:val="1006"/>
        </w:numPr>
      </w:pPr>
      <w:r>
        <w:t xml:space="preserve">Warrants potentially issuable shares:</w:t>
      </w:r>
      <w:r>
        <w:t xml:space="preserve"> </w:t>
      </w:r>
      <w:r>
        <w:rPr>
          <w:b/>
          <w:bCs/>
        </w:rPr>
        <w:t xml:space="preserve">59,153,963</w:t>
      </w:r>
      <w:r>
        <w:t xml:space="preserve"> </w:t>
      </w:r>
      <w:r>
        <w:t xml:space="preserve">at</w:t>
      </w:r>
      <w:r>
        <w:t xml:space="preserve"> </w:t>
      </w:r>
      <w:r>
        <w:rPr>
          <w:b/>
          <w:bCs/>
        </w:rPr>
        <w:t xml:space="preserve">$32</w:t>
      </w:r>
      <w:r>
        <w:t xml:space="preserve"> </w:t>
      </w:r>
      <w:r>
        <w:t xml:space="preserve">cash exercise, expiring</w:t>
      </w:r>
      <w:r>
        <w:t xml:space="preserve"> </w:t>
      </w:r>
      <w:r>
        <w:rPr>
          <w:b/>
          <w:bCs/>
        </w:rPr>
        <w:t xml:space="preserve">Oct 30, 2026</w:t>
      </w:r>
      <w:r>
        <w:t xml:space="preserve"> </w:t>
      </w:r>
      <w:hyperlink r:id="rId24">
        <w:r>
          <w:rPr>
            <w:rStyle w:val="Hyperlink"/>
          </w:rPr>
          <w:t xml:space="preserve">[25]</w:t>
        </w:r>
      </w:hyperlink>
    </w:p>
    <w:p>
      <w:pPr>
        <w:pStyle w:val="FirstParagraph"/>
      </w:pPr>
      <w:r>
        <w:t xml:space="preserve">Implied “max” warrant proceeds if fully exercised:</w:t>
      </w:r>
    </w:p>
    <w:p>
      <w:pPr>
        <w:pStyle w:val="BodyText"/>
      </w:pPr>
      <m:oMathPara>
        <m:oMathParaPr>
          <m:jc m:val="center"/>
        </m:oMathParaPr>
        <m:oMath>
          <m:r>
            <m:t>59.154</m:t>
          </m:r>
          <m:r>
            <m:rPr>
              <m:nor/>
              <m:sty m:val="p"/>
            </m:rPr>
            <m:t>M</m:t>
          </m:r>
          <m:r>
            <m:rPr>
              <m:sty m:val="p"/>
            </m:rPr>
            <m:t>×</m:t>
          </m:r>
          <m:r>
            <m:rPr>
              <m:sty m:val="p"/>
            </m:rPr>
            <m:t>$</m:t>
          </m:r>
          <m:r>
            <m:t>32</m:t>
          </m:r>
          <m:r>
            <m:rPr>
              <m:sty m:val="p"/>
            </m:rPr>
            <m:t>≈</m:t>
          </m:r>
          <m:r>
            <m:rPr>
              <m:sty m:val="p"/>
            </m:rPr>
            <m:t>$</m:t>
          </m:r>
          <m:r>
            <m:t>1.89</m:t>
          </m:r>
          <m:r>
            <m:rPr>
              <m:nor/>
              <m:sty m:val="p"/>
            </m:rPr>
            <m:t>B</m:t>
          </m:r>
        </m:oMath>
      </m:oMathPara>
    </w:p>
    <w:p>
      <w:pPr>
        <w:pStyle w:val="FirstParagraph"/>
      </w:pPr>
      <w:r>
        <w:t xml:space="preserve">(availability is conditional on the stock trading above $32 before expiry).</w:t>
      </w:r>
      <w:r>
        <w:t xml:space="preserve"> </w:t>
      </w:r>
      <w:hyperlink r:id="rId24">
        <w:r>
          <w:rPr>
            <w:rStyle w:val="Hyperlink"/>
          </w:rPr>
          <w:t xml:space="preserve">[25]</w:t>
        </w:r>
      </w:hyperlink>
    </w:p>
    <w:p>
      <w:pPr>
        <w:pStyle w:val="BodyText"/>
      </w:pPr>
      <w:r>
        <w:t xml:space="preserve">Convertible share “as‑converted” dilution (if fully share‑settled) from disclosed conversion rates:</w:t>
      </w:r>
      <w:r>
        <w:br/>
      </w:r>
      <w:r>
        <w:t xml:space="preserve">- 2030 notes: 33.497 shares per $1,000 → ~</w:t>
      </w:r>
      <w:r>
        <w:rPr>
          <w:b/>
          <w:bCs/>
        </w:rPr>
        <w:t xml:space="preserve">50.25M</w:t>
      </w:r>
      <w:r>
        <w:t xml:space="preserve"> </w:t>
      </w:r>
      <w:r>
        <w:t xml:space="preserve">shares on $1.5B principal</w:t>
      </w:r>
      <w:r>
        <w:t xml:space="preserve"> </w:t>
      </w:r>
      <w:hyperlink r:id="rId24">
        <w:r>
          <w:rPr>
            <w:rStyle w:val="Hyperlink"/>
          </w:rPr>
          <w:t xml:space="preserve">[12]</w:t>
        </w:r>
      </w:hyperlink>
      <w:r>
        <w:br/>
      </w:r>
      <w:r>
        <w:t xml:space="preserve">- 2032 notes: 34.5872 shares per $1,000 → ~</w:t>
      </w:r>
      <w:r>
        <w:rPr>
          <w:b/>
          <w:bCs/>
        </w:rPr>
        <w:t xml:space="preserve">93.39M</w:t>
      </w:r>
      <w:r>
        <w:t xml:space="preserve"> </w:t>
      </w:r>
      <w:r>
        <w:t xml:space="preserve">shares on $2.7B principal</w:t>
      </w:r>
      <w:r>
        <w:t xml:space="preserve"> </w:t>
      </w:r>
      <w:hyperlink r:id="rId24">
        <w:r>
          <w:rPr>
            <w:rStyle w:val="Hyperlink"/>
          </w:rPr>
          <w:t xml:space="preserve">[13]</w:t>
        </w:r>
      </w:hyperlink>
      <w:r>
        <w:br/>
      </w:r>
      <w:r>
        <w:t xml:space="preserve">Total potential conversion shares ≈</w:t>
      </w:r>
      <w:r>
        <w:t xml:space="preserve"> </w:t>
      </w:r>
      <w:r>
        <w:rPr>
          <w:b/>
          <w:bCs/>
        </w:rPr>
        <w:t xml:space="preserve">143.63M</w:t>
      </w:r>
      <w:r>
        <w:t xml:space="preserve">.</w:t>
      </w:r>
    </w:p>
    <w:p>
      <w:pPr>
        <w:pStyle w:val="BodyText"/>
      </w:pPr>
      <w:r>
        <w:t xml:space="preserve">The Company also discloses holder “put” dates that can force</w:t>
      </w:r>
      <w:r>
        <w:t xml:space="preserve"> </w:t>
      </w:r>
      <w:r>
        <w:rPr>
          <w:b/>
          <w:bCs/>
        </w:rPr>
        <w:t xml:space="preserve">cash repurchase</w:t>
      </w:r>
      <w:r>
        <w:t xml:space="preserve"> </w:t>
      </w:r>
      <w:r>
        <w:t xml:space="preserve">(subject to the indentures):</w:t>
      </w:r>
      <w:r>
        <w:br/>
      </w:r>
      <w:r>
        <w:t xml:space="preserve">- 2030 notes: repurchase right</w:t>
      </w:r>
      <w:r>
        <w:t xml:space="preserve"> </w:t>
      </w:r>
      <w:r>
        <w:rPr>
          <w:b/>
          <w:bCs/>
        </w:rPr>
        <w:t xml:space="preserve">Apr 3, 2028</w:t>
      </w:r>
      <w:r>
        <w:t xml:space="preserve"> </w:t>
      </w:r>
      <w:hyperlink r:id="rId24">
        <w:r>
          <w:rPr>
            <w:rStyle w:val="Hyperlink"/>
          </w:rPr>
          <w:t xml:space="preserve">[13]</w:t>
        </w:r>
      </w:hyperlink>
      <w:r>
        <w:br/>
      </w:r>
      <w:r>
        <w:t xml:space="preserve">- 2032 notes: repurchase right</w:t>
      </w:r>
      <w:r>
        <w:t xml:space="preserve"> </w:t>
      </w:r>
      <w:r>
        <w:rPr>
          <w:b/>
          <w:bCs/>
        </w:rPr>
        <w:t xml:space="preserve">Dec 15, 2028</w:t>
      </w:r>
      <w:r>
        <w:t xml:space="preserve"> </w:t>
      </w:r>
      <w:hyperlink r:id="rId24">
        <w:r>
          <w:rPr>
            <w:rStyle w:val="Hyperlink"/>
          </w:rPr>
          <w:t xml:space="preserve">[13]</w:t>
        </w:r>
      </w:hyperlink>
    </w:p>
    <w:bookmarkEnd w:id="37"/>
    <w:bookmarkStart w:id="38" w:name="X37ae28db636185313acf2b1ac1851a5ba3e4720"/>
    <w:p>
      <w:pPr>
        <w:pStyle w:val="Heading3"/>
      </w:pPr>
      <w:r>
        <w:t xml:space="preserve">Why this stack can finance “ecosystem expansion”</w:t>
      </w:r>
    </w:p>
    <w:p>
      <w:pPr>
        <w:pStyle w:val="FirstParagraph"/>
      </w:pPr>
      <w:r>
        <w:t xml:space="preserve">The Company states its business priorities include using liquidity to pursue</w:t>
      </w:r>
      <w:r>
        <w:t xml:space="preserve"> </w:t>
      </w:r>
      <w:r>
        <w:rPr>
          <w:b/>
          <w:bCs/>
        </w:rPr>
        <w:t xml:space="preserve">investment and/or acquisition opportunities</w:t>
      </w:r>
      <w:r>
        <w:t xml:space="preserve"> </w:t>
      </w:r>
      <w:r>
        <w:t xml:space="preserve">while optimizing retail toward profitability.</w:t>
      </w:r>
      <w:r>
        <w:t xml:space="preserve"> </w:t>
      </w:r>
      <w:hyperlink r:id="rId24">
        <w:r>
          <w:rPr>
            <w:rStyle w:val="Hyperlink"/>
          </w:rPr>
          <w:t xml:space="preserve">[8]</w:t>
        </w:r>
      </w:hyperlink>
      <w:r>
        <w:t xml:space="preserve"> </w:t>
      </w:r>
      <w:r>
        <w:t xml:space="preserve">That matters because:</w:t>
      </w:r>
    </w:p>
    <w:p>
      <w:pPr>
        <w:pStyle w:val="Compact"/>
        <w:numPr>
          <w:ilvl w:val="0"/>
          <w:numId w:val="1007"/>
        </w:numPr>
      </w:pPr>
      <w:r>
        <w:t xml:space="preserve">Liquidity is large enough to fund multiple mid‑size deals without immediate refinancing.</w:t>
      </w:r>
      <w:r>
        <w:t xml:space="preserve"> </w:t>
      </w:r>
      <w:hyperlink r:id="rId24">
        <w:r>
          <w:rPr>
            <w:rStyle w:val="Hyperlink"/>
          </w:rPr>
          <w:t xml:space="preserve">[10]</w:t>
        </w:r>
      </w:hyperlink>
    </w:p>
    <w:p>
      <w:pPr>
        <w:pStyle w:val="Compact"/>
        <w:numPr>
          <w:ilvl w:val="0"/>
          <w:numId w:val="1007"/>
        </w:numPr>
      </w:pPr>
      <w:r>
        <w:t xml:space="preserve">The convertibles introduce equity‑linked optionality and (per the Company’s own risk disclosures) may encourage short selling because converts can be used to satisfy shorts or anticipated conversion can depress the stock.</w:t>
      </w:r>
      <w:r>
        <w:t xml:space="preserve"> </w:t>
      </w:r>
      <w:hyperlink r:id="rId24">
        <w:r>
          <w:rPr>
            <w:rStyle w:val="Hyperlink"/>
          </w:rPr>
          <w:t xml:space="preserve">[13]</w:t>
        </w:r>
      </w:hyperlink>
    </w:p>
    <w:p>
      <w:pPr>
        <w:pStyle w:val="Compact"/>
        <w:numPr>
          <w:ilvl w:val="0"/>
          <w:numId w:val="1007"/>
        </w:numPr>
      </w:pPr>
      <w:r>
        <w:t xml:space="preserve">The S‑3ASR shelf adds financing flexibility (stock, debt, warrants, units) if market conditions become favorable.</w:t>
      </w:r>
      <w:r>
        <w:t xml:space="preserve"> </w:t>
      </w:r>
      <w:hyperlink r:id="rId27">
        <w:r>
          <w:rPr>
            <w:rStyle w:val="Hyperlink"/>
          </w:rPr>
          <w:t xml:space="preserve">[26]</w:t>
        </w:r>
      </w:hyperlink>
    </w:p>
    <w:p>
      <w:pPr>
        <w:pStyle w:val="FirstParagraph"/>
      </w:pPr>
      <w:r>
        <w:t xml:space="preserve">A squeeze or volatility event can raise price and market cap, potentially enabling:</w:t>
      </w:r>
      <w:r>
        <w:t xml:space="preserve"> </w:t>
      </w:r>
      <w:r>
        <w:t xml:space="preserve">- cheaper equity financing (less dilution for the same dollars),</w:t>
      </w:r>
      <w:r>
        <w:t xml:space="preserve"> </w:t>
      </w:r>
      <w:r>
        <w:t xml:space="preserve">- accelerated debt conversion / retirement,</w:t>
      </w:r>
      <w:r>
        <w:t xml:space="preserve"> </w:t>
      </w:r>
      <w:r>
        <w:t xml:space="preserve">- possible warrant exercise proceeds (if price &gt; $32 before Oct 2026).</w:t>
      </w:r>
      <w:r>
        <w:t xml:space="preserve"> </w:t>
      </w:r>
      <w:hyperlink r:id="rId24">
        <w:r>
          <w:rPr>
            <w:rStyle w:val="Hyperlink"/>
          </w:rPr>
          <w:t xml:space="preserve">[27]</w:t>
        </w:r>
      </w:hyperlink>
    </w:p>
    <w:p>
      <w:pPr>
        <w:pStyle w:val="BodyText"/>
      </w:pPr>
      <w:r>
        <w:t xml:space="preserve">But it does</w:t>
      </w:r>
      <w:r>
        <w:t xml:space="preserve"> </w:t>
      </w:r>
      <w:r>
        <w:rPr>
          <w:b/>
          <w:bCs/>
        </w:rPr>
        <w:t xml:space="preserve">not</w:t>
      </w:r>
      <w:r>
        <w:t xml:space="preserve"> </w:t>
      </w:r>
      <w:r>
        <w:t xml:space="preserve">directly raise Performance EBITDA; it only changes the financing envelope. (Performance EBITDA is benchmarked to Adjusted EBITDA and defined to begin accumulating from Feb 1, 2026.)</w:t>
      </w:r>
      <w:r>
        <w:t xml:space="preserve"> </w:t>
      </w:r>
      <w:hyperlink r:id="rId22">
        <w:r>
          <w:rPr>
            <w:rStyle w:val="Hyperlink"/>
          </w:rPr>
          <w:t xml:space="preserve">[5]</w:t>
        </w:r>
      </w:hyperlink>
    </w:p>
    <w:bookmarkEnd w:id="38"/>
    <w:bookmarkEnd w:id="39"/>
    <w:bookmarkStart w:id="47" w:name="acquisition-target-screen"/>
    <w:p>
      <w:pPr>
        <w:pStyle w:val="Heading2"/>
      </w:pPr>
      <w:r>
        <w:t xml:space="preserve">Acquisition target screen</w:t>
      </w:r>
    </w:p>
    <w:p>
      <w:pPr>
        <w:pStyle w:val="FirstParagraph"/>
      </w:pPr>
      <w:r>
        <w:t xml:space="preserve">Because most targets discussed are private, detailed financials are not fully disclosed; valuation datapoints below rely on primary press releases and high‑quality reporting, and operating metrics are treated as ranges (modeled as distributions in the Monte Carlo).</w:t>
      </w:r>
    </w:p>
    <w:bookmarkStart w:id="45" w:name="candidate-comparison-table"/>
    <w:p>
      <w:pPr>
        <w:pStyle w:val="Heading3"/>
      </w:pPr>
      <w:r>
        <w:t xml:space="preserve">Candidate comparison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Target</w:t>
            </w:r>
          </w:p>
        </w:tc>
        <w:tc>
          <w:tcPr/>
          <w:p>
            <w:pPr>
              <w:pStyle w:val="Compact"/>
              <w:jc w:val="right"/>
            </w:pPr>
            <w:r>
              <w:t xml:space="preserve">Category</w:t>
            </w:r>
          </w:p>
        </w:tc>
        <w:tc>
          <w:tcPr/>
          <w:p>
            <w:pPr>
              <w:pStyle w:val="Compact"/>
              <w:jc w:val="right"/>
            </w:pPr>
            <w:r>
              <w:t xml:space="preserve">Anchor valuation (public)</w:t>
            </w:r>
          </w:p>
        </w:tc>
        <w:tc>
          <w:tcPr/>
          <w:p>
            <w:pPr>
              <w:pStyle w:val="Compact"/>
              <w:jc w:val="right"/>
            </w:pPr>
            <w:r>
              <w:t xml:space="preserve">Est. acquisition range (USD B)</w:t>
            </w:r>
          </w:p>
        </w:tc>
        <w:tc>
          <w:tcPr/>
          <w:p>
            <w:pPr>
              <w:pStyle w:val="Compact"/>
            </w:pPr>
            <w:r>
              <w:t xml:space="preserve">EBITDA quality (directional)</w:t>
            </w:r>
          </w:p>
        </w:tc>
        <w:tc>
          <w:tcPr/>
          <w:p>
            <w:pPr>
              <w:pStyle w:val="Compact"/>
            </w:pPr>
            <w:r>
              <w:t xml:space="preserve">Strategic fit for “everything app”</w:t>
            </w:r>
          </w:p>
        </w:tc>
        <w:tc>
          <w:tcPr/>
          <w:p>
            <w:pPr>
              <w:pStyle w:val="Compact"/>
            </w:pPr>
            <w:r>
              <w:t xml:space="preserve">Integration risk</w:t>
            </w:r>
          </w:p>
        </w:tc>
      </w:tr>
      <w:tr>
        <w:tc>
          <w:tcPr/>
          <w:p>
            <w:pPr>
              <w:pStyle w:val="Compact"/>
            </w:pPr>
            <w:r>
              <w:t xml:space="preserve">Whatnot</w:t>
            </w:r>
            <w:hyperlink r:id="rId22">
              <w:r>
                <w:rPr>
                  <w:rStyle w:val="Hyperlink"/>
                </w:rPr>
                <w:t xml:space="preserve">[28]</w:t>
              </w:r>
            </w:hyperlink>
          </w:p>
        </w:tc>
        <w:tc>
          <w:tcPr/>
          <w:p>
            <w:pPr>
              <w:pStyle w:val="Compact"/>
              <w:jc w:val="right"/>
            </w:pPr>
            <w:r>
              <w:t xml:space="preserve">Live marketplace</w:t>
            </w:r>
          </w:p>
        </w:tc>
        <w:tc>
          <w:tcPr/>
          <w:p>
            <w:pPr>
              <w:pStyle w:val="Compact"/>
              <w:jc w:val="right"/>
            </w:pPr>
            <w:r>
              <w:t xml:space="preserve">~$11.5B (Series F reported Oct 2025)</w:t>
            </w:r>
            <w:r>
              <w:t xml:space="preserve"> </w:t>
            </w:r>
            <w:hyperlink r:id="rId40">
              <w:r>
                <w:rPr>
                  <w:rStyle w:val="Hyperlink"/>
                </w:rPr>
                <w:t xml:space="preserve">[29]</w:t>
              </w:r>
            </w:hyperlink>
          </w:p>
        </w:tc>
        <w:tc>
          <w:tcPr/>
          <w:p>
            <w:pPr>
              <w:pStyle w:val="Compact"/>
              <w:jc w:val="right"/>
            </w:pPr>
            <w:r>
              <w:t xml:space="preserve">~10–15</w:t>
            </w:r>
          </w:p>
        </w:tc>
        <w:tc>
          <w:tcPr/>
          <w:p>
            <w:pPr>
              <w:pStyle w:val="Compact"/>
            </w:pPr>
            <w:r>
              <w:t xml:space="preserve">Likely low/negative near‑term; scale dependent (GMV is large)</w:t>
            </w:r>
            <w:r>
              <w:t xml:space="preserve"> </w:t>
            </w:r>
            <w:hyperlink r:id="rId41">
              <w:r>
                <w:rPr>
                  <w:rStyle w:val="Hyperlink"/>
                </w:rPr>
                <w:t xml:space="preserve">[30]</w:t>
              </w:r>
            </w:hyperlink>
          </w:p>
        </w:tc>
        <w:tc>
          <w:tcPr/>
          <w:p>
            <w:pPr>
              <w:pStyle w:val="Compact"/>
            </w:pPr>
            <w:r>
              <w:t xml:space="preserve">High (commerce + creators + collectibles)</w:t>
            </w:r>
          </w:p>
        </w:tc>
        <w:tc>
          <w:tcPr/>
          <w:p>
            <w:pPr>
              <w:pStyle w:val="Compact"/>
            </w:pPr>
            <w:r>
              <w:t xml:space="preserve">High</w:t>
            </w:r>
          </w:p>
        </w:tc>
      </w:tr>
      <w:tr>
        <w:tc>
          <w:tcPr/>
          <w:p>
            <w:pPr>
              <w:pStyle w:val="Compact"/>
            </w:pPr>
            <w:r>
              <w:t xml:space="preserve">Discord</w:t>
            </w:r>
            <w:hyperlink r:id="rId22">
              <w:r>
                <w:rPr>
                  <w:rStyle w:val="Hyperlink"/>
                </w:rPr>
                <w:t xml:space="preserve">[31]</w:t>
              </w:r>
            </w:hyperlink>
          </w:p>
        </w:tc>
        <w:tc>
          <w:tcPr/>
          <w:p>
            <w:pPr>
              <w:pStyle w:val="Compact"/>
              <w:jc w:val="right"/>
            </w:pPr>
            <w:r>
              <w:t xml:space="preserve">Community layer</w:t>
            </w:r>
          </w:p>
        </w:tc>
        <w:tc>
          <w:tcPr/>
          <w:p>
            <w:pPr>
              <w:pStyle w:val="Compact"/>
              <w:jc w:val="right"/>
            </w:pPr>
            <w:r>
              <w:t xml:space="preserve">Public valuation expectations ~5–8B range (secondary/analyst commentary); IPO filing reported</w:t>
            </w:r>
            <w:r>
              <w:t xml:space="preserve"> </w:t>
            </w:r>
            <w:hyperlink r:id="rId42">
              <w:r>
                <w:rPr>
                  <w:rStyle w:val="Hyperlink"/>
                </w:rPr>
                <w:t xml:space="preserve">[32]</w:t>
              </w:r>
            </w:hyperlink>
          </w:p>
        </w:tc>
        <w:tc>
          <w:tcPr/>
          <w:p>
            <w:pPr>
              <w:pStyle w:val="Compact"/>
              <w:jc w:val="right"/>
            </w:pPr>
            <w:r>
              <w:t xml:space="preserve">~6–10</w:t>
            </w:r>
          </w:p>
        </w:tc>
        <w:tc>
          <w:tcPr/>
          <w:p>
            <w:pPr>
              <w:pStyle w:val="Compact"/>
            </w:pPr>
            <w:r>
              <w:t xml:space="preserve">Unclear (likely reinvestment / near breakeven)</w:t>
            </w:r>
          </w:p>
        </w:tc>
        <w:tc>
          <w:tcPr/>
          <w:p>
            <w:pPr>
              <w:pStyle w:val="Compact"/>
            </w:pPr>
            <w:r>
              <w:t xml:space="preserve">Very high (identity + community + distribution)</w:t>
            </w:r>
          </w:p>
        </w:tc>
        <w:tc>
          <w:tcPr/>
          <w:p>
            <w:pPr>
              <w:pStyle w:val="Compact"/>
            </w:pPr>
            <w:r>
              <w:t xml:space="preserve">Very high</w:t>
            </w:r>
          </w:p>
        </w:tc>
      </w:tr>
      <w:tr>
        <w:tc>
          <w:tcPr/>
          <w:p>
            <w:pPr>
              <w:pStyle w:val="Compact"/>
            </w:pPr>
            <w:r>
              <w:t xml:space="preserve">Collectors Holdings</w:t>
            </w:r>
            <w:hyperlink r:id="rId24">
              <w:r>
                <w:rPr>
                  <w:rStyle w:val="Hyperlink"/>
                </w:rPr>
                <w:t xml:space="preserve">[33]</w:t>
              </w:r>
            </w:hyperlink>
          </w:p>
        </w:tc>
        <w:tc>
          <w:tcPr/>
          <w:p>
            <w:pPr>
              <w:pStyle w:val="Compact"/>
              <w:jc w:val="right"/>
            </w:pPr>
            <w:r>
              <w:t xml:space="preserve">Collectibles infrastructure</w:t>
            </w:r>
          </w:p>
        </w:tc>
        <w:tc>
          <w:tcPr/>
          <w:p>
            <w:pPr>
              <w:pStyle w:val="Compact"/>
              <w:jc w:val="right"/>
            </w:pPr>
            <w:r>
              <w:t xml:space="preserve">$4.3B valuation in $100M funding announcement (Mar 2022)</w:t>
            </w:r>
            <w:r>
              <w:t xml:space="preserve"> </w:t>
            </w:r>
            <w:hyperlink r:id="rId43">
              <w:r>
                <w:rPr>
                  <w:rStyle w:val="Hyperlink"/>
                </w:rPr>
                <w:t xml:space="preserve">[34]</w:t>
              </w:r>
            </w:hyperlink>
          </w:p>
        </w:tc>
        <w:tc>
          <w:tcPr/>
          <w:p>
            <w:pPr>
              <w:pStyle w:val="Compact"/>
              <w:jc w:val="right"/>
            </w:pPr>
            <w:r>
              <w:t xml:space="preserve">~5–8</w:t>
            </w:r>
          </w:p>
        </w:tc>
        <w:tc>
          <w:tcPr/>
          <w:p>
            <w:pPr>
              <w:pStyle w:val="Compact"/>
            </w:pPr>
            <w:r>
              <w:t xml:space="preserve">More likely positive EBITDA with service margins (not fully disclosed)</w:t>
            </w:r>
            <w:r>
              <w:t xml:space="preserve"> </w:t>
            </w:r>
            <w:hyperlink r:id="rId43">
              <w:r>
                <w:rPr>
                  <w:rStyle w:val="Hyperlink"/>
                </w:rPr>
                <w:t xml:space="preserve">[34]</w:t>
              </w:r>
            </w:hyperlink>
          </w:p>
        </w:tc>
        <w:tc>
          <w:tcPr/>
          <w:p>
            <w:pPr>
              <w:pStyle w:val="Compact"/>
            </w:pPr>
            <w:r>
              <w:t xml:space="preserve">High (trust + grading + vault + marketplace rails)</w:t>
            </w:r>
          </w:p>
        </w:tc>
        <w:tc>
          <w:tcPr/>
          <w:p>
            <w:pPr>
              <w:pStyle w:val="Compact"/>
            </w:pPr>
            <w:r>
              <w:t xml:space="preserve">Medium</w:t>
            </w:r>
          </w:p>
        </w:tc>
      </w:tr>
      <w:tr>
        <w:tc>
          <w:tcPr/>
          <w:p>
            <w:pPr>
              <w:pStyle w:val="Compact"/>
            </w:pPr>
            <w:r>
              <w:t xml:space="preserve">MoonPay</w:t>
            </w:r>
            <w:hyperlink r:id="rId24">
              <w:r>
                <w:rPr>
                  <w:rStyle w:val="Hyperlink"/>
                </w:rPr>
                <w:t xml:space="preserve">[35]</w:t>
              </w:r>
            </w:hyperlink>
          </w:p>
        </w:tc>
        <w:tc>
          <w:tcPr/>
          <w:p>
            <w:pPr>
              <w:pStyle w:val="Compact"/>
              <w:jc w:val="right"/>
            </w:pPr>
            <w:r>
              <w:t xml:space="preserve">Payments/on‑ramp</w:t>
            </w:r>
          </w:p>
        </w:tc>
        <w:tc>
          <w:tcPr/>
          <w:p>
            <w:pPr>
              <w:pStyle w:val="Compact"/>
              <w:jc w:val="right"/>
            </w:pPr>
            <w:r>
              <w:t xml:space="preserve">Talks implying ~$5B valuation (Dec 2025 reporting)</w:t>
            </w:r>
            <w:r>
              <w:t xml:space="preserve"> </w:t>
            </w:r>
            <w:hyperlink r:id="rId44">
              <w:r>
                <w:rPr>
                  <w:rStyle w:val="Hyperlink"/>
                </w:rPr>
                <w:t xml:space="preserve">[36]</w:t>
              </w:r>
            </w:hyperlink>
          </w:p>
        </w:tc>
        <w:tc>
          <w:tcPr/>
          <w:p>
            <w:pPr>
              <w:pStyle w:val="Compact"/>
              <w:jc w:val="right"/>
            </w:pPr>
            <w:r>
              <w:t xml:space="preserve">~3–6</w:t>
            </w:r>
          </w:p>
        </w:tc>
        <w:tc>
          <w:tcPr/>
          <w:p>
            <w:pPr>
              <w:pStyle w:val="Compact"/>
            </w:pPr>
            <w:r>
              <w:t xml:space="preserve">Cyclical; regulatory heavy</w:t>
            </w:r>
          </w:p>
        </w:tc>
        <w:tc>
          <w:tcPr/>
          <w:p>
            <w:pPr>
              <w:pStyle w:val="Compact"/>
            </w:pPr>
            <w:r>
              <w:t xml:space="preserve">Medium (payments layer)</w:t>
            </w:r>
          </w:p>
        </w:tc>
        <w:tc>
          <w:tcPr/>
          <w:p>
            <w:pPr>
              <w:pStyle w:val="Compact"/>
            </w:pPr>
            <w:r>
              <w:t xml:space="preserve">High</w:t>
            </w:r>
          </w:p>
        </w:tc>
      </w:tr>
      <w:tr>
        <w:tc>
          <w:tcPr/>
          <w:p>
            <w:pPr>
              <w:pStyle w:val="Compact"/>
            </w:pPr>
            <w:r>
              <w:t xml:space="preserve">Immutable</w:t>
            </w:r>
            <w:hyperlink r:id="rId22">
              <w:r>
                <w:rPr>
                  <w:rStyle w:val="Hyperlink"/>
                </w:rPr>
                <w:t xml:space="preserve">[37]</w:t>
              </w:r>
            </w:hyperlink>
          </w:p>
        </w:tc>
        <w:tc>
          <w:tcPr/>
          <w:p>
            <w:pPr>
              <w:pStyle w:val="Compact"/>
              <w:jc w:val="right"/>
            </w:pPr>
            <w:r>
              <w:t xml:space="preserve">Web3 rails</w:t>
            </w:r>
          </w:p>
        </w:tc>
        <w:tc>
          <w:tcPr/>
          <w:p>
            <w:pPr>
              <w:pStyle w:val="Compact"/>
              <w:jc w:val="right"/>
            </w:pPr>
            <w:r>
              <w:t xml:space="preserve">$200M Series C at $2.5B valuation (Mar 2022)</w:t>
            </w:r>
            <w:r>
              <w:t xml:space="preserve"> </w:t>
            </w:r>
            <w:hyperlink r:id="rId21">
              <w:r>
                <w:rPr>
                  <w:rStyle w:val="Hyperlink"/>
                </w:rPr>
                <w:t xml:space="preserve">[38]</w:t>
              </w:r>
            </w:hyperlink>
          </w:p>
        </w:tc>
        <w:tc>
          <w:tcPr/>
          <w:p>
            <w:pPr>
              <w:pStyle w:val="Compact"/>
              <w:jc w:val="right"/>
            </w:pPr>
            <w:r>
              <w:t xml:space="preserve">~1–4</w:t>
            </w:r>
          </w:p>
        </w:tc>
        <w:tc>
          <w:tcPr/>
          <w:p>
            <w:pPr>
              <w:pStyle w:val="Compact"/>
            </w:pPr>
            <w:r>
              <w:t xml:space="preserve">Volatile; often loss‑making in growth phases (visibility limited)</w:t>
            </w:r>
          </w:p>
        </w:tc>
        <w:tc>
          <w:tcPr/>
          <w:p>
            <w:pPr>
              <w:pStyle w:val="Compact"/>
            </w:pPr>
            <w:r>
              <w:t xml:space="preserve">Medium (digital asset rails)</w:t>
            </w:r>
          </w:p>
        </w:tc>
        <w:tc>
          <w:tcPr/>
          <w:p>
            <w:pPr>
              <w:pStyle w:val="Compact"/>
            </w:pPr>
            <w:r>
              <w:t xml:space="preserve">High</w:t>
            </w:r>
          </w:p>
        </w:tc>
      </w:tr>
    </w:tbl>
    <w:bookmarkEnd w:id="45"/>
    <w:bookmarkStart w:id="46" w:name="critical-realism-checks"/>
    <w:p>
      <w:pPr>
        <w:pStyle w:val="Heading3"/>
      </w:pPr>
      <w:r>
        <w:t xml:space="preserve">Critical realism checks</w:t>
      </w:r>
    </w:p>
    <w:p>
      <w:pPr>
        <w:pStyle w:val="Compact"/>
        <w:numPr>
          <w:ilvl w:val="0"/>
          <w:numId w:val="1008"/>
        </w:numPr>
      </w:pPr>
      <w:r>
        <w:rPr>
          <w:b/>
          <w:bCs/>
        </w:rPr>
        <w:t xml:space="preserve">Budget realism:</w:t>
      </w:r>
      <w:r>
        <w:t xml:space="preserve"> </w:t>
      </w:r>
      <w:r>
        <w:t xml:space="preserve">An all‑cash acquisition of a $10B+ asset is difficult while maintaining a prudent liquidity buffer (and while carrying $4.2B of convertibles with 2028 put dates).</w:t>
      </w:r>
      <w:r>
        <w:t xml:space="preserve"> </w:t>
      </w:r>
      <w:hyperlink r:id="rId24">
        <w:r>
          <w:rPr>
            <w:rStyle w:val="Hyperlink"/>
          </w:rPr>
          <w:t xml:space="preserve">[39]</w:t>
        </w:r>
      </w:hyperlink>
      <w:r>
        <w:t xml:space="preserve"> </w:t>
      </w:r>
      <w:r>
        <w:t xml:space="preserve">Large deals would likely require</w:t>
      </w:r>
      <w:r>
        <w:t xml:space="preserve"> </w:t>
      </w:r>
      <w:r>
        <w:rPr>
          <w:b/>
          <w:bCs/>
        </w:rPr>
        <w:t xml:space="preserve">stock consideration</w:t>
      </w:r>
      <w:r>
        <w:t xml:space="preserve">, incremental financing, or staging.</w:t>
      </w:r>
      <w:r>
        <w:t xml:space="preserve"> </w:t>
      </w:r>
      <w:hyperlink r:id="rId27">
        <w:r>
          <w:rPr>
            <w:rStyle w:val="Hyperlink"/>
          </w:rPr>
          <w:t xml:space="preserve">[26]</w:t>
        </w:r>
      </w:hyperlink>
    </w:p>
    <w:p>
      <w:pPr>
        <w:pStyle w:val="Compact"/>
        <w:numPr>
          <w:ilvl w:val="0"/>
          <w:numId w:val="1008"/>
        </w:numPr>
      </w:pPr>
      <w:r>
        <w:rPr>
          <w:b/>
          <w:bCs/>
        </w:rPr>
        <w:t xml:space="preserve">EBITDA relevance:</w:t>
      </w:r>
      <w:r>
        <w:t xml:space="preserve"> </w:t>
      </w:r>
      <w:r>
        <w:t xml:space="preserve">The Cohen award uses</w:t>
      </w:r>
      <w:r>
        <w:t xml:space="preserve"> </w:t>
      </w:r>
      <w:r>
        <w:rPr>
          <w:b/>
          <w:bCs/>
        </w:rPr>
        <w:t xml:space="preserve">cumulative Adjusted‑EBITDA‑derived</w:t>
      </w:r>
      <w:r>
        <w:t xml:space="preserve"> </w:t>
      </w:r>
      <w:r>
        <w:t xml:space="preserve">Performance EBITDA.</w:t>
      </w:r>
      <w:r>
        <w:t xml:space="preserve"> </w:t>
      </w:r>
      <w:hyperlink r:id="rId22">
        <w:r>
          <w:rPr>
            <w:rStyle w:val="Hyperlink"/>
          </w:rPr>
          <w:t xml:space="preserve">[5]</w:t>
        </w:r>
      </w:hyperlink>
      <w:r>
        <w:t xml:space="preserve"> </w:t>
      </w:r>
      <w:r>
        <w:t xml:space="preserve">Targets that are not EBITDA‑positive (or are materially loss‑making) may</w:t>
      </w:r>
      <w:r>
        <w:t xml:space="preserve"> </w:t>
      </w:r>
      <w:r>
        <w:rPr>
          <w:i/>
          <w:iCs/>
        </w:rPr>
        <w:t xml:space="preserve">delay</w:t>
      </w:r>
      <w:r>
        <w:t xml:space="preserve"> </w:t>
      </w:r>
      <w:r>
        <w:t xml:space="preserve">milestone achievement unless synergies are fast and real.</w:t>
      </w:r>
    </w:p>
    <w:p>
      <w:pPr>
        <w:pStyle w:val="Compact"/>
        <w:numPr>
          <w:ilvl w:val="0"/>
          <w:numId w:val="1008"/>
        </w:numPr>
      </w:pPr>
      <w:r>
        <w:rPr>
          <w:b/>
          <w:bCs/>
        </w:rPr>
        <w:t xml:space="preserve">“Everything app” feasibility:</w:t>
      </w:r>
      <w:r>
        <w:t xml:space="preserve"> </w:t>
      </w:r>
      <w:r>
        <w:t xml:space="preserve">The hardest component is network effects (community + creator + distribution). That’s why “Discord‑scale” assets are strategically attractive but structurally hard to buy and integrate.</w:t>
      </w:r>
    </w:p>
    <w:bookmarkEnd w:id="46"/>
    <w:bookmarkEnd w:id="47"/>
    <w:bookmarkStart w:id="53" w:name="monte-carlo-results"/>
    <w:p>
      <w:pPr>
        <w:pStyle w:val="Heading2"/>
      </w:pPr>
      <w:r>
        <w:t xml:space="preserve">Monte Carlo results</w:t>
      </w:r>
    </w:p>
    <w:bookmarkStart w:id="48" w:name="X03575f555d6f7b5f0614de820256151840b6cdc"/>
    <w:p>
      <w:pPr>
        <w:pStyle w:val="Heading3"/>
      </w:pPr>
      <w:r>
        <w:t xml:space="preserve">Model outputs requested and scenario definitions</w:t>
      </w:r>
    </w:p>
    <w:p>
      <w:pPr>
        <w:pStyle w:val="FirstParagraph"/>
      </w:pPr>
      <w:r>
        <w:t xml:space="preserve">Monte Carlo runs:</w:t>
      </w:r>
      <w:r>
        <w:t xml:space="preserve"> </w:t>
      </w:r>
      <w:r>
        <w:rPr>
          <w:b/>
          <w:bCs/>
        </w:rPr>
        <w:t xml:space="preserve">10,000 iterations per scenario</w:t>
      </w:r>
      <w:r>
        <w:t xml:space="preserve"> </w:t>
      </w:r>
      <w:r>
        <w:t xml:space="preserve">(Base / Optimistic / Conservative), quarterly steps from FY2026 Q1 through FY2035 Q4, aligned to the award’s 10‑year window starting from the quarter beginning Feb 1, 2026.</w:t>
      </w:r>
      <w:r>
        <w:t xml:space="preserve"> </w:t>
      </w:r>
      <w:hyperlink r:id="rId22">
        <w:r>
          <w:rPr>
            <w:rStyle w:val="Hyperlink"/>
          </w:rPr>
          <w:t xml:space="preserve">[5]</w:t>
        </w:r>
      </w:hyperlink>
    </w:p>
    <w:p>
      <w:pPr>
        <w:pStyle w:val="BodyText"/>
      </w:pPr>
      <w:r>
        <w:t xml:space="preserve">Core outputs produced:</w:t>
      </w:r>
      <w:r>
        <w:t xml:space="preserve"> </w:t>
      </w:r>
      <w:r>
        <w:t xml:space="preserve">- Probability of achieving each tranche (1–9)</w:t>
      </w:r>
      <w:r>
        <w:t xml:space="preserve"> </w:t>
      </w:r>
      <w:r>
        <w:t xml:space="preserve">- Distribution of final market cap, enterprise value, debt retired, share count, cash per share</w:t>
      </w:r>
      <w:r>
        <w:t xml:space="preserve"> </w:t>
      </w:r>
      <w:r>
        <w:t xml:space="preserve">- Time‑to‑milestone distributions</w:t>
      </w:r>
      <w:r>
        <w:t xml:space="preserve"> </w:t>
      </w:r>
      <w:r>
        <w:t xml:space="preserve">- Sensitivity (“tornado”) on key drivers</w:t>
      </w:r>
    </w:p>
    <w:bookmarkEnd w:id="48"/>
    <w:bookmarkStart w:id="49" w:name="tranche-attainment-probabilities"/>
    <w:p>
      <w:pPr>
        <w:pStyle w:val="Heading3"/>
      </w:pPr>
      <w:r>
        <w:t xml:space="preserve">Tranche attainment probabilities</w:t>
      </w:r>
    </w:p>
    <w:p>
      <w:pPr>
        <w:pStyle w:val="FirstParagraph"/>
      </w:pPr>
      <w:r>
        <w:t xml:space="preserve">CSV‑ready table (rounded) is provided below; probabilities are the fraction of simulations where both hurdles for a tranche are achieved within 10 years.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Tranche</w:t>
            </w:r>
          </w:p>
        </w:tc>
        <w:tc>
          <w:tcPr/>
          <w:p>
            <w:pPr>
              <w:pStyle w:val="Compact"/>
              <w:jc w:val="right"/>
            </w:pPr>
            <w:r>
              <w:t xml:space="preserve">Market cap hurdle ($B)</w:t>
            </w:r>
          </w:p>
        </w:tc>
        <w:tc>
          <w:tcPr/>
          <w:p>
            <w:pPr>
              <w:pStyle w:val="Compact"/>
              <w:jc w:val="right"/>
            </w:pPr>
            <w:r>
              <w:t xml:space="preserve">Cumulative EBITDA hurdle ($B)</w:t>
            </w:r>
          </w:p>
        </w:tc>
        <w:tc>
          <w:tcPr/>
          <w:p>
            <w:pPr>
              <w:pStyle w:val="Compact"/>
              <w:jc w:val="right"/>
            </w:pPr>
            <w:r>
              <w:t xml:space="preserve">Base</w:t>
            </w:r>
          </w:p>
        </w:tc>
        <w:tc>
          <w:tcPr/>
          <w:p>
            <w:pPr>
              <w:pStyle w:val="Compact"/>
              <w:jc w:val="right"/>
            </w:pPr>
            <w:r>
              <w:t xml:space="preserve">Optimistic</w:t>
            </w:r>
          </w:p>
        </w:tc>
        <w:tc>
          <w:tcPr/>
          <w:p>
            <w:pPr>
              <w:pStyle w:val="Compact"/>
              <w:jc w:val="right"/>
            </w:pPr>
            <w:r>
              <w:t xml:space="preserve">Conservative</w:t>
            </w:r>
          </w:p>
        </w:tc>
      </w:tr>
      <w:tr>
        <w:tc>
          <w:tcPr/>
          <w:p>
            <w:pPr>
              <w:pStyle w:val="Compact"/>
              <w:jc w:val="right"/>
            </w:pPr>
            <w:r>
              <w:t xml:space="preserve">1</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0.3895</w:t>
            </w:r>
          </w:p>
        </w:tc>
        <w:tc>
          <w:tcPr/>
          <w:p>
            <w:pPr>
              <w:pStyle w:val="Compact"/>
              <w:jc w:val="right"/>
            </w:pPr>
            <w:r>
              <w:t xml:space="preserve">0.8468</w:t>
            </w:r>
          </w:p>
        </w:tc>
        <w:tc>
          <w:tcPr/>
          <w:p>
            <w:pPr>
              <w:pStyle w:val="Compact"/>
              <w:jc w:val="right"/>
            </w:pPr>
            <w:r>
              <w:t xml:space="preserve">0.0572</w:t>
            </w:r>
          </w:p>
        </w:tc>
      </w:tr>
      <w:tr>
        <w:tc>
          <w:tcPr/>
          <w:p>
            <w:pPr>
              <w:pStyle w:val="Compact"/>
              <w:jc w:val="right"/>
            </w:pPr>
            <w:r>
              <w:t xml:space="preserve">2</w:t>
            </w:r>
          </w:p>
        </w:tc>
        <w:tc>
          <w:tcPr/>
          <w:p>
            <w:pPr>
              <w:pStyle w:val="Compact"/>
              <w:jc w:val="right"/>
            </w:pPr>
            <w:r>
              <w:t xml:space="preserve">30</w:t>
            </w:r>
          </w:p>
        </w:tc>
        <w:tc>
          <w:tcPr/>
          <w:p>
            <w:pPr>
              <w:pStyle w:val="Compact"/>
              <w:jc w:val="right"/>
            </w:pPr>
            <w:r>
              <w:t xml:space="preserve">3</w:t>
            </w:r>
          </w:p>
        </w:tc>
        <w:tc>
          <w:tcPr/>
          <w:p>
            <w:pPr>
              <w:pStyle w:val="Compact"/>
              <w:jc w:val="right"/>
            </w:pPr>
            <w:r>
              <w:t xml:space="preserve">0.0973</w:t>
            </w:r>
          </w:p>
        </w:tc>
        <w:tc>
          <w:tcPr/>
          <w:p>
            <w:pPr>
              <w:pStyle w:val="Compact"/>
              <w:jc w:val="right"/>
            </w:pPr>
            <w:r>
              <w:t xml:space="preserve">0.6041</w:t>
            </w:r>
          </w:p>
        </w:tc>
        <w:tc>
          <w:tcPr/>
          <w:p>
            <w:pPr>
              <w:pStyle w:val="Compact"/>
              <w:jc w:val="right"/>
            </w:pPr>
            <w:r>
              <w:t xml:space="preserve">0.0011</w:t>
            </w:r>
          </w:p>
        </w:tc>
      </w:tr>
      <w:tr>
        <w:tc>
          <w:tcPr/>
          <w:p>
            <w:pPr>
              <w:pStyle w:val="Compact"/>
              <w:jc w:val="right"/>
            </w:pPr>
            <w:r>
              <w:t xml:space="preserve">3</w:t>
            </w:r>
          </w:p>
        </w:tc>
        <w:tc>
          <w:tcPr/>
          <w:p>
            <w:pPr>
              <w:pStyle w:val="Compact"/>
              <w:jc w:val="right"/>
            </w:pPr>
            <w:r>
              <w:t xml:space="preserve">40</w:t>
            </w:r>
          </w:p>
        </w:tc>
        <w:tc>
          <w:tcPr/>
          <w:p>
            <w:pPr>
              <w:pStyle w:val="Compact"/>
              <w:jc w:val="right"/>
            </w:pPr>
            <w:r>
              <w:t xml:space="preserve">4</w:t>
            </w:r>
          </w:p>
        </w:tc>
        <w:tc>
          <w:tcPr/>
          <w:p>
            <w:pPr>
              <w:pStyle w:val="Compact"/>
              <w:jc w:val="right"/>
            </w:pPr>
            <w:r>
              <w:t xml:space="preserve">0.0112</w:t>
            </w:r>
          </w:p>
        </w:tc>
        <w:tc>
          <w:tcPr/>
          <w:p>
            <w:pPr>
              <w:pStyle w:val="Compact"/>
              <w:jc w:val="right"/>
            </w:pPr>
            <w:r>
              <w:t xml:space="preserve">0.3811</w:t>
            </w:r>
          </w:p>
        </w:tc>
        <w:tc>
          <w:tcPr/>
          <w:p>
            <w:pPr>
              <w:pStyle w:val="Compact"/>
              <w:jc w:val="right"/>
            </w:pPr>
            <w:r>
              <w:t xml:space="preserve">0.0000</w:t>
            </w:r>
          </w:p>
        </w:tc>
      </w:tr>
      <w:tr>
        <w:tc>
          <w:tcPr/>
          <w:p>
            <w:pPr>
              <w:pStyle w:val="Compact"/>
              <w:jc w:val="right"/>
            </w:pPr>
            <w:r>
              <w:t xml:space="preserve">4</w:t>
            </w:r>
          </w:p>
        </w:tc>
        <w:tc>
          <w:tcPr/>
          <w:p>
            <w:pPr>
              <w:pStyle w:val="Compact"/>
              <w:jc w:val="right"/>
            </w:pPr>
            <w:r>
              <w:t xml:space="preserve">50</w:t>
            </w:r>
          </w:p>
        </w:tc>
        <w:tc>
          <w:tcPr/>
          <w:p>
            <w:pPr>
              <w:pStyle w:val="Compact"/>
              <w:jc w:val="right"/>
            </w:pPr>
            <w:r>
              <w:t xml:space="preserve">5</w:t>
            </w:r>
          </w:p>
        </w:tc>
        <w:tc>
          <w:tcPr/>
          <w:p>
            <w:pPr>
              <w:pStyle w:val="Compact"/>
              <w:jc w:val="right"/>
            </w:pPr>
            <w:r>
              <w:t xml:space="preserve">0.0022</w:t>
            </w:r>
          </w:p>
        </w:tc>
        <w:tc>
          <w:tcPr/>
          <w:p>
            <w:pPr>
              <w:pStyle w:val="Compact"/>
              <w:jc w:val="right"/>
            </w:pPr>
            <w:r>
              <w:t xml:space="preserve">0.2019</w:t>
            </w:r>
          </w:p>
        </w:tc>
        <w:tc>
          <w:tcPr/>
          <w:p>
            <w:pPr>
              <w:pStyle w:val="Compact"/>
              <w:jc w:val="right"/>
            </w:pPr>
            <w:r>
              <w:t xml:space="preserve">0.0000</w:t>
            </w:r>
          </w:p>
        </w:tc>
      </w:tr>
      <w:tr>
        <w:tc>
          <w:tcPr/>
          <w:p>
            <w:pPr>
              <w:pStyle w:val="Compact"/>
              <w:jc w:val="right"/>
            </w:pPr>
            <w:r>
              <w:t xml:space="preserve">5</w:t>
            </w:r>
          </w:p>
        </w:tc>
        <w:tc>
          <w:tcPr/>
          <w:p>
            <w:pPr>
              <w:pStyle w:val="Compact"/>
              <w:jc w:val="right"/>
            </w:pPr>
            <w:r>
              <w:t xml:space="preserve">60</w:t>
            </w:r>
          </w:p>
        </w:tc>
        <w:tc>
          <w:tcPr/>
          <w:p>
            <w:pPr>
              <w:pStyle w:val="Compact"/>
              <w:jc w:val="right"/>
            </w:pPr>
            <w:r>
              <w:t xml:space="preserve">6</w:t>
            </w:r>
          </w:p>
        </w:tc>
        <w:tc>
          <w:tcPr/>
          <w:p>
            <w:pPr>
              <w:pStyle w:val="Compact"/>
              <w:jc w:val="right"/>
            </w:pPr>
            <w:r>
              <w:t xml:space="preserve">0.0004</w:t>
            </w:r>
          </w:p>
        </w:tc>
        <w:tc>
          <w:tcPr/>
          <w:p>
            <w:pPr>
              <w:pStyle w:val="Compact"/>
              <w:jc w:val="right"/>
            </w:pPr>
            <w:r>
              <w:t xml:space="preserve">0.1069</w:t>
            </w:r>
          </w:p>
        </w:tc>
        <w:tc>
          <w:tcPr/>
          <w:p>
            <w:pPr>
              <w:pStyle w:val="Compact"/>
              <w:jc w:val="right"/>
            </w:pPr>
            <w:r>
              <w:t xml:space="preserve">0.0000</w:t>
            </w:r>
          </w:p>
        </w:tc>
      </w:tr>
      <w:tr>
        <w:tc>
          <w:tcPr/>
          <w:p>
            <w:pPr>
              <w:pStyle w:val="Compact"/>
              <w:jc w:val="right"/>
            </w:pPr>
            <w:r>
              <w:t xml:space="preserve">6</w:t>
            </w:r>
          </w:p>
        </w:tc>
        <w:tc>
          <w:tcPr/>
          <w:p>
            <w:pPr>
              <w:pStyle w:val="Compact"/>
              <w:jc w:val="right"/>
            </w:pPr>
            <w:r>
              <w:t xml:space="preserve">70</w:t>
            </w:r>
          </w:p>
        </w:tc>
        <w:tc>
          <w:tcPr/>
          <w:p>
            <w:pPr>
              <w:pStyle w:val="Compact"/>
              <w:jc w:val="right"/>
            </w:pPr>
            <w:r>
              <w:t xml:space="preserve">7</w:t>
            </w:r>
          </w:p>
        </w:tc>
        <w:tc>
          <w:tcPr/>
          <w:p>
            <w:pPr>
              <w:pStyle w:val="Compact"/>
              <w:jc w:val="right"/>
            </w:pPr>
            <w:r>
              <w:t xml:space="preserve">0.0000</w:t>
            </w:r>
          </w:p>
        </w:tc>
        <w:tc>
          <w:tcPr/>
          <w:p>
            <w:pPr>
              <w:pStyle w:val="Compact"/>
              <w:jc w:val="right"/>
            </w:pPr>
            <w:r>
              <w:t xml:space="preserve">0.0584</w:t>
            </w:r>
          </w:p>
        </w:tc>
        <w:tc>
          <w:tcPr/>
          <w:p>
            <w:pPr>
              <w:pStyle w:val="Compact"/>
              <w:jc w:val="right"/>
            </w:pPr>
            <w:r>
              <w:t xml:space="preserve">0.0000</w:t>
            </w:r>
          </w:p>
        </w:tc>
      </w:tr>
      <w:tr>
        <w:tc>
          <w:tcPr/>
          <w:p>
            <w:pPr>
              <w:pStyle w:val="Compact"/>
              <w:jc w:val="right"/>
            </w:pPr>
            <w:r>
              <w:t xml:space="preserve">7</w:t>
            </w:r>
          </w:p>
        </w:tc>
        <w:tc>
          <w:tcPr/>
          <w:p>
            <w:pPr>
              <w:pStyle w:val="Compact"/>
              <w:jc w:val="right"/>
            </w:pPr>
            <w:r>
              <w:t xml:space="preserve">80</w:t>
            </w:r>
          </w:p>
        </w:tc>
        <w:tc>
          <w:tcPr/>
          <w:p>
            <w:pPr>
              <w:pStyle w:val="Compact"/>
              <w:jc w:val="right"/>
            </w:pPr>
            <w:r>
              <w:t xml:space="preserve">8</w:t>
            </w:r>
          </w:p>
        </w:tc>
        <w:tc>
          <w:tcPr/>
          <w:p>
            <w:pPr>
              <w:pStyle w:val="Compact"/>
              <w:jc w:val="right"/>
            </w:pPr>
            <w:r>
              <w:t xml:space="preserve">0.0000</w:t>
            </w:r>
          </w:p>
        </w:tc>
        <w:tc>
          <w:tcPr/>
          <w:p>
            <w:pPr>
              <w:pStyle w:val="Compact"/>
              <w:jc w:val="right"/>
            </w:pPr>
            <w:r>
              <w:t xml:space="preserve">0.0326</w:t>
            </w:r>
          </w:p>
        </w:tc>
        <w:tc>
          <w:tcPr/>
          <w:p>
            <w:pPr>
              <w:pStyle w:val="Compact"/>
              <w:jc w:val="right"/>
            </w:pPr>
            <w:r>
              <w:t xml:space="preserve">0.0000</w:t>
            </w:r>
          </w:p>
        </w:tc>
      </w:tr>
      <w:tr>
        <w:tc>
          <w:tcPr/>
          <w:p>
            <w:pPr>
              <w:pStyle w:val="Compact"/>
              <w:jc w:val="right"/>
            </w:pPr>
            <w:r>
              <w:t xml:space="preserve">8</w:t>
            </w:r>
          </w:p>
        </w:tc>
        <w:tc>
          <w:tcPr/>
          <w:p>
            <w:pPr>
              <w:pStyle w:val="Compact"/>
              <w:jc w:val="right"/>
            </w:pPr>
            <w:r>
              <w:t xml:space="preserve">90</w:t>
            </w:r>
          </w:p>
        </w:tc>
        <w:tc>
          <w:tcPr/>
          <w:p>
            <w:pPr>
              <w:pStyle w:val="Compact"/>
              <w:jc w:val="right"/>
            </w:pPr>
            <w:r>
              <w:t xml:space="preserve">9</w:t>
            </w:r>
          </w:p>
        </w:tc>
        <w:tc>
          <w:tcPr/>
          <w:p>
            <w:pPr>
              <w:pStyle w:val="Compact"/>
              <w:jc w:val="right"/>
            </w:pPr>
            <w:r>
              <w:t xml:space="preserve">0.0000</w:t>
            </w:r>
          </w:p>
        </w:tc>
        <w:tc>
          <w:tcPr/>
          <w:p>
            <w:pPr>
              <w:pStyle w:val="Compact"/>
              <w:jc w:val="right"/>
            </w:pPr>
            <w:r>
              <w:t xml:space="preserve">0.0171</w:t>
            </w:r>
          </w:p>
        </w:tc>
        <w:tc>
          <w:tcPr/>
          <w:p>
            <w:pPr>
              <w:pStyle w:val="Compact"/>
              <w:jc w:val="right"/>
            </w:pPr>
            <w:r>
              <w:t xml:space="preserve">0.0000</w:t>
            </w:r>
          </w:p>
        </w:tc>
      </w:tr>
      <w:tr>
        <w:tc>
          <w:tcPr/>
          <w:p>
            <w:pPr>
              <w:pStyle w:val="Compact"/>
              <w:jc w:val="right"/>
            </w:pPr>
            <w:r>
              <w:t xml:space="preserve">9</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0.0000</w:t>
            </w:r>
          </w:p>
        </w:tc>
        <w:tc>
          <w:tcPr/>
          <w:p>
            <w:pPr>
              <w:pStyle w:val="Compact"/>
              <w:jc w:val="right"/>
            </w:pPr>
            <w:r>
              <w:t xml:space="preserve">0.0071</w:t>
            </w:r>
          </w:p>
        </w:tc>
        <w:tc>
          <w:tcPr/>
          <w:p>
            <w:pPr>
              <w:pStyle w:val="Compact"/>
              <w:jc w:val="right"/>
            </w:pPr>
            <w:r>
              <w:t xml:space="preserve">0.0000</w:t>
            </w:r>
          </w:p>
        </w:tc>
      </w:tr>
    </w:tbl>
    <w:p>
      <w:pPr>
        <w:pStyle w:val="BodyText"/>
      </w:pPr>
      <w:r>
        <w:t xml:space="preserve">Interpretation:</w:t>
      </w:r>
      <w:r>
        <w:t xml:space="preserve"> </w:t>
      </w:r>
      <w:r>
        <w:t xml:space="preserve">-</w:t>
      </w:r>
      <w:r>
        <w:t xml:space="preserve"> </w:t>
      </w:r>
      <w:r>
        <w:rPr>
          <w:b/>
          <w:bCs/>
        </w:rPr>
        <w:t xml:space="preserve">Base case:</w:t>
      </w:r>
      <w:r>
        <w:t xml:space="preserve"> </w:t>
      </w:r>
      <w:r>
        <w:t xml:space="preserve">The most likely outcome is either failing Tranche 1 outright or achieving it late; higher tranches are very unlikely.</w:t>
      </w:r>
      <w:r>
        <w:br/>
      </w:r>
      <w:r>
        <w:t xml:space="preserve">-</w:t>
      </w:r>
      <w:r>
        <w:t xml:space="preserve"> </w:t>
      </w:r>
      <w:r>
        <w:rPr>
          <w:b/>
          <w:bCs/>
        </w:rPr>
        <w:t xml:space="preserve">Optimistic:</w:t>
      </w:r>
      <w:r>
        <w:t xml:space="preserve"> </w:t>
      </w:r>
      <w:r>
        <w:t xml:space="preserve">Many runs reach Tranche 1–3, but the upper tail still struggles to reach Tranche 9 because it requires both very large cumulative EBITDA and sustained market cap.</w:t>
      </w:r>
      <w:r>
        <w:br/>
      </w:r>
      <w:r>
        <w:t xml:space="preserve">-</w:t>
      </w:r>
      <w:r>
        <w:t xml:space="preserve"> </w:t>
      </w:r>
      <w:r>
        <w:rPr>
          <w:b/>
          <w:bCs/>
        </w:rPr>
        <w:t xml:space="preserve">Conservative:</w:t>
      </w:r>
      <w:r>
        <w:t xml:space="preserve"> </w:t>
      </w:r>
      <w:r>
        <w:t xml:space="preserve">The award is rarely earned beyond Tranche 1 because the EBITDA runway is too long at low profitability.</w:t>
      </w:r>
    </w:p>
    <w:bookmarkEnd w:id="49"/>
    <w:bookmarkStart w:id="50" w:name="distributions-and-charts"/>
    <w:p>
      <w:pPr>
        <w:pStyle w:val="Heading3"/>
      </w:pPr>
      <w:r>
        <w:t xml:space="preserve">Distributions and charts</w:t>
      </w:r>
    </w:p>
    <w:p>
      <w:pPr>
        <w:pStyle w:val="FirstParagraph"/>
      </w:pPr>
      <w:r>
        <w:t xml:space="preserve">Distribution of Max Cumulative Performance EBITDA</w:t>
      </w:r>
      <w:r>
        <w:br/>
      </w:r>
    </w:p>
    <w:p>
      <w:pPr>
        <w:pStyle w:val="BodyText"/>
      </w:pPr>
      <w:r>
        <w:t xml:space="preserve">CDF of Final Market Capitalization</w:t>
      </w:r>
      <w:r>
        <w:br/>
      </w:r>
    </w:p>
    <w:p>
      <w:pPr>
        <w:pStyle w:val="BodyText"/>
      </w:pPr>
      <w:r>
        <w:t xml:space="preserve">Time to Tranche 1 (conditional on achieving it)</w:t>
      </w:r>
      <w:r>
        <w:br/>
      </w:r>
    </w:p>
    <w:p>
      <w:pPr>
        <w:pStyle w:val="BodyText"/>
      </w:pPr>
      <w:r>
        <w:t xml:space="preserve">Final shares outstanding</w:t>
      </w:r>
      <w:r>
        <w:br/>
      </w:r>
    </w:p>
    <w:p>
      <w:pPr>
        <w:pStyle w:val="BodyText"/>
      </w:pPr>
      <w:r>
        <w:t xml:space="preserve">CDF of final cash per share</w:t>
      </w:r>
      <w:r>
        <w:br/>
      </w:r>
    </w:p>
    <w:p>
      <w:pPr>
        <w:pStyle w:val="BodyText"/>
      </w:pPr>
      <w:r>
        <w:t xml:space="preserve">Key numeric summaries (medians unless noted):</w:t>
      </w:r>
    </w:p>
    <w:p>
      <w:pPr>
        <w:pStyle w:val="Compact"/>
        <w:numPr>
          <w:ilvl w:val="0"/>
          <w:numId w:val="1009"/>
        </w:numPr>
      </w:pPr>
      <w:r>
        <w:rPr>
          <w:b/>
          <w:bCs/>
        </w:rPr>
        <w:t xml:space="preserve">Base case</w:t>
      </w:r>
    </w:p>
    <w:p>
      <w:pPr>
        <w:pStyle w:val="Compact"/>
        <w:numPr>
          <w:ilvl w:val="0"/>
          <w:numId w:val="1009"/>
        </w:numPr>
      </w:pPr>
      <w:r>
        <w:t xml:space="preserve">Final market cap: median</w:t>
      </w:r>
      <w:r>
        <w:t xml:space="preserve"> </w:t>
      </w:r>
      <w:r>
        <w:rPr>
          <w:b/>
          <w:bCs/>
        </w:rPr>
        <w:t xml:space="preserve">~$15.8B</w:t>
      </w:r>
      <w:r>
        <w:t xml:space="preserve"> </w:t>
      </w:r>
      <w:r>
        <w:t xml:space="preserve">(10th–90th:</w:t>
      </w:r>
      <w:r>
        <w:t xml:space="preserve"> </w:t>
      </w:r>
      <w:r>
        <w:rPr>
          <w:b/>
          <w:bCs/>
        </w:rPr>
        <w:t xml:space="preserve">~$9.9B–$27.9B</w:t>
      </w:r>
      <w:r>
        <w:t xml:space="preserve">)</w:t>
      </w:r>
    </w:p>
    <w:p>
      <w:pPr>
        <w:pStyle w:val="Compact"/>
        <w:numPr>
          <w:ilvl w:val="0"/>
          <w:numId w:val="1009"/>
        </w:numPr>
      </w:pPr>
      <w:r>
        <w:t xml:space="preserve">Max cumulative EBITDA: median</w:t>
      </w:r>
      <w:r>
        <w:t xml:space="preserve"> </w:t>
      </w:r>
      <w:r>
        <w:rPr>
          <w:b/>
          <w:bCs/>
        </w:rPr>
        <w:t xml:space="preserve">~$4.8B</w:t>
      </w:r>
      <w:r>
        <w:t xml:space="preserve"> </w:t>
      </w:r>
      <w:r>
        <w:t xml:space="preserve">(10th–90th:</w:t>
      </w:r>
      <w:r>
        <w:t xml:space="preserve"> </w:t>
      </w:r>
      <w:r>
        <w:rPr>
          <w:b/>
          <w:bCs/>
        </w:rPr>
        <w:t xml:space="preserve">~$2.8B–$7.9B</w:t>
      </w:r>
      <w:r>
        <w:t xml:space="preserve">)</w:t>
      </w:r>
    </w:p>
    <w:p>
      <w:pPr>
        <w:pStyle w:val="Compact"/>
        <w:numPr>
          <w:ilvl w:val="0"/>
          <w:numId w:val="1009"/>
        </w:numPr>
      </w:pPr>
      <w:r>
        <w:t xml:space="preserve">Final shares: median</w:t>
      </w:r>
      <w:r>
        <w:t xml:space="preserve"> </w:t>
      </w:r>
      <w:r>
        <w:rPr>
          <w:b/>
          <w:bCs/>
        </w:rPr>
        <w:t xml:space="preserve">~556M</w:t>
      </w:r>
      <w:r>
        <w:t xml:space="preserve"> </w:t>
      </w:r>
      <w:r>
        <w:t xml:space="preserve">(dilution mainly from stock‑financed acquisitions and some convert settlement)</w:t>
      </w:r>
    </w:p>
    <w:p>
      <w:pPr>
        <w:pStyle w:val="Compact"/>
        <w:numPr>
          <w:ilvl w:val="0"/>
          <w:numId w:val="1009"/>
        </w:numPr>
      </w:pPr>
      <w:r>
        <w:t xml:space="preserve">Final cash: median</w:t>
      </w:r>
      <w:r>
        <w:t xml:space="preserve"> </w:t>
      </w:r>
      <w:r>
        <w:rPr>
          <w:b/>
          <w:bCs/>
        </w:rPr>
        <w:t xml:space="preserve">~$8.4B</w:t>
      </w:r>
    </w:p>
    <w:p>
      <w:pPr>
        <w:numPr>
          <w:ilvl w:val="0"/>
          <w:numId w:val="1009"/>
        </w:numPr>
      </w:pPr>
      <w:r>
        <w:t xml:space="preserve">Final debt: median</w:t>
      </w:r>
      <w:r>
        <w:t xml:space="preserve"> </w:t>
      </w:r>
      <w:r>
        <w:rPr>
          <w:b/>
          <w:bCs/>
        </w:rPr>
        <w:t xml:space="preserve">~$1.26B</w:t>
      </w:r>
      <w:r>
        <w:t xml:space="preserve"> </w:t>
      </w:r>
      <w:r>
        <w:t xml:space="preserve">(consistent with partial put/redemption by 2028 under weaker price conditions)</w:t>
      </w:r>
    </w:p>
    <w:p>
      <w:pPr>
        <w:numPr>
          <w:ilvl w:val="0"/>
          <w:numId w:val="1009"/>
        </w:numPr>
      </w:pPr>
      <w:r>
        <w:rPr>
          <w:b/>
          <w:bCs/>
        </w:rPr>
        <w:t xml:space="preserve">Optimistic</w:t>
      </w:r>
    </w:p>
    <w:p>
      <w:pPr>
        <w:pStyle w:val="Compact"/>
        <w:numPr>
          <w:ilvl w:val="0"/>
          <w:numId w:val="1009"/>
        </w:numPr>
      </w:pPr>
      <w:r>
        <w:t xml:space="preserve">Final market cap: median</w:t>
      </w:r>
      <w:r>
        <w:t xml:space="preserve"> </w:t>
      </w:r>
      <w:r>
        <w:rPr>
          <w:b/>
          <w:bCs/>
        </w:rPr>
        <w:t xml:space="preserve">~$30.0B</w:t>
      </w:r>
      <w:r>
        <w:t xml:space="preserve"> </w:t>
      </w:r>
      <w:r>
        <w:t xml:space="preserve">(10th–90th:</w:t>
      </w:r>
      <w:r>
        <w:t xml:space="preserve"> </w:t>
      </w:r>
      <w:r>
        <w:rPr>
          <w:b/>
          <w:bCs/>
        </w:rPr>
        <w:t xml:space="preserve">~$16.2B–$50.9B</w:t>
      </w:r>
      <w:r>
        <w:t xml:space="preserve">)</w:t>
      </w:r>
    </w:p>
    <w:p>
      <w:pPr>
        <w:pStyle w:val="Compact"/>
        <w:numPr>
          <w:ilvl w:val="0"/>
          <w:numId w:val="1009"/>
        </w:numPr>
      </w:pPr>
      <w:r>
        <w:t xml:space="preserve">Max cumulative EBITDA: median</w:t>
      </w:r>
      <w:r>
        <w:t xml:space="preserve"> </w:t>
      </w:r>
      <w:r>
        <w:rPr>
          <w:b/>
          <w:bCs/>
        </w:rPr>
        <w:t xml:space="preserve">~$7.9B</w:t>
      </w:r>
      <w:r>
        <w:t xml:space="preserve"> </w:t>
      </w:r>
      <w:r>
        <w:t xml:space="preserve">(10th–90th:</w:t>
      </w:r>
      <w:r>
        <w:t xml:space="preserve"> </w:t>
      </w:r>
      <w:r>
        <w:rPr>
          <w:b/>
          <w:bCs/>
        </w:rPr>
        <w:t xml:space="preserve">~$4.7B–$11.3B</w:t>
      </w:r>
      <w:r>
        <w:t xml:space="preserve">)</w:t>
      </w:r>
    </w:p>
    <w:p>
      <w:pPr>
        <w:pStyle w:val="Compact"/>
        <w:numPr>
          <w:ilvl w:val="0"/>
          <w:numId w:val="1009"/>
        </w:numPr>
      </w:pPr>
      <w:r>
        <w:t xml:space="preserve">Final debt: median</w:t>
      </w:r>
      <w:r>
        <w:t xml:space="preserve"> </w:t>
      </w:r>
      <w:r>
        <w:rPr>
          <w:b/>
          <w:bCs/>
        </w:rPr>
        <w:t xml:space="preserve">near zero</w:t>
      </w:r>
      <w:r>
        <w:t xml:space="preserve"> </w:t>
      </w:r>
      <w:r>
        <w:t xml:space="preserve">(debt retirement through conversion/repurchase more frequent at higher prices)</w:t>
      </w:r>
    </w:p>
    <w:p>
      <w:pPr>
        <w:pStyle w:val="Compact"/>
        <w:numPr>
          <w:ilvl w:val="0"/>
          <w:numId w:val="1009"/>
        </w:numPr>
      </w:pPr>
      <w:r>
        <w:t xml:space="preserve">Final shares: median</w:t>
      </w:r>
      <w:r>
        <w:t xml:space="preserve"> </w:t>
      </w:r>
      <w:r>
        <w:rPr>
          <w:b/>
          <w:bCs/>
        </w:rPr>
        <w:t xml:space="preserve">~640M</w:t>
      </w:r>
    </w:p>
    <w:p>
      <w:pPr>
        <w:numPr>
          <w:ilvl w:val="0"/>
          <w:numId w:val="1009"/>
        </w:numPr>
      </w:pPr>
      <w:r>
        <w:t xml:space="preserve">Final cash: median</w:t>
      </w:r>
      <w:r>
        <w:t xml:space="preserve"> </w:t>
      </w:r>
      <w:r>
        <w:rPr>
          <w:b/>
          <w:bCs/>
        </w:rPr>
        <w:t xml:space="preserve">~$11.2B</w:t>
      </w:r>
    </w:p>
    <w:p>
      <w:pPr>
        <w:numPr>
          <w:ilvl w:val="0"/>
          <w:numId w:val="1009"/>
        </w:numPr>
      </w:pPr>
      <w:r>
        <w:rPr>
          <w:b/>
          <w:bCs/>
        </w:rPr>
        <w:t xml:space="preserve">Conservative</w:t>
      </w:r>
    </w:p>
    <w:p>
      <w:pPr>
        <w:pStyle w:val="Compact"/>
        <w:numPr>
          <w:ilvl w:val="0"/>
          <w:numId w:val="1009"/>
        </w:numPr>
      </w:pPr>
      <w:r>
        <w:t xml:space="preserve">Final market cap: median</w:t>
      </w:r>
      <w:r>
        <w:t xml:space="preserve"> </w:t>
      </w:r>
      <w:r>
        <w:rPr>
          <w:b/>
          <w:bCs/>
        </w:rPr>
        <w:t xml:space="preserve">~$9.9B</w:t>
      </w:r>
      <w:r>
        <w:t xml:space="preserve"> </w:t>
      </w:r>
      <w:r>
        <w:t xml:space="preserve">(10th–90th:</w:t>
      </w:r>
      <w:r>
        <w:t xml:space="preserve"> </w:t>
      </w:r>
      <w:r>
        <w:rPr>
          <w:b/>
          <w:bCs/>
        </w:rPr>
        <w:t xml:space="preserve">~$7.1B–$17.0B</w:t>
      </w:r>
      <w:r>
        <w:t xml:space="preserve">)</w:t>
      </w:r>
    </w:p>
    <w:p>
      <w:pPr>
        <w:pStyle w:val="Compact"/>
        <w:numPr>
          <w:ilvl w:val="0"/>
          <w:numId w:val="1009"/>
        </w:numPr>
      </w:pPr>
      <w:r>
        <w:t xml:space="preserve">Max cumulative EBITDA: median</w:t>
      </w:r>
      <w:r>
        <w:t xml:space="preserve"> </w:t>
      </w:r>
      <w:r>
        <w:rPr>
          <w:b/>
          <w:bCs/>
        </w:rPr>
        <w:t xml:space="preserve">~$2.6B</w:t>
      </w:r>
    </w:p>
    <w:p>
      <w:pPr>
        <w:pStyle w:val="Compact"/>
        <w:numPr>
          <w:ilvl w:val="0"/>
          <w:numId w:val="1009"/>
        </w:numPr>
      </w:pPr>
      <w:r>
        <w:t xml:space="preserve">Final shares: median</w:t>
      </w:r>
      <w:r>
        <w:t xml:space="preserve"> </w:t>
      </w:r>
      <w:r>
        <w:rPr>
          <w:b/>
          <w:bCs/>
        </w:rPr>
        <w:t xml:space="preserve">~485M</w:t>
      </w:r>
      <w:r>
        <w:t xml:space="preserve"> </w:t>
      </w:r>
      <w:r>
        <w:t xml:space="preserve">(limited deal activity / dilution)</w:t>
      </w:r>
    </w:p>
    <w:p>
      <w:pPr>
        <w:pStyle w:val="Compact"/>
        <w:numPr>
          <w:ilvl w:val="0"/>
          <w:numId w:val="1009"/>
        </w:numPr>
      </w:pPr>
      <w:r>
        <w:t xml:space="preserve">Final debt: median</w:t>
      </w:r>
      <w:r>
        <w:t xml:space="preserve"> </w:t>
      </w:r>
      <w:r>
        <w:rPr>
          <w:b/>
          <w:bCs/>
        </w:rPr>
        <w:t xml:space="preserve">~$1.26B</w:t>
      </w:r>
    </w:p>
    <w:bookmarkEnd w:id="50"/>
    <w:bookmarkStart w:id="51" w:name="time-to-milestone"/>
    <w:p>
      <w:pPr>
        <w:pStyle w:val="Heading3"/>
      </w:pPr>
      <w:r>
        <w:t xml:space="preserve">Time-to-milestone</w:t>
      </w:r>
    </w:p>
    <w:p>
      <w:pPr>
        <w:pStyle w:val="FirstParagraph"/>
      </w:pPr>
      <w:r>
        <w:t xml:space="preserve">Because the EBITDA metric is</w:t>
      </w:r>
      <w:r>
        <w:t xml:space="preserve"> </w:t>
      </w:r>
      <w:r>
        <w:rPr>
          <w:b/>
          <w:bCs/>
        </w:rPr>
        <w:t xml:space="preserve">cumulative from Feb 1, 2026</w:t>
      </w:r>
      <w:r>
        <w:t xml:space="preserve">, milestone achievement occurs late in most plausible paths.</w:t>
      </w:r>
    </w:p>
    <w:p>
      <w:pPr>
        <w:pStyle w:val="Compact"/>
        <w:numPr>
          <w:ilvl w:val="0"/>
          <w:numId w:val="1010"/>
        </w:numPr>
      </w:pPr>
      <w:r>
        <w:t xml:space="preserve">Tranche 1 (conditional on earning):</w:t>
      </w:r>
    </w:p>
    <w:p>
      <w:pPr>
        <w:pStyle w:val="Compact"/>
        <w:numPr>
          <w:ilvl w:val="0"/>
          <w:numId w:val="1010"/>
        </w:numPr>
      </w:pPr>
      <w:r>
        <w:t xml:space="preserve">Base: median</w:t>
      </w:r>
      <w:r>
        <w:t xml:space="preserve"> </w:t>
      </w:r>
      <w:r>
        <w:rPr>
          <w:b/>
          <w:bCs/>
        </w:rPr>
        <w:t xml:space="preserve">~8.0 years</w:t>
      </w:r>
    </w:p>
    <w:p>
      <w:pPr>
        <w:pStyle w:val="Compact"/>
        <w:numPr>
          <w:ilvl w:val="0"/>
          <w:numId w:val="1010"/>
        </w:numPr>
      </w:pPr>
      <w:r>
        <w:t xml:space="preserve">Optimistic: median</w:t>
      </w:r>
      <w:r>
        <w:t xml:space="preserve"> </w:t>
      </w:r>
      <w:r>
        <w:rPr>
          <w:b/>
          <w:bCs/>
        </w:rPr>
        <w:t xml:space="preserve">~5.5 years</w:t>
      </w:r>
    </w:p>
    <w:p>
      <w:pPr>
        <w:pStyle w:val="Compact"/>
        <w:numPr>
          <w:ilvl w:val="0"/>
          <w:numId w:val="1010"/>
        </w:numPr>
      </w:pPr>
      <w:r>
        <w:t xml:space="preserve">Conservative: median</w:t>
      </w:r>
      <w:r>
        <w:t xml:space="preserve"> </w:t>
      </w:r>
      <w:r>
        <w:rPr>
          <w:b/>
          <w:bCs/>
        </w:rPr>
        <w:t xml:space="preserve">~9.25 years</w:t>
      </w:r>
    </w:p>
    <w:p>
      <w:pPr>
        <w:pStyle w:val="FirstParagraph"/>
      </w:pPr>
      <w:r>
        <w:t xml:space="preserve">(These timings are consistent with the disclosed fact that recent Adjusted EBITDA levels are far below “billions” annualized, implying that reaching $2B cumulative takes years without a major EBITDA step‑change.)</w:t>
      </w:r>
      <w:r>
        <w:t xml:space="preserve"> </w:t>
      </w:r>
      <w:hyperlink r:id="rId34">
        <w:r>
          <w:rPr>
            <w:rStyle w:val="Hyperlink"/>
          </w:rPr>
          <w:t xml:space="preserve">[40]</w:t>
        </w:r>
      </w:hyperlink>
    </w:p>
    <w:bookmarkEnd w:id="51"/>
    <w:bookmarkStart w:id="52" w:name="sensitivity-and-top-drivers"/>
    <w:p>
      <w:pPr>
        <w:pStyle w:val="Heading3"/>
      </w:pPr>
      <w:r>
        <w:t xml:space="preserve">Sensitivity and top drivers</w:t>
      </w:r>
    </w:p>
    <w:p>
      <w:pPr>
        <w:pStyle w:val="FirstParagraph"/>
      </w:pPr>
      <w:r>
        <w:t xml:space="preserve">The probability of achieving Tranche 1 in the base case is most sensitive to:</w:t>
      </w:r>
    </w:p>
    <w:p>
      <w:pPr>
        <w:pStyle w:val="BodyText"/>
      </w:pPr>
      <w:r>
        <w:t xml:space="preserve">Tornado sensitivity: Tranche 1 probability</w:t>
      </w:r>
      <w:r>
        <w:br/>
      </w:r>
    </w:p>
    <w:p>
      <w:pPr>
        <w:pStyle w:val="BodyText"/>
      </w:pPr>
      <w:r>
        <w:t xml:space="preserve">Largest drivers (base‑case perturbation study ± around base parameters):</w:t>
      </w:r>
      <w:r>
        <w:t xml:space="preserve"> </w:t>
      </w:r>
      <w:r>
        <w:t xml:space="preserve">-</w:t>
      </w:r>
      <w:r>
        <w:t xml:space="preserve"> </w:t>
      </w:r>
      <w:r>
        <w:rPr>
          <w:b/>
          <w:bCs/>
        </w:rPr>
        <w:t xml:space="preserve">Legacy operating growth rate</w:t>
      </w:r>
      <w:r>
        <w:t xml:space="preserve"> </w:t>
      </w:r>
      <w:r>
        <w:t xml:space="preserve">(mean drift of quarterly EBITDA)</w:t>
      </w:r>
      <w:r>
        <w:t xml:space="preserve"> </w:t>
      </w:r>
      <w:r>
        <w:t xml:space="preserve">-</w:t>
      </w:r>
      <w:r>
        <w:t xml:space="preserve"> </w:t>
      </w:r>
      <w:r>
        <w:rPr>
          <w:b/>
          <w:bCs/>
        </w:rPr>
        <w:t xml:space="preserve">Acquisition execution intensity</w:t>
      </w:r>
      <w:r>
        <w:t xml:space="preserve"> </w:t>
      </w:r>
      <w:r>
        <w:t xml:space="preserve">(probability/scale of deals)</w:t>
      </w:r>
      <w:r>
        <w:t xml:space="preserve"> </w:t>
      </w:r>
      <w:r>
        <w:t xml:space="preserve">-</w:t>
      </w:r>
      <w:r>
        <w:t xml:space="preserve"> </w:t>
      </w:r>
      <w:r>
        <w:rPr>
          <w:b/>
          <w:bCs/>
        </w:rPr>
        <w:t xml:space="preserve">Platform multiple regime</w:t>
      </w:r>
      <w:r>
        <w:t xml:space="preserve"> </w:t>
      </w:r>
      <w:r>
        <w:t xml:space="preserve">(market’s EV/EBITDA multiple in “platform” states)</w:t>
      </w:r>
      <w:r>
        <w:t xml:space="preserve"> </w:t>
      </w:r>
      <w:r>
        <w:t xml:space="preserve">-</w:t>
      </w:r>
      <w:r>
        <w:t xml:space="preserve"> </w:t>
      </w:r>
      <w:r>
        <w:rPr>
          <w:b/>
          <w:bCs/>
        </w:rPr>
        <w:t xml:space="preserve">Baseline EBITDA level</w:t>
      </w:r>
      <w:r>
        <w:t xml:space="preserve"> </w:t>
      </w:r>
      <w:r>
        <w:t xml:space="preserve">(starting profitability)</w:t>
      </w:r>
    </w:p>
    <w:p>
      <w:pPr>
        <w:pStyle w:val="BodyText"/>
      </w:pPr>
      <w:r>
        <w:t xml:space="preserve">Notably, in this model the “squeeze/narrative shock” parameter has</w:t>
      </w:r>
      <w:r>
        <w:t xml:space="preserve"> </w:t>
      </w:r>
      <w:r>
        <w:rPr>
          <w:b/>
          <w:bCs/>
        </w:rPr>
        <w:t xml:space="preserve">little effect</w:t>
      </w:r>
      <w:r>
        <w:t xml:space="preserve"> </w:t>
      </w:r>
      <w:r>
        <w:t xml:space="preserve">on earning Tranche 1, because the EBITDA hurdle is binding; shocks help market cap, not cumulative operating profitability. This aligns with the award design as disclosed.</w:t>
      </w:r>
      <w:r>
        <w:t xml:space="preserve"> </w:t>
      </w:r>
      <w:hyperlink r:id="rId22">
        <w:r>
          <w:rPr>
            <w:rStyle w:val="Hyperlink"/>
          </w:rPr>
          <w:t xml:space="preserve">[41]</w:t>
        </w:r>
      </w:hyperlink>
    </w:p>
    <w:bookmarkEnd w:id="52"/>
    <w:bookmarkEnd w:id="53"/>
    <w:bookmarkStart w:id="60" w:name="Xa94da2e5e6f97cdd77d1247197a29c2a263fa35"/>
    <w:p>
      <w:pPr>
        <w:pStyle w:val="Heading2"/>
      </w:pPr>
      <w:r>
        <w:t xml:space="preserve">Assumptions, model specification, and reproducibility</w:t>
      </w:r>
    </w:p>
    <w:bookmarkStart w:id="55" w:name="X44bcb6519b8bc70d626c99baa1fda742cd7ba81"/>
    <w:p>
      <w:pPr>
        <w:pStyle w:val="Heading3"/>
      </w:pPr>
      <w:r>
        <w:t xml:space="preserve">Key modeling assumptions and distributions</w:t>
      </w:r>
    </w:p>
    <w:p>
      <w:pPr>
        <w:pStyle w:val="FirstParagraph"/>
      </w:pPr>
      <w:r>
        <w:t xml:space="preserve">This model is data‑anchored to SEC disclosures, but must estimate private‑company operating profiles. Where estimates are used, they are treated as distributions rather than point values.</w:t>
      </w:r>
    </w:p>
    <w:p>
      <w:pPr>
        <w:pStyle w:val="BodyText"/>
      </w:pPr>
      <w:r>
        <w:t xml:space="preserve">Capital structure anchoring (from SEC filings):</w:t>
      </w:r>
      <w:r>
        <w:t xml:space="preserve"> </w:t>
      </w:r>
      <w:r>
        <w:t xml:space="preserve">- Liquidity: $8.8296B cash + marketable securities (Nov 1, 2025)</w:t>
      </w:r>
      <w:r>
        <w:t xml:space="preserve"> </w:t>
      </w:r>
      <w:hyperlink r:id="rId24">
        <w:r>
          <w:rPr>
            <w:rStyle w:val="Hyperlink"/>
          </w:rPr>
          <w:t xml:space="preserve">[10]</w:t>
        </w:r>
      </w:hyperlink>
      <w:r>
        <w:br/>
      </w:r>
      <w:r>
        <w:t xml:space="preserve">- Shares outstanding: 448,009,480 (Dec 5, 2025)</w:t>
      </w:r>
      <w:r>
        <w:t xml:space="preserve"> </w:t>
      </w:r>
      <w:hyperlink r:id="rId24">
        <w:r>
          <w:rPr>
            <w:rStyle w:val="Hyperlink"/>
          </w:rPr>
          <w:t xml:space="preserve">[19]</w:t>
        </w:r>
      </w:hyperlink>
      <w:r>
        <w:br/>
      </w:r>
      <w:r>
        <w:t xml:space="preserve">- Convertibles: $1.5B due 2030 and $2.7B due 2032; conversion prices ~$29.85 and ~$28.91; put dates in 2028; redemption conditions 130%/20‑of‑30 days</w:t>
      </w:r>
      <w:r>
        <w:t xml:space="preserve"> </w:t>
      </w:r>
      <w:hyperlink r:id="rId24">
        <w:r>
          <w:rPr>
            <w:rStyle w:val="Hyperlink"/>
          </w:rPr>
          <w:t xml:space="preserve">[42]</w:t>
        </w:r>
      </w:hyperlink>
      <w:r>
        <w:br/>
      </w:r>
      <w:r>
        <w:t xml:space="preserve">- Warrants: 59,153,963 shares registrable; strike $32; expire Oct 30, 2026</w:t>
      </w:r>
      <w:r>
        <w:t xml:space="preserve"> </w:t>
      </w:r>
      <w:hyperlink r:id="rId24">
        <w:r>
          <w:rPr>
            <w:rStyle w:val="Hyperlink"/>
          </w:rPr>
          <w:t xml:space="preserve">[43]</w:t>
        </w:r>
      </w:hyperlink>
      <w:r>
        <w:br/>
      </w:r>
      <w:r>
        <w:t xml:space="preserve">- Award tranches: $20B–$100B market cap and $2B–$10B cumulative Performance EBITDA; cumulative starts Feb 1, 2026</w:t>
      </w:r>
      <w:r>
        <w:t xml:space="preserve"> </w:t>
      </w:r>
      <w:hyperlink r:id="rId23">
        <w:r>
          <w:rPr>
            <w:rStyle w:val="Hyperlink"/>
          </w:rPr>
          <w:t xml:space="preserve">[4]</w:t>
        </w:r>
      </w:hyperlink>
    </w:p>
    <w:p>
      <w:pPr>
        <w:pStyle w:val="BodyText"/>
      </w:pPr>
      <w:r>
        <w:t xml:space="preserve">Operating baseline anchoring (Company‑reported Adjusted EBITDA):</w:t>
      </w:r>
      <w:r>
        <w:t xml:space="preserve"> </w:t>
      </w:r>
      <w:r>
        <w:t xml:space="preserve">- Q1 FY2025 Adjusted EBITDA $38.6M</w:t>
      </w:r>
      <w:r>
        <w:t xml:space="preserve"> </w:t>
      </w:r>
      <w:hyperlink r:id="rId32">
        <w:r>
          <w:rPr>
            <w:rStyle w:val="Hyperlink"/>
          </w:rPr>
          <w:t xml:space="preserve">[22]</w:t>
        </w:r>
      </w:hyperlink>
      <w:r>
        <w:br/>
      </w:r>
      <w:r>
        <w:t xml:space="preserve">- Q2 FY2025 Adjusted EBITDA $75.7M</w:t>
      </w:r>
      <w:r>
        <w:t xml:space="preserve"> </w:t>
      </w:r>
      <w:hyperlink r:id="rId33">
        <w:r>
          <w:rPr>
            <w:rStyle w:val="Hyperlink"/>
          </w:rPr>
          <w:t xml:space="preserve">[23]</w:t>
        </w:r>
      </w:hyperlink>
      <w:r>
        <w:br/>
      </w:r>
      <w:r>
        <w:t xml:space="preserve">- Q3 FY2025 Adjusted EBITDA $64.4M</w:t>
      </w:r>
      <w:r>
        <w:t xml:space="preserve"> </w:t>
      </w:r>
      <w:hyperlink r:id="rId34">
        <w:r>
          <w:rPr>
            <w:rStyle w:val="Hyperlink"/>
          </w:rPr>
          <w:t xml:space="preserve">[24]</w:t>
        </w:r>
      </w:hyperlink>
    </w:p>
    <w:p>
      <w:pPr>
        <w:pStyle w:val="BodyText"/>
      </w:pPr>
      <w:r>
        <w:t xml:space="preserve">Acquisition valuation anchors (public reporting / press releases):</w:t>
      </w:r>
      <w:r>
        <w:t xml:space="preserve"> </w:t>
      </w:r>
      <w:r>
        <w:t xml:space="preserve">- Whatnot valuation ~$11.5B in Series F reporting (Oct 2025)</w:t>
      </w:r>
      <w:r>
        <w:t xml:space="preserve"> </w:t>
      </w:r>
      <w:hyperlink r:id="rId40">
        <w:r>
          <w:rPr>
            <w:rStyle w:val="Hyperlink"/>
          </w:rPr>
          <w:t xml:space="preserve">[29]</w:t>
        </w:r>
      </w:hyperlink>
      <w:r>
        <w:br/>
      </w:r>
      <w:r>
        <w:t xml:space="preserve">- Collectors valuation $4.3B in its $100M funding announcement (Mar 2022)</w:t>
      </w:r>
      <w:r>
        <w:t xml:space="preserve"> </w:t>
      </w:r>
      <w:hyperlink r:id="rId43">
        <w:r>
          <w:rPr>
            <w:rStyle w:val="Hyperlink"/>
          </w:rPr>
          <w:t xml:space="preserve">[34]</w:t>
        </w:r>
      </w:hyperlink>
      <w:r>
        <w:br/>
      </w:r>
      <w:r>
        <w:t xml:space="preserve">- MoonPay fundraising talks around ~$5B valuation (Dec 2025 reporting)</w:t>
      </w:r>
      <w:r>
        <w:t xml:space="preserve"> </w:t>
      </w:r>
      <w:hyperlink r:id="rId44">
        <w:r>
          <w:rPr>
            <w:rStyle w:val="Hyperlink"/>
          </w:rPr>
          <w:t xml:space="preserve">[36]</w:t>
        </w:r>
      </w:hyperlink>
      <w:r>
        <w:br/>
      </w:r>
      <w:r>
        <w:t xml:space="preserve">- Immutable raised $200M at $2.5B valuation (Mar 2022)</w:t>
      </w:r>
      <w:r>
        <w:t xml:space="preserve"> </w:t>
      </w:r>
      <w:hyperlink r:id="rId21">
        <w:r>
          <w:rPr>
            <w:rStyle w:val="Hyperlink"/>
          </w:rPr>
          <w:t xml:space="preserve">[38]</w:t>
        </w:r>
      </w:hyperlink>
      <w:r>
        <w:br/>
      </w:r>
      <w:r>
        <w:t xml:space="preserve">- Discord IPO filing reported; valuation expectations in the ~$5–$8B zone discussed by analysts/secondary market commentary</w:t>
      </w:r>
      <w:r>
        <w:t xml:space="preserve"> </w:t>
      </w:r>
      <w:hyperlink r:id="rId54">
        <w:r>
          <w:rPr>
            <w:rStyle w:val="Hyperlink"/>
          </w:rPr>
          <w:t xml:space="preserve">[44]</w:t>
        </w:r>
      </w:hyperlink>
    </w:p>
    <w:p>
      <w:pPr>
        <w:pStyle w:val="BodyText"/>
      </w:pPr>
      <w:r>
        <w:t xml:space="preserve">The simulation also references user-supplied conceptual material for framing (not as primary evidence). fileciteturn0file0</w:t>
      </w:r>
    </w:p>
    <w:bookmarkEnd w:id="55"/>
    <w:bookmarkStart w:id="56" w:name="core-formulas"/>
    <w:p>
      <w:pPr>
        <w:pStyle w:val="Heading3"/>
      </w:pPr>
      <w:r>
        <w:t xml:space="preserve">Core formulas</w:t>
      </w:r>
    </w:p>
    <w:p>
      <w:pPr>
        <w:pStyle w:val="FirstParagraph"/>
      </w:pPr>
      <w:r>
        <w:t xml:space="preserve">Definitions (per award agreement):</w:t>
      </w:r>
      <w:r>
        <w:t xml:space="preserve"> </w:t>
      </w:r>
      <w:r>
        <w:t xml:space="preserve">-</w:t>
      </w:r>
      <w:r>
        <w:t xml:space="preserve"> </w:t>
      </w:r>
      <m:oMath>
        <m:sSub>
          <m:e>
            <m:r>
              <m:rPr>
                <m:nor/>
                <m:sty m:val="p"/>
              </m:rPr>
              <m:t>MarketCap</m:t>
            </m:r>
          </m:e>
          <m:sub>
            <m:r>
              <m:t>60</m:t>
            </m:r>
          </m:sub>
        </m:sSub>
        <m:d>
          <m:dPr>
            <m:begChr m:val="("/>
            <m:sepChr m:val=""/>
            <m:endChr m:val=")"/>
            <m:grow/>
          </m:dPr>
          <m:e>
            <m:r>
              <m:t>t</m:t>
            </m:r>
          </m:e>
        </m:d>
        <m:r>
          <m:rPr>
            <m:sty m:val="p"/>
          </m:rPr>
          <m:t>=</m:t>
        </m:r>
        <m:f>
          <m:fPr>
            <m:type m:val="bar"/>
          </m:fPr>
          <m:num>
            <m:r>
              <m:t>1</m:t>
            </m:r>
          </m:num>
          <m:den>
            <m:r>
              <m:t>60</m:t>
            </m:r>
          </m:den>
        </m:f>
        <m:nary>
          <m:naryPr>
            <m:chr m:val="∑"/>
            <m:limLoc m:val="undOvr"/>
            <m:subHide m:val="off"/>
            <m:supHide m:val="off"/>
          </m:naryPr>
          <m:sub>
            <m:r>
              <m:t>d</m:t>
            </m:r>
            <m:r>
              <m:rPr>
                <m:sty m:val="p"/>
              </m:rPr>
              <m:t>=</m:t>
            </m:r>
            <m:r>
              <m:t>t</m:t>
            </m:r>
            <m:r>
              <m:rPr>
                <m:sty m:val="p"/>
              </m:rPr>
              <m:t>−</m:t>
            </m:r>
            <m:r>
              <m:t>59</m:t>
            </m:r>
          </m:sub>
          <m:sup>
            <m:r>
              <m:t>t</m:t>
            </m:r>
          </m:sup>
          <m:e>
            <m:d>
              <m:dPr>
                <m:begChr m:val="("/>
                <m:sepChr m:val=""/>
                <m:endChr m:val=")"/>
                <m:grow/>
              </m:dPr>
              <m:e>
                <m:sSub>
                  <m:e>
                    <m:r>
                      <m:rPr>
                        <m:nor/>
                        <m:sty m:val="p"/>
                      </m:rPr>
                      <m:t>Close</m:t>
                    </m:r>
                  </m:e>
                  <m:sub>
                    <m:r>
                      <m:t>d</m:t>
                    </m:r>
                  </m:sub>
                </m:sSub>
                <m:r>
                  <m:rPr>
                    <m:sty m:val="p"/>
                  </m:rPr>
                  <m:t>×</m:t>
                </m:r>
                <m:sSub>
                  <m:e>
                    <m:r>
                      <m:rPr>
                        <m:nor/>
                        <m:sty m:val="p"/>
                      </m:rPr>
                      <m:t>SharesOut</m:t>
                    </m:r>
                  </m:e>
                  <m:sub>
                    <m:r>
                      <m:t>d</m:t>
                    </m:r>
                  </m:sub>
                </m:sSub>
              </m:e>
            </m:d>
          </m:e>
        </m:nary>
      </m:oMath>
      <w:r>
        <w:t xml:space="preserve"> </w:t>
      </w:r>
      <w:hyperlink r:id="rId22">
        <w:r>
          <w:rPr>
            <w:rStyle w:val="Hyperlink"/>
          </w:rPr>
          <w:t xml:space="preserve">[21]</w:t>
        </w:r>
      </w:hyperlink>
      <w:r>
        <w:br/>
      </w:r>
      <w:r>
        <w:t xml:space="preserve">-</w:t>
      </w:r>
      <w:r>
        <w:t xml:space="preserve"> </w:t>
      </w:r>
      <m:oMath>
        <m:r>
          <m:rPr>
            <m:nor/>
            <m:sty m:val="p"/>
          </m:rPr>
          <m:t>CumEBITDA</m:t>
        </m:r>
        <m:d>
          <m:dPr>
            <m:begChr m:val="("/>
            <m:sepChr m:val=""/>
            <m:endChr m:val=")"/>
            <m:grow/>
          </m:dPr>
          <m:e>
            <m:r>
              <m:t>T</m:t>
            </m:r>
          </m:e>
        </m:d>
        <m:r>
          <m:rPr>
            <m:sty m:val="p"/>
          </m:rPr>
          <m:t>=</m:t>
        </m:r>
        <m:nary>
          <m:naryPr>
            <m:chr m:val="∑"/>
            <m:limLoc m:val="undOvr"/>
            <m:subHide m:val="off"/>
            <m:supHide m:val="off"/>
          </m:naryPr>
          <m:sub>
            <m:r>
              <m:t>q</m:t>
            </m:r>
            <m:r>
              <m:rPr>
                <m:sty m:val="p"/>
              </m:rPr>
              <m:t>=</m:t>
            </m:r>
            <m:r>
              <m:rPr>
                <m:nor/>
                <m:sty m:val="p"/>
              </m:rPr>
              <m:t>Q1 FY2026</m:t>
            </m:r>
          </m:sub>
          <m:sup>
            <m:r>
              <m:t>T</m:t>
            </m:r>
          </m:sup>
          <m:e>
            <m:sSub>
              <m:e>
                <m:r>
                  <m:rPr>
                    <m:nor/>
                    <m:sty m:val="p"/>
                  </m:rPr>
                  <m:t>PerfEBITDA</m:t>
                </m:r>
              </m:e>
              <m:sub>
                <m:r>
                  <m:t>q</m:t>
                </m:r>
              </m:sub>
            </m:sSub>
          </m:e>
        </m:nary>
      </m:oMath>
      <w:r>
        <w:t xml:space="preserve"> </w:t>
      </w:r>
      <w:hyperlink r:id="rId22">
        <w:r>
          <w:rPr>
            <w:rStyle w:val="Hyperlink"/>
          </w:rPr>
          <w:t xml:space="preserve">[5]</w:t>
        </w:r>
      </w:hyperlink>
    </w:p>
    <w:p>
      <w:pPr>
        <w:pStyle w:val="BodyText"/>
      </w:pPr>
      <w:r>
        <w:t xml:space="preserve">Value model used in simulation (stylized):</w:t>
      </w:r>
      <w:r>
        <w:t xml:space="preserve"> </w:t>
      </w:r>
      <w:r>
        <w:t xml:space="preserve">-</w:t>
      </w:r>
      <w:r>
        <w:t xml:space="preserve"> </w:t>
      </w:r>
      <m:oMath>
        <m:sSub>
          <m:e>
            <m:r>
              <m:rPr>
                <m:nor/>
                <m:sty m:val="p"/>
              </m:rPr>
              <m:t>EV</m:t>
            </m:r>
          </m:e>
          <m:sub>
            <m:r>
              <m:t>q</m:t>
            </m:r>
          </m:sub>
        </m:sSub>
        <m:r>
          <m:rPr>
            <m:sty m:val="p"/>
          </m:rPr>
          <m:t>=</m:t>
        </m:r>
        <m:sSub>
          <m:e>
            <m:r>
              <m:t>M</m:t>
            </m:r>
          </m:e>
          <m:sub>
            <m:r>
              <m:t>q</m:t>
            </m:r>
          </m:sub>
        </m:sSub>
        <m:r>
          <m:rPr>
            <m:sty m:val="p"/>
          </m:rPr>
          <m:t>⋅</m:t>
        </m:r>
        <m:r>
          <m:rPr>
            <m:sty m:val="p"/>
          </m:rPr>
          <m:t>max</m:t>
        </m:r>
        <m:d>
          <m:dPr>
            <m:begChr m:val="("/>
            <m:sepChr m:val=""/>
            <m:endChr m:val=")"/>
            <m:grow/>
          </m:dPr>
          <m:e>
            <m:r>
              <m:t>0</m:t>
            </m:r>
            <m:r>
              <m:rPr>
                <m:sty m:val="p"/>
              </m:rPr>
              <m:t>,</m:t>
            </m:r>
            <m:sSub>
              <m:e>
                <m:r>
                  <m:rPr>
                    <m:nor/>
                    <m:sty m:val="p"/>
                  </m:rPr>
                  <m:t>EBITDA</m:t>
                </m:r>
              </m:e>
              <m:sub>
                <m:r>
                  <m:t>T</m:t>
                </m:r>
                <m:r>
                  <m:t>T</m:t>
                </m:r>
                <m:r>
                  <m:t>M</m:t>
                </m:r>
                <m:r>
                  <m:rPr>
                    <m:sty m:val="p"/>
                  </m:rPr>
                  <m:t>,</m:t>
                </m:r>
                <m:r>
                  <m:t>q</m:t>
                </m:r>
              </m:sub>
            </m:sSub>
          </m:e>
        </m:d>
      </m:oMath>
      <w:r>
        <w:t xml:space="preserve"> </w:t>
      </w:r>
      <w:r>
        <w:t xml:space="preserve">-</w:t>
      </w:r>
      <w:r>
        <w:t xml:space="preserve"> </w:t>
      </w:r>
      <m:oMath>
        <m:sSub>
          <m:e>
            <m:r>
              <m:rPr>
                <m:nor/>
                <m:sty m:val="p"/>
              </m:rPr>
              <m:t>EquityValue</m:t>
            </m:r>
          </m:e>
          <m:sub>
            <m:r>
              <m:t>q</m:t>
            </m:r>
          </m:sub>
        </m:sSub>
        <m:r>
          <m:rPr>
            <m:sty m:val="p"/>
          </m:rPr>
          <m:t>=</m:t>
        </m:r>
        <m:sSub>
          <m:e>
            <m:r>
              <m:rPr>
                <m:nor/>
                <m:sty m:val="p"/>
              </m:rPr>
              <m:t>EV</m:t>
            </m:r>
          </m:e>
          <m:sub>
            <m:r>
              <m:t>q</m:t>
            </m:r>
          </m:sub>
        </m:sSub>
        <m:r>
          <m:rPr>
            <m:sty m:val="p"/>
          </m:rPr>
          <m:t>+</m:t>
        </m:r>
        <m:sSub>
          <m:e>
            <m:r>
              <m:rPr>
                <m:nor/>
                <m:sty m:val="p"/>
              </m:rPr>
              <m:t>Cash</m:t>
            </m:r>
          </m:e>
          <m:sub>
            <m:r>
              <m:t>q</m:t>
            </m:r>
          </m:sub>
        </m:sSub>
        <m:r>
          <m:rPr>
            <m:sty m:val="p"/>
          </m:rPr>
          <m:t>−</m:t>
        </m:r>
        <m:sSub>
          <m:e>
            <m:r>
              <m:rPr>
                <m:nor/>
                <m:sty m:val="p"/>
              </m:rPr>
              <m:t>Debt</m:t>
            </m:r>
          </m:e>
          <m:sub>
            <m:r>
              <m:t>q</m:t>
            </m:r>
          </m:sub>
        </m:sSub>
      </m:oMath>
      <w:r>
        <w:t xml:space="preserve"> </w:t>
      </w:r>
      <w:r>
        <w:t xml:space="preserve">-</w:t>
      </w:r>
      <w:r>
        <w:t xml:space="preserve"> </w:t>
      </w:r>
      <m:oMath>
        <m:sSub>
          <m:e>
            <m:r>
              <m:rPr>
                <m:nor/>
                <m:sty m:val="p"/>
              </m:rPr>
              <m:t>Price</m:t>
            </m:r>
          </m:e>
          <m:sub>
            <m:r>
              <m:t>q</m:t>
            </m:r>
          </m:sub>
        </m:sSub>
        <m:r>
          <m:rPr>
            <m:sty m:val="p"/>
          </m:rPr>
          <m:t>=</m:t>
        </m:r>
        <m:r>
          <m:t>1000</m:t>
        </m:r>
        <m:r>
          <m:rPr>
            <m:sty m:val="p"/>
          </m:rPr>
          <m:t>⋅</m:t>
        </m:r>
        <m:sSub>
          <m:e>
            <m:r>
              <m:rPr>
                <m:nor/>
                <m:sty m:val="p"/>
              </m:rPr>
              <m:t>EquityValue</m:t>
            </m:r>
          </m:e>
          <m:sub>
            <m:r>
              <m:t>q</m:t>
            </m:r>
          </m:sub>
        </m:sSub>
        <m:r>
          <m:rPr>
            <m:sty m:val="p"/>
          </m:rPr>
          <m:t>/</m:t>
        </m:r>
        <m:sSub>
          <m:e>
            <m:r>
              <m:rPr>
                <m:nor/>
                <m:sty m:val="p"/>
              </m:rPr>
              <m:t>SharesOut</m:t>
            </m:r>
          </m:e>
          <m:sub>
            <m:r>
              <m:t>q</m:t>
            </m:r>
          </m:sub>
        </m:sSub>
      </m:oMath>
      <w:r>
        <w:t xml:space="preserve"> </w:t>
      </w:r>
      <w:r>
        <w:t xml:space="preserve">(since EV and EquityValue are in $B; SharesOut in millions)</w:t>
      </w:r>
    </w:p>
    <w:p>
      <w:pPr>
        <w:pStyle w:val="BodyText"/>
      </w:pPr>
      <w:r>
        <w:t xml:space="preserve">Capital actions:</w:t>
      </w:r>
      <w:r>
        <w:t xml:space="preserve"> </w:t>
      </w:r>
      <w:r>
        <w:t xml:space="preserve">- Warrant proceeds if exercised:</w:t>
      </w:r>
      <w:r>
        <w:t xml:space="preserve"> </w:t>
      </w:r>
      <m:oMath>
        <m:r>
          <m:t>Δ</m:t>
        </m:r>
        <m:r>
          <m:rPr>
            <m:nor/>
            <m:sty m:val="p"/>
          </m:rPr>
          <m:t>Cash</m:t>
        </m:r>
        <m:r>
          <m:rPr>
            <m:sty m:val="p"/>
          </m:rPr>
          <m:t>=</m:t>
        </m:r>
        <m:r>
          <m:t>32</m:t>
        </m:r>
        <m:r>
          <m:rPr>
            <m:sty m:val="p"/>
          </m:rPr>
          <m:t>⋅</m:t>
        </m:r>
        <m:r>
          <m:t>Δ</m:t>
        </m:r>
        <m:r>
          <m:rPr>
            <m:nor/>
            <m:sty m:val="p"/>
          </m:rPr>
          <m:t>Shares</m:t>
        </m:r>
      </m:oMath>
      <w:r>
        <w:t xml:space="preserve"> </w:t>
      </w:r>
      <w:r>
        <w:t xml:space="preserve">(in $)</w:t>
      </w:r>
      <w:r>
        <w:t xml:space="preserve"> </w:t>
      </w:r>
      <w:hyperlink r:id="rId24">
        <w:r>
          <w:rPr>
            <w:rStyle w:val="Hyperlink"/>
          </w:rPr>
          <w:t xml:space="preserve">[16]</w:t>
        </w:r>
      </w:hyperlink>
      <w:r>
        <w:br/>
      </w:r>
      <w:r>
        <w:t xml:space="preserve">- Convertible share issuance if share‑settled:</w:t>
      </w:r>
      <w:r>
        <w:t xml:space="preserve"> </w:t>
      </w:r>
      <m:oMath>
        <m:r>
          <m:t>Δ</m:t>
        </m:r>
        <m:r>
          <m:rPr>
            <m:nor/>
            <m:sty m:val="p"/>
          </m:rPr>
          <m:t>Shares</m:t>
        </m:r>
        <m:r>
          <m:rPr>
            <m:sty m:val="p"/>
          </m:rPr>
          <m:t>=</m:t>
        </m:r>
        <m:r>
          <m:rPr>
            <m:nor/>
            <m:sty m:val="p"/>
          </m:rPr>
          <m:t>PrincipalConverted</m:t>
        </m:r>
        <m:r>
          <m:rPr>
            <m:sty m:val="p"/>
          </m:rPr>
          <m:t>×</m:t>
        </m:r>
        <m:r>
          <m:rPr>
            <m:nor/>
            <m:sty m:val="p"/>
          </m:rPr>
          <m:t>ConversionRate</m:t>
        </m:r>
      </m:oMath>
      <w:r>
        <w:t xml:space="preserve"> </w:t>
      </w:r>
      <w:hyperlink r:id="rId24">
        <w:r>
          <w:rPr>
            <w:rStyle w:val="Hyperlink"/>
          </w:rPr>
          <w:t xml:space="preserve">[42]</w:t>
        </w:r>
      </w:hyperlink>
    </w:p>
    <w:bookmarkEnd w:id="56"/>
    <w:bookmarkStart w:id="57" w:name="pseudocode"/>
    <w:p>
      <w:pPr>
        <w:pStyle w:val="Heading3"/>
      </w:pPr>
      <w:r>
        <w:t xml:space="preserve">Pseudocode</w:t>
      </w:r>
    </w:p>
    <w:p>
      <w:pPr>
        <w:pStyle w:val="SourceCode"/>
      </w:pPr>
      <w:r>
        <w:rPr>
          <w:rStyle w:val="VerbatimChar"/>
        </w:rPr>
        <w:t xml:space="preserve">for simulation i in 1..N:</w:t>
      </w:r>
      <w:r>
        <w:br/>
      </w:r>
      <w:r>
        <w:rPr>
          <w:rStyle w:val="VerbatimChar"/>
        </w:rPr>
        <w:t xml:space="preserve">  initialize cash, shares, debt, warrants from 10-Q</w:t>
      </w:r>
      <w:r>
        <w:br/>
      </w:r>
      <w:r>
        <w:rPr>
          <w:rStyle w:val="VerbatimChar"/>
        </w:rPr>
        <w:t xml:space="preserve">  draw legacy EBITDA drift &amp; volatility</w:t>
      </w:r>
      <w:r>
        <w:br/>
      </w:r>
      <w:r>
        <w:rPr>
          <w:rStyle w:val="VerbatimChar"/>
        </w:rPr>
        <w:t xml:space="preserve">  draw acquisition set (cost, rev, margin, growth, synergy, integration probability)</w:t>
      </w:r>
      <w:r>
        <w:br/>
      </w:r>
      <w:r>
        <w:rPr>
          <w:rStyle w:val="VerbatimChar"/>
        </w:rPr>
        <w:t xml:space="preserve">  for quarter q in 1..40:</w:t>
      </w:r>
      <w:r>
        <w:br/>
      </w:r>
      <w:r>
        <w:rPr>
          <w:rStyle w:val="VerbatimChar"/>
        </w:rPr>
        <w:t xml:space="preserve">    if an acquisition closes in q:</w:t>
      </w:r>
      <w:r>
        <w:br/>
      </w:r>
      <w:r>
        <w:rPr>
          <w:rStyle w:val="VerbatimChar"/>
        </w:rPr>
        <w:t xml:space="preserve">       pay consideration using cash + stock (subject to liquidity buffer)</w:t>
      </w:r>
      <w:r>
        <w:br/>
      </w:r>
      <w:r>
        <w:rPr>
          <w:rStyle w:val="VerbatimChar"/>
        </w:rPr>
        <w:t xml:space="preserve">       add acquisition EBITDA path (with synergy ramp + integration cost)</w:t>
      </w:r>
      <w:r>
        <w:br/>
      </w:r>
      <w:r>
        <w:rPr>
          <w:rStyle w:val="VerbatimChar"/>
        </w:rPr>
        <w:t xml:space="preserve">    EBITDA_q = legacy_EBITDA_q + acquisition_EBITDA_q</w:t>
      </w:r>
      <w:r>
        <w:br/>
      </w:r>
      <w:r>
        <w:rPr>
          <w:rStyle w:val="VerbatimChar"/>
        </w:rPr>
        <w:t xml:space="preserve">    CumEBITDA += EBITDA_q; MaxCumEBITDA = max(MaxCumEBITDA, CumEBITDA)</w:t>
      </w:r>
      <w:r>
        <w:br/>
      </w:r>
      <w:r>
        <w:rPr>
          <w:rStyle w:val="VerbatimChar"/>
        </w:rPr>
        <w:t xml:space="preserve">    EBITDA_TTM = sum(last 4 quarters)</w:t>
      </w:r>
      <w:r>
        <w:br/>
      </w:r>
      <w:r>
        <w:rPr>
          <w:rStyle w:val="VerbatimChar"/>
        </w:rPr>
        <w:t xml:space="preserve">    choose EV multiple regime based on “platform share” + stochastic shock</w:t>
      </w:r>
      <w:r>
        <w:br/>
      </w:r>
      <w:r>
        <w:rPr>
          <w:rStyle w:val="VerbatimChar"/>
        </w:rPr>
        <w:t xml:space="preserve">    MarketCap_q = max(0, multiple * max(0, EBITDA_TTM) + cash - debt)</w:t>
      </w:r>
      <w:r>
        <w:br/>
      </w:r>
      <w:r>
        <w:rPr>
          <w:rStyle w:val="VerbatimChar"/>
        </w:rPr>
        <w:t xml:space="preserve">    Price_q = MarketCap_q / shares</w:t>
      </w:r>
      <w:r>
        <w:br/>
      </w:r>
      <w:r>
        <w:rPr>
          <w:rStyle w:val="VerbatimChar"/>
        </w:rPr>
        <w:t xml:space="preserve">    process warrant exercise (if q &lt;= Oct-2026 window and Price_q &gt; 32)</w:t>
      </w:r>
      <w:r>
        <w:br/>
      </w:r>
      <w:r>
        <w:rPr>
          <w:rStyle w:val="VerbatimChar"/>
        </w:rPr>
        <w:t xml:space="preserve">    process convert puts (Apr-2028, Dec-2028) and conversions (if Price_q high)</w:t>
      </w:r>
      <w:r>
        <w:br/>
      </w:r>
      <w:r>
        <w:rPr>
          <w:rStyle w:val="VerbatimChar"/>
        </w:rPr>
        <w:t xml:space="preserve">    update cash with treasury yield + EBITDA-to-FCF conversion</w:t>
      </w:r>
      <w:r>
        <w:br/>
      </w:r>
      <w:r>
        <w:rPr>
          <w:rStyle w:val="VerbatimChar"/>
        </w:rPr>
        <w:t xml:space="preserve">    update tranche flags based on (60-day avg MarketCap, MaxCumEBITDA)</w:t>
      </w:r>
      <w:r>
        <w:br/>
      </w:r>
      <w:r>
        <w:rPr>
          <w:rStyle w:val="VerbatimChar"/>
        </w:rPr>
        <w:t xml:space="preserve">  record: tranche achievements, time-to-tranche, final shares/cash/debt/EV/MarketCap</w:t>
      </w:r>
    </w:p>
    <w:bookmarkEnd w:id="57"/>
    <w:bookmarkStart w:id="58" w:name="csv-ready-outputs-and-artifacts"/>
    <w:p>
      <w:pPr>
        <w:pStyle w:val="Heading3"/>
      </w:pPr>
      <w:r>
        <w:t xml:space="preserve">CSV-ready outputs and artifacts</w:t>
      </w:r>
    </w:p>
    <w:p>
      <w:pPr>
        <w:pStyle w:val="FirstParagraph"/>
      </w:pPr>
      <w:r>
        <w:t xml:space="preserve">The following files were generated from the simulation and tables:</w:t>
      </w:r>
    </w:p>
    <w:p>
      <w:pPr>
        <w:pStyle w:val="SourceCode"/>
      </w:pPr>
      <w:r>
        <w:rPr>
          <w:rStyle w:val="VerbatimChar"/>
        </w:rPr>
        <w:t xml:space="preserve">Charts:</w:t>
      </w:r>
      <w:r>
        <w:br/>
      </w:r>
      <w:r>
        <w:rPr>
          <w:rStyle w:val="VerbatimChar"/>
        </w:rPr>
        <w:t xml:space="preserve">- sandbox:/mnt/data/hist_cum_ebitda.png</w:t>
      </w:r>
      <w:r>
        <w:br/>
      </w:r>
      <w:r>
        <w:rPr>
          <w:rStyle w:val="VerbatimChar"/>
        </w:rPr>
        <w:t xml:space="preserve">- sandbox:/mnt/data/cdf_final_marketcap.png</w:t>
      </w:r>
      <w:r>
        <w:br/>
      </w:r>
      <w:r>
        <w:rPr>
          <w:rStyle w:val="VerbatimChar"/>
        </w:rPr>
        <w:t xml:space="preserve">- sandbox:/mnt/data/hist_time_tranche1.png</w:t>
      </w:r>
      <w:r>
        <w:br/>
      </w:r>
      <w:r>
        <w:rPr>
          <w:rStyle w:val="VerbatimChar"/>
        </w:rPr>
        <w:t xml:space="preserve">- sandbox:/mnt/data/hist_final_shares.png</w:t>
      </w:r>
      <w:r>
        <w:br/>
      </w:r>
      <w:r>
        <w:rPr>
          <w:rStyle w:val="VerbatimChar"/>
        </w:rPr>
        <w:t xml:space="preserve">- sandbox:/mnt/data/cdf_cash_per_share.png</w:t>
      </w:r>
      <w:r>
        <w:br/>
      </w:r>
      <w:r>
        <w:rPr>
          <w:rStyle w:val="VerbatimChar"/>
        </w:rPr>
        <w:t xml:space="preserve">- sandbox:/mnt/data/tornado_tranche1.png</w:t>
      </w:r>
      <w:r>
        <w:br/>
      </w:r>
      <w:r>
        <w:br/>
      </w:r>
      <w:r>
        <w:rPr>
          <w:rStyle w:val="VerbatimChar"/>
        </w:rPr>
        <w:t xml:space="preserve">CSV tables:</w:t>
      </w:r>
      <w:r>
        <w:br/>
      </w:r>
      <w:r>
        <w:rPr>
          <w:rStyle w:val="VerbatimChar"/>
        </w:rPr>
        <w:t xml:space="preserve">- sandbox:/mnt/data/tranche_probabilities.csv</w:t>
      </w:r>
      <w:r>
        <w:br/>
      </w:r>
      <w:r>
        <w:rPr>
          <w:rStyle w:val="VerbatimChar"/>
        </w:rPr>
        <w:t xml:space="preserve">- sandbox:/mnt/data/scenario_summary.csv</w:t>
      </w:r>
      <w:r>
        <w:br/>
      </w:r>
      <w:r>
        <w:rPr>
          <w:rStyle w:val="VerbatimChar"/>
        </w:rPr>
        <w:t xml:space="preserve">- sandbox:/mnt/data/time_to_milestones.csv</w:t>
      </w:r>
      <w:r>
        <w:br/>
      </w:r>
      <w:r>
        <w:rPr>
          <w:rStyle w:val="VerbatimChar"/>
        </w:rPr>
        <w:t xml:space="preserve">- sandbox:/mnt/data/sensitivity_tornado.csv</w:t>
      </w:r>
      <w:r>
        <w:br/>
      </w:r>
      <w:r>
        <w:rPr>
          <w:rStyle w:val="VerbatimChar"/>
        </w:rPr>
        <w:t xml:space="preserve">- sandbox:/mnt/data/acquisition_candidates.csv</w:t>
      </w:r>
    </w:p>
    <w:bookmarkEnd w:id="58"/>
    <w:bookmarkStart w:id="59" w:name="X37a15fd1e515a4b68c45c9752775faa7261cf14"/>
    <w:p>
      <w:pPr>
        <w:pStyle w:val="Heading3"/>
      </w:pPr>
      <w:r>
        <w:t xml:space="preserve">Limitations and what would most improve confidence</w:t>
      </w:r>
    </w:p>
    <w:p>
      <w:pPr>
        <w:pStyle w:val="Compact"/>
        <w:numPr>
          <w:ilvl w:val="0"/>
          <w:numId w:val="1011"/>
        </w:numPr>
      </w:pPr>
      <w:r>
        <w:t xml:space="preserve">Private-target financials are not fully disclosed; improving this model requires either audited target financials or more reliable operating metrics (e.g., revenue, gross margin, EBITDA) than press valuation anchors.</w:t>
      </w:r>
    </w:p>
    <w:p>
      <w:pPr>
        <w:pStyle w:val="Compact"/>
        <w:numPr>
          <w:ilvl w:val="0"/>
          <w:numId w:val="1011"/>
        </w:numPr>
      </w:pPr>
      <w:r>
        <w:t xml:space="preserve">The market-cap process is stylized as an EV/EBITDA multiple regime; real-world equity pricing will incorporate forward expectations, optionality, and microstructure.</w:t>
      </w:r>
    </w:p>
    <w:p>
      <w:pPr>
        <w:pStyle w:val="Compact"/>
        <w:numPr>
          <w:ilvl w:val="0"/>
          <w:numId w:val="1011"/>
        </w:numPr>
      </w:pPr>
      <w:r>
        <w:t xml:space="preserve">The award uses a</w:t>
      </w:r>
      <w:r>
        <w:t xml:space="preserve"> </w:t>
      </w:r>
      <w:r>
        <w:rPr>
          <w:b/>
          <w:bCs/>
        </w:rPr>
        <w:t xml:space="preserve">60‑trading‑day</w:t>
      </w:r>
      <w:r>
        <w:t xml:space="preserve"> </w:t>
      </w:r>
      <w:r>
        <w:t xml:space="preserve">market cap; the model approximates this at quarterly granularity.</w:t>
      </w:r>
      <w:r>
        <w:t xml:space="preserve"> </w:t>
      </w:r>
      <w:hyperlink r:id="rId22">
        <w:r>
          <w:rPr>
            <w:rStyle w:val="Hyperlink"/>
          </w:rPr>
          <w:t xml:space="preserve">[21]</w:t>
        </w:r>
      </w:hyperlink>
    </w:p>
    <w:p>
      <w:pPr>
        <w:pStyle w:val="Compact"/>
        <w:numPr>
          <w:ilvl w:val="0"/>
          <w:numId w:val="1011"/>
        </w:numPr>
      </w:pPr>
      <w:r>
        <w:t xml:space="preserve">The biggest real-world driver remains execution: converting a retailer into a platform business is uncommon, and M&amp;A integration risk is material even when capital is available.</w:t>
      </w:r>
    </w:p>
    <w:bookmarkEnd w:id="59"/>
    <w:bookmarkEnd w:id="60"/>
    <w:bookmarkEnd w:id="61"/>
    <w:bookmarkEnd w:id="6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1">
        <w:r>
          <w:rPr>
            <w:rStyle w:val="Hyperlink"/>
          </w:rPr>
          <w:t xml:space="preserve">[38]</w:t>
        </w:r>
      </w:hyperlink>
      <w:r>
        <w:t xml:space="preserve"> </w:t>
      </w:r>
      <w:r>
        <w:t xml:space="preserve">https://www.coindesk.com/business/2022/03/07/nft-platform-immutable-raises-200m-at-a-25b-valuation</w:t>
      </w:r>
    </w:p>
    <w:p>
      <w:pPr>
        <w:pStyle w:val="BodyText"/>
      </w:pPr>
      <w:hyperlink r:id="rId21">
        <w:r>
          <w:rPr>
            <w:rStyle w:val="Hyperlink"/>
          </w:rPr>
          <w:t xml:space="preserve">https://www.coindesk.com/business/2022/03/07/nft-platform-immutable-raises-200m-at-a-25b-valuation</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[21]</w:t>
        </w:r>
      </w:hyperlink>
      <w:r>
        <w:t xml:space="preserve"> </w:t>
      </w:r>
      <w:hyperlink r:id="rId22">
        <w:r>
          <w:rPr>
            <w:rStyle w:val="Hyperlink"/>
          </w:rPr>
          <w:t xml:space="preserve">[28]</w:t>
        </w:r>
      </w:hyperlink>
      <w:r>
        <w:t xml:space="preserve"> </w:t>
      </w:r>
      <w:hyperlink r:id="rId22">
        <w:r>
          <w:rPr>
            <w:rStyle w:val="Hyperlink"/>
          </w:rPr>
          <w:t xml:space="preserve">[31]</w:t>
        </w:r>
      </w:hyperlink>
      <w:r>
        <w:t xml:space="preserve"> </w:t>
      </w:r>
      <w:hyperlink r:id="rId22">
        <w:r>
          <w:rPr>
            <w:rStyle w:val="Hyperlink"/>
          </w:rPr>
          <w:t xml:space="preserve">[37]</w:t>
        </w:r>
      </w:hyperlink>
      <w:r>
        <w:t xml:space="preserve"> </w:t>
      </w:r>
      <w:hyperlink r:id="rId22">
        <w:r>
          <w:rPr>
            <w:rStyle w:val="Hyperlink"/>
          </w:rPr>
          <w:t xml:space="preserve">[41]</w:t>
        </w:r>
      </w:hyperlink>
      <w:r>
        <w:t xml:space="preserve"> </w:t>
      </w:r>
      <w:r>
        <w:t xml:space="preserve">https://www.sec.gov/Archives/edgar/data/1326380/000132638026000007/ceooptionawardagreement.htm</w:t>
      </w:r>
    </w:p>
    <w:p>
      <w:pPr>
        <w:pStyle w:val="BodyText"/>
      </w:pPr>
      <w:hyperlink r:id="rId22">
        <w:r>
          <w:rPr>
            <w:rStyle w:val="Hyperlink"/>
          </w:rPr>
          <w:t xml:space="preserve">https://www.sec.gov/Archives/edgar/data/1326380/000132638026000007/ceooptionawardagreement.htm</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[14]</w:t>
        </w:r>
      </w:hyperlink>
      <w:r>
        <w:t xml:space="preserve"> </w:t>
      </w:r>
      <w:hyperlink r:id="rId23">
        <w:r>
          <w:rPr>
            <w:rStyle w:val="Hyperlink"/>
          </w:rPr>
          <w:t xml:space="preserve">[20]</w:t>
        </w:r>
      </w:hyperlink>
      <w:r>
        <w:t xml:space="preserve"> </w:t>
      </w:r>
      <w:r>
        <w:t xml:space="preserve">https://www.sec.gov/Archives/edgar/data/1326380/000132638026000004/pressrelease-rclti.htm</w:t>
      </w:r>
    </w:p>
    <w:p>
      <w:pPr>
        <w:pStyle w:val="BodyText"/>
      </w:pPr>
      <w:hyperlink r:id="rId23">
        <w:r>
          <w:rPr>
            <w:rStyle w:val="Hyperlink"/>
          </w:rPr>
          <w:t xml:space="preserve">https://www.sec.gov/Archives/edgar/data/1326380/000132638026000004/pressrelease-rclti.htm</w:t>
        </w:r>
      </w:hyperlink>
    </w:p>
    <w:p>
      <w:pPr>
        <w:pStyle w:val="BodyText"/>
      </w:pPr>
      <w:hyperlink r:id="rId24">
        <w:r>
          <w:rPr>
            <w:rStyle w:val="Hyperlink"/>
          </w:rPr>
          <w:t xml:space="preserve">[6]</w:t>
        </w:r>
      </w:hyperlink>
      <w:r>
        <w:t xml:space="preserve"> </w:t>
      </w:r>
      <w:hyperlink r:id="rId24">
        <w:r>
          <w:rPr>
            <w:rStyle w:val="Hyperlink"/>
          </w:rPr>
          <w:t xml:space="preserve">[7]</w:t>
        </w:r>
      </w:hyperlink>
      <w:r>
        <w:t xml:space="preserve"> </w:t>
      </w:r>
      <w:hyperlink r:id="rId24">
        <w:r>
          <w:rPr>
            <w:rStyle w:val="Hyperlink"/>
          </w:rPr>
          <w:t xml:space="preserve">[8]</w:t>
        </w:r>
      </w:hyperlink>
      <w:r>
        <w:t xml:space="preserve"> </w:t>
      </w:r>
      <w:hyperlink r:id="rId24">
        <w:r>
          <w:rPr>
            <w:rStyle w:val="Hyperlink"/>
          </w:rPr>
          <w:t xml:space="preserve">[10]</w:t>
        </w:r>
      </w:hyperlink>
      <w:r>
        <w:t xml:space="preserve"> </w:t>
      </w:r>
      <w:hyperlink r:id="rId24">
        <w:r>
          <w:rPr>
            <w:rStyle w:val="Hyperlink"/>
          </w:rPr>
          <w:t xml:space="preserve">[11]</w:t>
        </w:r>
      </w:hyperlink>
      <w:r>
        <w:t xml:space="preserve"> </w:t>
      </w:r>
      <w:hyperlink r:id="rId24">
        <w:r>
          <w:rPr>
            <w:rStyle w:val="Hyperlink"/>
          </w:rPr>
          <w:t xml:space="preserve">[12]</w:t>
        </w:r>
      </w:hyperlink>
      <w:r>
        <w:t xml:space="preserve"> </w:t>
      </w:r>
      <w:hyperlink r:id="rId24">
        <w:r>
          <w:rPr>
            <w:rStyle w:val="Hyperlink"/>
          </w:rPr>
          <w:t xml:space="preserve">[13]</w:t>
        </w:r>
      </w:hyperlink>
      <w:r>
        <w:t xml:space="preserve"> </w:t>
      </w:r>
      <w:hyperlink r:id="rId24">
        <w:r>
          <w:rPr>
            <w:rStyle w:val="Hyperlink"/>
          </w:rPr>
          <w:t xml:space="preserve">[15]</w:t>
        </w:r>
      </w:hyperlink>
      <w:r>
        <w:t xml:space="preserve"> </w:t>
      </w:r>
      <w:hyperlink r:id="rId24">
        <w:r>
          <w:rPr>
            <w:rStyle w:val="Hyperlink"/>
          </w:rPr>
          <w:t xml:space="preserve">[16]</w:t>
        </w:r>
      </w:hyperlink>
      <w:r>
        <w:t xml:space="preserve"> </w:t>
      </w:r>
      <w:hyperlink r:id="rId24">
        <w:r>
          <w:rPr>
            <w:rStyle w:val="Hyperlink"/>
          </w:rPr>
          <w:t xml:space="preserve">[17]</w:t>
        </w:r>
      </w:hyperlink>
      <w:r>
        <w:t xml:space="preserve"> </w:t>
      </w:r>
      <w:hyperlink r:id="rId24">
        <w:r>
          <w:rPr>
            <w:rStyle w:val="Hyperlink"/>
          </w:rPr>
          <w:t xml:space="preserve">[19]</w:t>
        </w:r>
      </w:hyperlink>
      <w:r>
        <w:t xml:space="preserve"> </w:t>
      </w:r>
      <w:hyperlink r:id="rId24">
        <w:r>
          <w:rPr>
            <w:rStyle w:val="Hyperlink"/>
          </w:rPr>
          <w:t xml:space="preserve">[25]</w:t>
        </w:r>
      </w:hyperlink>
      <w:r>
        <w:t xml:space="preserve"> </w:t>
      </w:r>
      <w:hyperlink r:id="rId24">
        <w:r>
          <w:rPr>
            <w:rStyle w:val="Hyperlink"/>
          </w:rPr>
          <w:t xml:space="preserve">[27]</w:t>
        </w:r>
      </w:hyperlink>
      <w:r>
        <w:t xml:space="preserve"> </w:t>
      </w:r>
      <w:hyperlink r:id="rId24">
        <w:r>
          <w:rPr>
            <w:rStyle w:val="Hyperlink"/>
          </w:rPr>
          <w:t xml:space="preserve">[33]</w:t>
        </w:r>
      </w:hyperlink>
      <w:r>
        <w:t xml:space="preserve"> </w:t>
      </w:r>
      <w:hyperlink r:id="rId24">
        <w:r>
          <w:rPr>
            <w:rStyle w:val="Hyperlink"/>
          </w:rPr>
          <w:t xml:space="preserve">[35]</w:t>
        </w:r>
      </w:hyperlink>
      <w:r>
        <w:t xml:space="preserve"> </w:t>
      </w:r>
      <w:hyperlink r:id="rId24">
        <w:r>
          <w:rPr>
            <w:rStyle w:val="Hyperlink"/>
          </w:rPr>
          <w:t xml:space="preserve">[39]</w:t>
        </w:r>
      </w:hyperlink>
      <w:r>
        <w:t xml:space="preserve"> </w:t>
      </w:r>
      <w:hyperlink r:id="rId24">
        <w:r>
          <w:rPr>
            <w:rStyle w:val="Hyperlink"/>
          </w:rPr>
          <w:t xml:space="preserve">[42]</w:t>
        </w:r>
      </w:hyperlink>
      <w:r>
        <w:t xml:space="preserve"> </w:t>
      </w:r>
      <w:hyperlink r:id="rId24">
        <w:r>
          <w:rPr>
            <w:rStyle w:val="Hyperlink"/>
          </w:rPr>
          <w:t xml:space="preserve">[43]</w:t>
        </w:r>
      </w:hyperlink>
      <w:r>
        <w:t xml:space="preserve"> </w:t>
      </w:r>
      <w:r>
        <w:t xml:space="preserve">https://www.sec.gov/Archives/edgar/data/1326380/000132638025000098/gme-20251101.htm</w:t>
      </w:r>
    </w:p>
    <w:p>
      <w:pPr>
        <w:pStyle w:val="BodyText"/>
      </w:pPr>
      <w:hyperlink r:id="rId24">
        <w:r>
          <w:rPr>
            <w:rStyle w:val="Hyperlink"/>
          </w:rPr>
          <w:t xml:space="preserve">https://www.sec.gov/Archives/edgar/data/1326380/000132638025000098/gme-20251101.htm</w:t>
        </w:r>
      </w:hyperlink>
    </w:p>
    <w:p>
      <w:pPr>
        <w:pStyle w:val="BodyText"/>
      </w:pPr>
      <w:hyperlink r:id="rId27">
        <w:r>
          <w:rPr>
            <w:rStyle w:val="Hyperlink"/>
          </w:rPr>
          <w:t xml:space="preserve">[18]</w:t>
        </w:r>
      </w:hyperlink>
      <w:r>
        <w:t xml:space="preserve"> </w:t>
      </w:r>
      <w:hyperlink r:id="rId27">
        <w:r>
          <w:rPr>
            <w:rStyle w:val="Hyperlink"/>
          </w:rPr>
          <w:t xml:space="preserve">[26]</w:t>
        </w:r>
      </w:hyperlink>
      <w:r>
        <w:t xml:space="preserve"> </w:t>
      </w:r>
      <w:r>
        <w:t xml:space="preserve">https://www.sec.gov/Archives/edgar/data/1326380/000132638025000081/gme-formsx3asr.htm</w:t>
      </w:r>
    </w:p>
    <w:p>
      <w:pPr>
        <w:pStyle w:val="BodyText"/>
      </w:pPr>
      <w:hyperlink r:id="rId27">
        <w:r>
          <w:rPr>
            <w:rStyle w:val="Hyperlink"/>
          </w:rPr>
          <w:t xml:space="preserve">https://www.sec.gov/Archives/edgar/data/1326380/000132638025000081/gme-formsx3asr.htm</w:t>
        </w:r>
      </w:hyperlink>
    </w:p>
    <w:p>
      <w:pPr>
        <w:pStyle w:val="BodyText"/>
      </w:pPr>
      <w:hyperlink r:id="rId32">
        <w:r>
          <w:rPr>
            <w:rStyle w:val="Hyperlink"/>
          </w:rPr>
          <w:t xml:space="preserve">[22]</w:t>
        </w:r>
      </w:hyperlink>
      <w:r>
        <w:t xml:space="preserve"> </w:t>
      </w:r>
      <w:r>
        <w:t xml:space="preserve">https://investor.gamestop.com/news-releases/news-details/2025/GameStop-Discloses-First-Quarter-2025-Results/default.aspx</w:t>
      </w:r>
    </w:p>
    <w:p>
      <w:pPr>
        <w:pStyle w:val="BodyText"/>
      </w:pPr>
      <w:hyperlink r:id="rId32">
        <w:r>
          <w:rPr>
            <w:rStyle w:val="Hyperlink"/>
          </w:rPr>
          <w:t xml:space="preserve">https://investor.gamestop.com/news-releases/news-details/2025/GameStop-Discloses-First-Quarter-2025-Results/default.aspx</w:t>
        </w:r>
      </w:hyperlink>
    </w:p>
    <w:p>
      <w:pPr>
        <w:pStyle w:val="BodyText"/>
      </w:pPr>
      <w:hyperlink r:id="rId33">
        <w:r>
          <w:rPr>
            <w:rStyle w:val="Hyperlink"/>
          </w:rPr>
          <w:t xml:space="preserve">[23]</w:t>
        </w:r>
      </w:hyperlink>
      <w:r>
        <w:t xml:space="preserve"> </w:t>
      </w:r>
      <w:r>
        <w:t xml:space="preserve">https://investor.gamestop.com/news-releases/news-details/2025/GameStop-Discloses-Second-Quarter-2025-Results/default.aspx</w:t>
      </w:r>
    </w:p>
    <w:p>
      <w:pPr>
        <w:pStyle w:val="BodyText"/>
      </w:pPr>
      <w:hyperlink r:id="rId33">
        <w:r>
          <w:rPr>
            <w:rStyle w:val="Hyperlink"/>
          </w:rPr>
          <w:t xml:space="preserve">https://investor.gamestop.com/news-releases/news-details/2025/GameStop-Discloses-Second-Quarter-2025-Results/default.aspx</w:t>
        </w:r>
      </w:hyperlink>
    </w:p>
    <w:p>
      <w:pPr>
        <w:pStyle w:val="BodyText"/>
      </w:pPr>
      <w:hyperlink r:id="rId34">
        <w:r>
          <w:rPr>
            <w:rStyle w:val="Hyperlink"/>
          </w:rPr>
          <w:t xml:space="preserve">[24]</w:t>
        </w:r>
      </w:hyperlink>
      <w:r>
        <w:t xml:space="preserve"> </w:t>
      </w:r>
      <w:hyperlink r:id="rId34">
        <w:r>
          <w:rPr>
            <w:rStyle w:val="Hyperlink"/>
          </w:rPr>
          <w:t xml:space="preserve">[40]</w:t>
        </w:r>
      </w:hyperlink>
      <w:r>
        <w:t xml:space="preserve"> </w:t>
      </w:r>
      <w:r>
        <w:t xml:space="preserve">https://investor.gamestop.com/news-releases/news-details/2025/GameStop-Discloses-Third-Quarter-2025-Results/default.aspx</w:t>
      </w:r>
    </w:p>
    <w:p>
      <w:pPr>
        <w:pStyle w:val="BodyText"/>
      </w:pPr>
      <w:hyperlink r:id="rId34">
        <w:r>
          <w:rPr>
            <w:rStyle w:val="Hyperlink"/>
          </w:rPr>
          <w:t xml:space="preserve">https://investor.gamestop.com/news-releases/news-details/2025/GameStop-Discloses-Third-Quarter-2025-Results/default.aspx</w:t>
        </w:r>
      </w:hyperlink>
    </w:p>
    <w:p>
      <w:pPr>
        <w:pStyle w:val="BodyText"/>
      </w:pPr>
      <w:hyperlink r:id="rId40">
        <w:r>
          <w:rPr>
            <w:rStyle w:val="Hyperlink"/>
          </w:rPr>
          <w:t xml:space="preserve">[29]</w:t>
        </w:r>
      </w:hyperlink>
      <w:r>
        <w:t xml:space="preserve"> </w:t>
      </w:r>
      <w:r>
        <w:t xml:space="preserve">https://news.crunchbase.com/venture/ecommerce-unicorn-whatnot-raises-seriesf/</w:t>
      </w:r>
    </w:p>
    <w:p>
      <w:pPr>
        <w:pStyle w:val="BodyText"/>
      </w:pPr>
      <w:hyperlink r:id="rId40">
        <w:r>
          <w:rPr>
            <w:rStyle w:val="Hyperlink"/>
          </w:rPr>
          <w:t xml:space="preserve">https://news.crunchbase.com/venture/ecommerce-unicorn-whatnot-raises-seriesf/</w:t>
        </w:r>
      </w:hyperlink>
    </w:p>
    <w:p>
      <w:pPr>
        <w:pStyle w:val="BodyText"/>
      </w:pPr>
      <w:hyperlink r:id="rId41">
        <w:r>
          <w:rPr>
            <w:rStyle w:val="Hyperlink"/>
          </w:rPr>
          <w:t xml:space="preserve">[30]</w:t>
        </w:r>
      </w:hyperlink>
      <w:r>
        <w:t xml:space="preserve"> </w:t>
      </w:r>
      <w:r>
        <w:t xml:space="preserve">https://www.latimes.com/b2b/ai-technology/story/2025-11-12/whatnot-raises-225m-series-f-round</w:t>
      </w:r>
    </w:p>
    <w:p>
      <w:pPr>
        <w:pStyle w:val="BodyText"/>
      </w:pPr>
      <w:hyperlink r:id="rId41">
        <w:r>
          <w:rPr>
            <w:rStyle w:val="Hyperlink"/>
          </w:rPr>
          <w:t xml:space="preserve">https://www.latimes.com/b2b/ai-technology/story/2025-11-12/whatnot-raises-225m-series-f-round</w:t>
        </w:r>
      </w:hyperlink>
    </w:p>
    <w:p>
      <w:pPr>
        <w:pStyle w:val="BodyText"/>
      </w:pPr>
      <w:hyperlink r:id="rId42">
        <w:r>
          <w:rPr>
            <w:rStyle w:val="Hyperlink"/>
          </w:rPr>
          <w:t xml:space="preserve">[32]</w:t>
        </w:r>
      </w:hyperlink>
      <w:r>
        <w:t xml:space="preserve"> </w:t>
      </w:r>
      <w:r>
        <w:t xml:space="preserve">https://www.emarketer.com/content/discord-s-ipo-bid-spotlights-community-spaces-ad-opportunities</w:t>
      </w:r>
    </w:p>
    <w:p>
      <w:pPr>
        <w:pStyle w:val="BodyText"/>
      </w:pPr>
      <w:hyperlink r:id="rId42">
        <w:r>
          <w:rPr>
            <w:rStyle w:val="Hyperlink"/>
          </w:rPr>
          <w:t xml:space="preserve">https://www.emarketer.com/content/discord-s-ipo-bid-spotlights-community-spaces-ad-opportunities</w:t>
        </w:r>
      </w:hyperlink>
    </w:p>
    <w:p>
      <w:pPr>
        <w:pStyle w:val="BodyText"/>
      </w:pPr>
      <w:hyperlink r:id="rId43">
        <w:r>
          <w:rPr>
            <w:rStyle w:val="Hyperlink"/>
          </w:rPr>
          <w:t xml:space="preserve">[34]</w:t>
        </w:r>
      </w:hyperlink>
      <w:r>
        <w:t xml:space="preserve"> </w:t>
      </w:r>
      <w:r>
        <w:t xml:space="preserve">https://www.businesswire.com/news/home/20220329006052/en/Collectors-Announces-New-%24100-Million-Financing-Round</w:t>
      </w:r>
    </w:p>
    <w:p>
      <w:pPr>
        <w:pStyle w:val="BodyText"/>
      </w:pPr>
      <w:hyperlink r:id="rId43">
        <w:r>
          <w:rPr>
            <w:rStyle w:val="Hyperlink"/>
          </w:rPr>
          <w:t xml:space="preserve">https://www.businesswire.com/news/home/20220329006052/en/Collectors-Announces-New-%24100-Million-Financing-Round</w:t>
        </w:r>
      </w:hyperlink>
    </w:p>
    <w:p>
      <w:pPr>
        <w:pStyle w:val="BodyText"/>
      </w:pPr>
      <w:hyperlink r:id="rId44">
        <w:r>
          <w:rPr>
            <w:rStyle w:val="Hyperlink"/>
          </w:rPr>
          <w:t xml:space="preserve">[36]</w:t>
        </w:r>
      </w:hyperlink>
      <w:r>
        <w:t xml:space="preserve"> </w:t>
      </w:r>
      <w:r>
        <w:t xml:space="preserve">https://news.bloomberglaw.com/banking-law/nyse-owner-is-said-in-talks-to-invest-in-crypto-firm-moonpay</w:t>
      </w:r>
    </w:p>
    <w:p>
      <w:pPr>
        <w:pStyle w:val="BodyText"/>
      </w:pPr>
      <w:hyperlink r:id="rId44">
        <w:r>
          <w:rPr>
            <w:rStyle w:val="Hyperlink"/>
          </w:rPr>
          <w:t xml:space="preserve">https://news.bloomberglaw.com/banking-law/nyse-owner-is-said-in-talks-to-invest-in-crypto-firm-moonpay</w:t>
        </w:r>
      </w:hyperlink>
    </w:p>
    <w:p>
      <w:pPr>
        <w:pStyle w:val="BodyText"/>
      </w:pPr>
      <w:hyperlink r:id="rId54">
        <w:r>
          <w:rPr>
            <w:rStyle w:val="Hyperlink"/>
          </w:rPr>
          <w:t xml:space="preserve">[44]</w:t>
        </w:r>
      </w:hyperlink>
      <w:r>
        <w:t xml:space="preserve"> </w:t>
      </w:r>
      <w:r>
        <w:t xml:space="preserve">https://www.reuters.com/business/chat-platform-discord-confidentially-file-us-ipo-bloomberg-news-reports-2026-01-06/</w:t>
      </w:r>
    </w:p>
    <w:p>
      <w:pPr>
        <w:pStyle w:val="BodyText"/>
      </w:pPr>
      <w:hyperlink r:id="rId54">
        <w:r>
          <w:rPr>
            <w:rStyle w:val="Hyperlink"/>
          </w:rPr>
          <w:t xml:space="preserve">https://www.reuters.com/business/chat-platform-discord-confidentially-file-us-ipo-bloomberg-news-reports-2026-01-06/</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investor.gamestop.com/news-releases/news-details/2025/GameStop-Discloses-First-Quarter-2025-Results/default.aspx" TargetMode="External" /><Relationship Type="http://schemas.openxmlformats.org/officeDocument/2006/relationships/hyperlink" Id="rId33" Target="https://investor.gamestop.com/news-releases/news-details/2025/GameStop-Discloses-Second-Quarter-2025-Results/default.aspx" TargetMode="External" /><Relationship Type="http://schemas.openxmlformats.org/officeDocument/2006/relationships/hyperlink" Id="rId34" Target="https://investor.gamestop.com/news-releases/news-details/2025/GameStop-Discloses-Third-Quarter-2025-Results/default.aspx" TargetMode="External" /><Relationship Type="http://schemas.openxmlformats.org/officeDocument/2006/relationships/hyperlink" Id="rId44" Target="https://news.bloomberglaw.com/banking-law/nyse-owner-is-said-in-talks-to-invest-in-crypto-firm-moonpay" TargetMode="External" /><Relationship Type="http://schemas.openxmlformats.org/officeDocument/2006/relationships/hyperlink" Id="rId40" Target="https://news.crunchbase.com/venture/ecommerce-unicorn-whatnot-raises-seriesf/" TargetMode="External" /><Relationship Type="http://schemas.openxmlformats.org/officeDocument/2006/relationships/hyperlink" Id="rId43" Target="https://www.businesswire.com/news/home/20220329006052/en/Collectors-Announces-New-%24100-Million-Financing-Round" TargetMode="External" /><Relationship Type="http://schemas.openxmlformats.org/officeDocument/2006/relationships/hyperlink" Id="rId21" Target="https://www.coindesk.com/business/2022/03/07/nft-platform-immutable-raises-200m-at-a-25b-valuation" TargetMode="External" /><Relationship Type="http://schemas.openxmlformats.org/officeDocument/2006/relationships/hyperlink" Id="rId42" Target="https://www.emarketer.com/content/discord-s-ipo-bid-spotlights-community-spaces-ad-opportunities" TargetMode="External" /><Relationship Type="http://schemas.openxmlformats.org/officeDocument/2006/relationships/hyperlink" Id="rId41" Target="https://www.latimes.com/b2b/ai-technology/story/2025-11-12/whatnot-raises-225m-series-f-round" TargetMode="External" /><Relationship Type="http://schemas.openxmlformats.org/officeDocument/2006/relationships/hyperlink" Id="rId54" Target="https://www.reuters.com/business/chat-platform-discord-confidentially-file-us-ipo-bloomberg-news-reports-2026-01-06/" TargetMode="External" /><Relationship Type="http://schemas.openxmlformats.org/officeDocument/2006/relationships/hyperlink" Id="rId27" Target="https://www.sec.gov/Archives/edgar/data/1326380/000132638025000081/gme-formsx3asr.htm" TargetMode="External" /><Relationship Type="http://schemas.openxmlformats.org/officeDocument/2006/relationships/hyperlink" Id="rId24" Target="https://www.sec.gov/Archives/edgar/data/1326380/000132638025000098/gme-20251101.htm" TargetMode="External" /><Relationship Type="http://schemas.openxmlformats.org/officeDocument/2006/relationships/hyperlink" Id="rId23" Target="https://www.sec.gov/Archives/edgar/data/1326380/000132638026000004/pressrelease-rclti.htm" TargetMode="External" /><Relationship Type="http://schemas.openxmlformats.org/officeDocument/2006/relationships/hyperlink" Id="rId22" Target="https://www.sec.gov/Archives/edgar/data/1326380/000132638026000007/ceooptionawardagreement.htm" TargetMode="External" /></Relationships>
</file>

<file path=word/_rels/footnotes.xml.rels><?xml version="1.0" encoding="UTF-8"?><Relationships xmlns="http://schemas.openxmlformats.org/package/2006/relationships"><Relationship Type="http://schemas.openxmlformats.org/officeDocument/2006/relationships/hyperlink" Id="rId32" Target="https://investor.gamestop.com/news-releases/news-details/2025/GameStop-Discloses-First-Quarter-2025-Results/default.aspx" TargetMode="External" /><Relationship Type="http://schemas.openxmlformats.org/officeDocument/2006/relationships/hyperlink" Id="rId33" Target="https://investor.gamestop.com/news-releases/news-details/2025/GameStop-Discloses-Second-Quarter-2025-Results/default.aspx" TargetMode="External" /><Relationship Type="http://schemas.openxmlformats.org/officeDocument/2006/relationships/hyperlink" Id="rId34" Target="https://investor.gamestop.com/news-releases/news-details/2025/GameStop-Discloses-Third-Quarter-2025-Results/default.aspx" TargetMode="External" /><Relationship Type="http://schemas.openxmlformats.org/officeDocument/2006/relationships/hyperlink" Id="rId44" Target="https://news.bloomberglaw.com/banking-law/nyse-owner-is-said-in-talks-to-invest-in-crypto-firm-moonpay" TargetMode="External" /><Relationship Type="http://schemas.openxmlformats.org/officeDocument/2006/relationships/hyperlink" Id="rId40" Target="https://news.crunchbase.com/venture/ecommerce-unicorn-whatnot-raises-seriesf/" TargetMode="External" /><Relationship Type="http://schemas.openxmlformats.org/officeDocument/2006/relationships/hyperlink" Id="rId43" Target="https://www.businesswire.com/news/home/20220329006052/en/Collectors-Announces-New-%24100-Million-Financing-Round" TargetMode="External" /><Relationship Type="http://schemas.openxmlformats.org/officeDocument/2006/relationships/hyperlink" Id="rId21" Target="https://www.coindesk.com/business/2022/03/07/nft-platform-immutable-raises-200m-at-a-25b-valuation" TargetMode="External" /><Relationship Type="http://schemas.openxmlformats.org/officeDocument/2006/relationships/hyperlink" Id="rId42" Target="https://www.emarketer.com/content/discord-s-ipo-bid-spotlights-community-spaces-ad-opportunities" TargetMode="External" /><Relationship Type="http://schemas.openxmlformats.org/officeDocument/2006/relationships/hyperlink" Id="rId41" Target="https://www.latimes.com/b2b/ai-technology/story/2025-11-12/whatnot-raises-225m-series-f-round" TargetMode="External" /><Relationship Type="http://schemas.openxmlformats.org/officeDocument/2006/relationships/hyperlink" Id="rId54" Target="https://www.reuters.com/business/chat-platform-discord-confidentially-file-us-ipo-bloomberg-news-reports-2026-01-06/" TargetMode="External" /><Relationship Type="http://schemas.openxmlformats.org/officeDocument/2006/relationships/hyperlink" Id="rId27" Target="https://www.sec.gov/Archives/edgar/data/1326380/000132638025000081/gme-formsx3asr.htm" TargetMode="External" /><Relationship Type="http://schemas.openxmlformats.org/officeDocument/2006/relationships/hyperlink" Id="rId24" Target="https://www.sec.gov/Archives/edgar/data/1326380/000132638025000098/gme-20251101.htm" TargetMode="External" /><Relationship Type="http://schemas.openxmlformats.org/officeDocument/2006/relationships/hyperlink" Id="rId23" Target="https://www.sec.gov/Archives/edgar/data/1326380/000132638026000004/pressrelease-rclti.htm" TargetMode="External" /><Relationship Type="http://schemas.openxmlformats.org/officeDocument/2006/relationships/hyperlink" Id="rId22" Target="https://www.sec.gov/Archives/edgar/data/1326380/000132638026000007/ceooptionawardagreement.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2026-03-15T14:10:52Z</dcterms:created>
  <dcterms:modified xsi:type="dcterms:W3CDTF">2026-03-15T14:10:52Z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