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23" w:rsidRDefault="00281496" w:rsidP="00723F03">
      <w:pPr>
        <w:ind w:left="142" w:right="141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B2FD" wp14:editId="239F801C">
                <wp:simplePos x="0" y="0"/>
                <wp:positionH relativeFrom="column">
                  <wp:posOffset>0</wp:posOffset>
                </wp:positionH>
                <wp:positionV relativeFrom="paragraph">
                  <wp:posOffset>-70403</wp:posOffset>
                </wp:positionV>
                <wp:extent cx="2961640" cy="413468"/>
                <wp:effectExtent l="0" t="0" r="0" b="571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1496" w:rsidRPr="006110B8" w:rsidRDefault="00281496" w:rsidP="00281496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 OSTPOLITIK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0B2FD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-5.55pt;width:233.2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yIMwIAAFkEAAAOAAAAZHJzL2Uyb0RvYy54bWysVN9v2jAQfp+0/8Hy+wgBylpEqBgV0yTU&#10;VqJVn43jkEiOz7MPEvbX7+wEiro9TXsxZ3+X+/F9d8zv21qzo3K+ApPxdDDkTBkJeWX2GX99WX+5&#10;5cyjMLnQYFTGT8rz+8XnT/PGztQIStC5coyCGD9rbMZLRDtLEi9LVQs/AKsMgQW4WiBd3T7JnWgo&#10;eq2T0XA4TRpwuXUglff0+tCBfBHjF4WS+FQUXiHTGafaMJ4unrtwJou5mO2dsGUl+zLEP1RRi8pQ&#10;0kuoB4GCHVz1R6i6kg48FDiQUCdQFJVUsQfqJh1+6GZbCqtiL0SOtxea/P8LKx+Pz45VecbHnBlR&#10;k0Qr4ZXWguUVQ+UR2Diw1Fg/I+etJXdsv0FLap/fPT2G5tvC1eGX2mKEE9+nC8eqRSbpcXQ3TacT&#10;giRhk3Q8md6GMMn719Z5/K6gZsHIuCMNI7XiuPHYuZ5dQjID60rrqKM2rMn4dHwzjB9cEAquDeUI&#10;PXS1BgvbXds3toP8RH056ObDW7muKPlGeHwWjgaC6qUhxyc6Cg2UBHqLsxLcr7+9B3/SiVDOGhqw&#10;jPufB+EUZ/qHIQXv0kmgAeNlcvN1RBd3jeyuEXOoV0AznNI6WRnN4I/6bBYO6jfahWXISpAwknJn&#10;HM/mCruxp12SarmMTjSDVuDGbK0MoQOdgdqX9k042/OPpNwjnEdRzD7I0Pl2QiwPCEUVNQoEd6z2&#10;vNP8RpX7XQsLcn2PXu//CIvfAAAA//8DAFBLAwQUAAYACAAAACEA0LLs398AAAAHAQAADwAAAGRy&#10;cy9kb3ducmV2LnhtbEyPQWvCQBSE7wX/w/KE3nQTiUHSvIgEpFDag9ZLb5vsMwnNvk2zq6b99d2e&#10;6nGYYeabfDuZXlxpdJ1lhHgZgSCure64QTi97xcbEM4r1qq3TAjf5GBbzB5ylWl74wNdj74RoYRd&#10;phBa74dMSle3ZJRb2oE4eGc7GuWDHBupR3UL5aaXqyhKpVEdh4VWDVS2VH8eLwbhpdy/qUO1Mpuf&#10;vnx+Pe+Gr9PHGvFxPu2eQHia/H8Y/vADOhSBqbIX1k70COGIR1jEcQwi2EmaJiAqhHUSgSxyec9f&#10;/AIAAP//AwBQSwECLQAUAAYACAAAACEAtoM4kv4AAADhAQAAEwAAAAAAAAAAAAAAAAAAAAAAW0Nv&#10;bnRlbnRfVHlwZXNdLnhtbFBLAQItABQABgAIAAAAIQA4/SH/1gAAAJQBAAALAAAAAAAAAAAAAAAA&#10;AC8BAABfcmVscy8ucmVsc1BLAQItABQABgAIAAAAIQDkwWyIMwIAAFkEAAAOAAAAAAAAAAAAAAAA&#10;AC4CAABkcnMvZTJvRG9jLnhtbFBLAQItABQABgAIAAAAIQDQsuzf3wAAAAcBAAAPAAAAAAAAAAAA&#10;AAAAAI0EAABkcnMvZG93bnJldi54bWxQSwUGAAAAAAQABADzAAAAmQUAAAAA&#10;" filled="f" stroked="f" strokeweight=".5pt">
                <v:textbox>
                  <w:txbxContent>
                    <w:p w:rsidR="00281496" w:rsidRPr="006110B8" w:rsidRDefault="00281496" w:rsidP="00281496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 OSTPOLITIK</w:t>
                      </w:r>
                    </w:p>
                  </w:txbxContent>
                </v:textbox>
              </v:shape>
            </w:pict>
          </mc:Fallback>
        </mc:AlternateContent>
      </w:r>
      <w:r w:rsidR="00723F03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CDBD762" wp14:editId="08E29648">
            <wp:simplePos x="0" y="0"/>
            <wp:positionH relativeFrom="column">
              <wp:posOffset>-1055955</wp:posOffset>
            </wp:positionH>
            <wp:positionV relativeFrom="paragraph">
              <wp:posOffset>-107315</wp:posOffset>
            </wp:positionV>
            <wp:extent cx="6290104" cy="4417621"/>
            <wp:effectExtent l="0" t="0" r="0" b="2540"/>
            <wp:wrapNone/>
            <wp:docPr id="2" name="Immagine 2" descr="Europe's road from Ostpolitik to a possible total Russian energy ban - CET  analysis - C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urope's road from Ostpolitik to a possible total Russian energy ban - CET  analysis - C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04" cy="441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723F03" w:rsidRDefault="00723F03" w:rsidP="00723F03">
      <w:pPr>
        <w:ind w:left="142" w:right="141"/>
      </w:pPr>
    </w:p>
    <w:p w:rsidR="00281496" w:rsidRPr="00281496" w:rsidRDefault="00281496" w:rsidP="00281496">
      <w:pPr>
        <w:pBdr>
          <w:bottom w:val="single" w:sz="4" w:space="1" w:color="auto"/>
        </w:pBdr>
        <w:ind w:left="142" w:right="141"/>
        <w:rPr>
          <w:b/>
          <w:i/>
          <w:sz w:val="28"/>
        </w:rPr>
      </w:pPr>
      <w:r w:rsidRPr="00281496">
        <w:rPr>
          <w:b/>
          <w:i/>
          <w:sz w:val="28"/>
        </w:rPr>
        <w:lastRenderedPageBreak/>
        <w:t>Obiettivo: Abbattere la cortina</w:t>
      </w:r>
    </w:p>
    <w:p w:rsidR="001C2939" w:rsidRDefault="00851EC3" w:rsidP="00723F03">
      <w:pPr>
        <w:ind w:left="142" w:right="141"/>
        <w:rPr>
          <w:sz w:val="24"/>
        </w:rPr>
      </w:pPr>
      <w:r>
        <w:rPr>
          <w:sz w:val="24"/>
        </w:rPr>
        <w:t>La Os</w:t>
      </w:r>
      <w:r w:rsidR="001C2939">
        <w:rPr>
          <w:sz w:val="24"/>
        </w:rPr>
        <w:t>tpolitik fu la politica estera adotta da Brandt. Questa mirava ad avvicinare i rapporti con la Germania dell’Est (DDR), proiettandosi verso una prossima unione nazionale, avvenuta nel 1989.</w:t>
      </w:r>
      <w:r w:rsidR="001C2939">
        <w:rPr>
          <w:sz w:val="24"/>
        </w:rPr>
        <w:br/>
      </w:r>
    </w:p>
    <w:p w:rsidR="00723F03" w:rsidRDefault="001C2939" w:rsidP="00723F03">
      <w:pPr>
        <w:ind w:left="142" w:right="141"/>
      </w:pPr>
      <w:r>
        <w:rPr>
          <w:sz w:val="24"/>
        </w:rPr>
        <w:t xml:space="preserve">Nell’ambito globale, secondo Brandt, </w:t>
      </w:r>
      <w:r w:rsidRPr="001C2939">
        <w:rPr>
          <w:sz w:val="24"/>
        </w:rPr>
        <w:t>avrebbe dovuto contribuire al crollo della cortina di ferro attraverso la penetrazione della tecnologia, della cultura e dei principi della società occidentale</w:t>
      </w:r>
      <w:r>
        <w:rPr>
          <w:sz w:val="24"/>
        </w:rPr>
        <w:t>.</w:t>
      </w:r>
    </w:p>
    <w:p w:rsidR="00723F03" w:rsidRDefault="00723F03" w:rsidP="00723F03">
      <w:pPr>
        <w:ind w:left="142" w:right="141"/>
      </w:pPr>
    </w:p>
    <w:p w:rsidR="00723F03" w:rsidRPr="001C2939" w:rsidRDefault="001C2939" w:rsidP="001C2939">
      <w:pPr>
        <w:pBdr>
          <w:bottom w:val="single" w:sz="4" w:space="1" w:color="auto"/>
        </w:pBdr>
        <w:ind w:left="142" w:right="141"/>
        <w:rPr>
          <w:b/>
          <w:i/>
          <w:sz w:val="28"/>
        </w:rPr>
      </w:pPr>
      <w:r w:rsidRPr="001C2939">
        <w:rPr>
          <w:b/>
          <w:i/>
          <w:sz w:val="28"/>
        </w:rPr>
        <w:t>Uno strumento di politica</w:t>
      </w:r>
    </w:p>
    <w:p w:rsidR="00723F03" w:rsidRPr="001C2939" w:rsidRDefault="001C2939" w:rsidP="00723F03">
      <w:pPr>
        <w:ind w:left="142" w:right="141"/>
        <w:rPr>
          <w:sz w:val="24"/>
        </w:rPr>
      </w:pPr>
      <w:r w:rsidRPr="001C2939">
        <w:rPr>
          <w:sz w:val="24"/>
        </w:rPr>
        <w:t>Durante le elezioni del 1972 la Ostpolitik divenne l’elemento portante della propaganda di Brandt.</w:t>
      </w:r>
    </w:p>
    <w:p w:rsidR="00723F03" w:rsidRDefault="00723F03" w:rsidP="001C2939">
      <w:pPr>
        <w:ind w:right="141"/>
      </w:pPr>
    </w:p>
    <w:p w:rsidR="00723F03" w:rsidRPr="00281496" w:rsidRDefault="00281496" w:rsidP="00281496">
      <w:pPr>
        <w:pBdr>
          <w:bottom w:val="single" w:sz="4" w:space="1" w:color="auto"/>
        </w:pBdr>
        <w:ind w:left="142" w:right="141"/>
        <w:rPr>
          <w:b/>
          <w:i/>
          <w:sz w:val="28"/>
        </w:rPr>
      </w:pPr>
      <w:r w:rsidRPr="00281496">
        <w:rPr>
          <w:b/>
          <w:i/>
          <w:sz w:val="28"/>
        </w:rPr>
        <w:lastRenderedPageBreak/>
        <w:t>I trattati</w:t>
      </w:r>
    </w:p>
    <w:p w:rsidR="005D65E9" w:rsidRDefault="000511C8" w:rsidP="005D65E9">
      <w:pPr>
        <w:pStyle w:val="Paragrafoelenco"/>
        <w:numPr>
          <w:ilvl w:val="0"/>
          <w:numId w:val="1"/>
        </w:numPr>
        <w:ind w:left="567" w:right="141" w:hanging="294"/>
      </w:pPr>
      <w:r w:rsidRPr="005D65E9">
        <w:rPr>
          <w:b/>
        </w:rPr>
        <w:t>Incontro Brandt-Kassel (1970)</w:t>
      </w:r>
      <w:r>
        <w:br/>
        <w:t>L’occidente riconosce la DDR come stato.</w:t>
      </w:r>
    </w:p>
    <w:p w:rsidR="005D65E9" w:rsidRPr="005D65E9" w:rsidRDefault="005D65E9" w:rsidP="005D65E9">
      <w:pPr>
        <w:pStyle w:val="Paragrafoelenco"/>
        <w:ind w:left="567" w:right="141"/>
        <w:rPr>
          <w:sz w:val="12"/>
        </w:rPr>
      </w:pPr>
    </w:p>
    <w:p w:rsidR="005D65E9" w:rsidRDefault="000511C8" w:rsidP="005D65E9">
      <w:pPr>
        <w:pStyle w:val="Paragrafoelenco"/>
        <w:numPr>
          <w:ilvl w:val="0"/>
          <w:numId w:val="1"/>
        </w:numPr>
        <w:ind w:left="567" w:right="141" w:hanging="294"/>
      </w:pPr>
      <w:r w:rsidRPr="005D65E9">
        <w:rPr>
          <w:b/>
        </w:rPr>
        <w:t>T</w:t>
      </w:r>
      <w:r w:rsidR="00A92355" w:rsidRPr="005D65E9">
        <w:rPr>
          <w:b/>
        </w:rPr>
        <w:t>rattato di Mosca (agosto 1970)</w:t>
      </w:r>
      <w:r>
        <w:br/>
        <w:t>La RFT riconosce il confine Order-</w:t>
      </w:r>
      <w:proofErr w:type="spellStart"/>
      <w:r>
        <w:t>Neisse</w:t>
      </w:r>
      <w:proofErr w:type="spellEnd"/>
      <w:r w:rsidR="005D65E9">
        <w:t>.</w:t>
      </w:r>
    </w:p>
    <w:p w:rsidR="005D65E9" w:rsidRPr="005D65E9" w:rsidRDefault="005D65E9" w:rsidP="005D65E9">
      <w:pPr>
        <w:pStyle w:val="Paragrafoelenco"/>
        <w:ind w:left="567" w:right="141"/>
        <w:rPr>
          <w:sz w:val="12"/>
        </w:rPr>
      </w:pPr>
    </w:p>
    <w:p w:rsidR="00A92355" w:rsidRDefault="000511C8" w:rsidP="00A92355">
      <w:pPr>
        <w:pStyle w:val="Paragrafoelenco"/>
        <w:numPr>
          <w:ilvl w:val="0"/>
          <w:numId w:val="1"/>
        </w:numPr>
        <w:ind w:left="567" w:right="141" w:hanging="294"/>
      </w:pPr>
      <w:r w:rsidRPr="005D65E9">
        <w:rPr>
          <w:b/>
        </w:rPr>
        <w:t>Trattato di Berlino (settembre 1971)</w:t>
      </w:r>
      <w:r>
        <w:br/>
        <w:t>Berlino non può divenire la capitale della RFT, in cambio la DDR (URSS) si impe</w:t>
      </w:r>
      <w:r w:rsidR="005D65E9">
        <w:t>gna ad evitare nuove escalation</w:t>
      </w:r>
    </w:p>
    <w:p w:rsidR="005D65E9" w:rsidRPr="005D65E9" w:rsidRDefault="005D65E9" w:rsidP="005D65E9">
      <w:pPr>
        <w:pStyle w:val="Paragrafoelenco"/>
        <w:ind w:left="567" w:right="141"/>
        <w:rPr>
          <w:sz w:val="12"/>
        </w:rPr>
      </w:pPr>
    </w:p>
    <w:p w:rsidR="000511C8" w:rsidRDefault="000511C8" w:rsidP="00A92355">
      <w:pPr>
        <w:pStyle w:val="Paragrafoelenco"/>
        <w:numPr>
          <w:ilvl w:val="0"/>
          <w:numId w:val="1"/>
        </w:numPr>
        <w:ind w:left="567" w:right="141" w:hanging="294"/>
      </w:pPr>
      <w:r w:rsidRPr="005D65E9">
        <w:rPr>
          <w:b/>
        </w:rPr>
        <w:t>Accordo sui transiti (dicembre 1971)</w:t>
      </w:r>
      <w:r>
        <w:br/>
      </w:r>
      <w:r w:rsidR="005D65E9">
        <w:t>Venne permesso ai cittadini di attraversare il muro solo in casi speciali</w:t>
      </w:r>
    </w:p>
    <w:p w:rsidR="005D65E9" w:rsidRPr="005D65E9" w:rsidRDefault="005D65E9" w:rsidP="005D65E9">
      <w:pPr>
        <w:pStyle w:val="Paragrafoelenco"/>
        <w:ind w:left="567" w:right="141"/>
        <w:rPr>
          <w:sz w:val="12"/>
        </w:rPr>
      </w:pPr>
    </w:p>
    <w:p w:rsidR="000511C8" w:rsidRPr="005D65E9" w:rsidRDefault="000511C8" w:rsidP="00A92355">
      <w:pPr>
        <w:pStyle w:val="Paragrafoelenco"/>
        <w:numPr>
          <w:ilvl w:val="0"/>
          <w:numId w:val="1"/>
        </w:numPr>
        <w:ind w:left="567" w:right="141" w:hanging="294"/>
        <w:rPr>
          <w:b/>
        </w:rPr>
      </w:pPr>
      <w:r w:rsidRPr="005D65E9">
        <w:rPr>
          <w:b/>
        </w:rPr>
        <w:t>Trattato fondamentale (dicembre 1972)</w:t>
      </w:r>
    </w:p>
    <w:p w:rsidR="005D65E9" w:rsidRPr="005D65E9" w:rsidRDefault="005D65E9" w:rsidP="005D65E9">
      <w:pPr>
        <w:pStyle w:val="Paragrafoelenco"/>
        <w:ind w:left="567" w:right="141"/>
        <w:rPr>
          <w:sz w:val="12"/>
        </w:rPr>
      </w:pPr>
      <w:r>
        <w:t>Scambio di rappresentanti politici fra RFT e DDR</w:t>
      </w:r>
      <w:r>
        <w:br/>
      </w:r>
    </w:p>
    <w:p w:rsidR="000511C8" w:rsidRPr="005D65E9" w:rsidRDefault="000511C8" w:rsidP="00A92355">
      <w:pPr>
        <w:pStyle w:val="Paragrafoelenco"/>
        <w:numPr>
          <w:ilvl w:val="0"/>
          <w:numId w:val="1"/>
        </w:numPr>
        <w:ind w:left="567" w:right="141" w:hanging="294"/>
        <w:rPr>
          <w:b/>
        </w:rPr>
      </w:pPr>
      <w:r w:rsidRPr="005D65E9">
        <w:rPr>
          <w:b/>
        </w:rPr>
        <w:t>Trattato di Praga (1973)</w:t>
      </w:r>
    </w:p>
    <w:p w:rsidR="005D65E9" w:rsidRDefault="005D65E9" w:rsidP="005D65E9">
      <w:pPr>
        <w:pStyle w:val="Paragrafoelenco"/>
        <w:ind w:left="567" w:right="141"/>
      </w:pPr>
      <w:r>
        <w:t>La pace con la Cec</w:t>
      </w:r>
      <w:bookmarkStart w:id="0" w:name="_GoBack"/>
      <w:bookmarkEnd w:id="0"/>
      <w:r>
        <w:t xml:space="preserve">oslovacchia: rinuncia ai </w:t>
      </w:r>
      <w:proofErr w:type="spellStart"/>
      <w:r>
        <w:t>Sudeti</w:t>
      </w:r>
      <w:proofErr w:type="spellEnd"/>
    </w:p>
    <w:sectPr w:rsidR="005D65E9" w:rsidSect="00723F03">
      <w:pgSz w:w="5103" w:h="6804" w:code="9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40B"/>
    <w:multiLevelType w:val="hybridMultilevel"/>
    <w:tmpl w:val="C02285D4"/>
    <w:lvl w:ilvl="0" w:tplc="0410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FD"/>
    <w:rsid w:val="000439FD"/>
    <w:rsid w:val="000511C8"/>
    <w:rsid w:val="001C2939"/>
    <w:rsid w:val="00281496"/>
    <w:rsid w:val="003B0F23"/>
    <w:rsid w:val="005D65E9"/>
    <w:rsid w:val="00723F03"/>
    <w:rsid w:val="00851EC3"/>
    <w:rsid w:val="00A92355"/>
    <w:rsid w:val="00CA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83BC"/>
  <w15:chartTrackingRefBased/>
  <w15:docId w15:val="{CE002479-AD62-4946-AB3F-B8BEB51A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8</cp:revision>
  <dcterms:created xsi:type="dcterms:W3CDTF">2025-04-23T18:02:00Z</dcterms:created>
  <dcterms:modified xsi:type="dcterms:W3CDTF">2025-04-24T19:55:00Z</dcterms:modified>
</cp:coreProperties>
</file>