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2ufcnorlhpe" w:id="0"/>
      <w:bookmarkEnd w:id="0"/>
      <w:r w:rsidDel="00000000" w:rsidR="00000000" w:rsidRPr="00000000">
        <w:rPr>
          <w:b w:val="1"/>
          <w:sz w:val="34"/>
          <w:szCs w:val="34"/>
          <w:rtl w:val="0"/>
        </w:rPr>
        <w:t xml:space="preserve">📘 Willy Brandt e l’Europa: visione, azioni, eredità</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680xjyl0qjp" w:id="1"/>
      <w:bookmarkEnd w:id="1"/>
      <w:r w:rsidDel="00000000" w:rsidR="00000000" w:rsidRPr="00000000">
        <w:rPr>
          <w:b w:val="1"/>
          <w:color w:val="000000"/>
          <w:sz w:val="26"/>
          <w:szCs w:val="26"/>
          <w:rtl w:val="0"/>
        </w:rPr>
        <w:t xml:space="preserve">🇪🇺 Willy Brandt e l’Unione Europea</w:t>
      </w:r>
    </w:p>
    <w:p w:rsidR="00000000" w:rsidDel="00000000" w:rsidP="00000000" w:rsidRDefault="00000000" w:rsidRPr="00000000" w14:paraId="00000003">
      <w:pPr>
        <w:spacing w:after="240" w:before="240" w:lineRule="auto"/>
        <w:rPr/>
      </w:pPr>
      <w:r w:rsidDel="00000000" w:rsidR="00000000" w:rsidRPr="00000000">
        <w:rPr>
          <w:rtl w:val="0"/>
        </w:rPr>
        <w:t xml:space="preserve">Willy Brandt non fu soltanto una figura centrale nella politica tedesca del dopoguerra, ma contribuì attivamente alla costruzione dell’identità e dei valori dell’Unione Europea moderna. Europarlamentare dal 1979 al 1983, si batté per un’Europa più unita, sociale e solidale, portando con sé la visione di una comunità capace di superare le divisioni ideologiche e geografiche. La sua esperienza politica maturata durante la guerra e durante l’esilio lo rese estremamente sensibile alla cooperazione internazionale e alla necessità di costruire ponti tra le nazioni.</w:t>
      </w:r>
    </w:p>
    <w:p w:rsidR="00000000" w:rsidDel="00000000" w:rsidP="00000000" w:rsidRDefault="00000000" w:rsidRPr="00000000" w14:paraId="00000004">
      <w:pPr>
        <w:spacing w:after="240" w:before="240" w:lineRule="auto"/>
        <w:rPr/>
      </w:pPr>
      <w:r w:rsidDel="00000000" w:rsidR="00000000" w:rsidRPr="00000000">
        <w:rPr>
          <w:rtl w:val="0"/>
        </w:rPr>
        <w:t xml:space="preserve">Nel Parlamento Europeo, Brandt difese un’Europa che non fosse solo un mercato, ma una forza politica attiva nel mondo. Il suo pensiero era in linea con figure come </w:t>
      </w:r>
      <w:r w:rsidDel="00000000" w:rsidR="00000000" w:rsidRPr="00000000">
        <w:rPr>
          <w:b w:val="1"/>
          <w:rtl w:val="0"/>
        </w:rPr>
        <w:t xml:space="preserve">Altiero Spinelli</w:t>
      </w:r>
      <w:r w:rsidDel="00000000" w:rsidR="00000000" w:rsidRPr="00000000">
        <w:rPr>
          <w:rtl w:val="0"/>
        </w:rPr>
        <w:t xml:space="preserve">, padre del federalismo europeo, con cui condivideva la visione di un’Unione sovranazionale, democratica e capace di prevenire i conflitti. Altri sostenitori della sua linea furono leader come </w:t>
      </w:r>
      <w:r w:rsidDel="00000000" w:rsidR="00000000" w:rsidRPr="00000000">
        <w:rPr>
          <w:b w:val="1"/>
          <w:rtl w:val="0"/>
        </w:rPr>
        <w:t xml:space="preserve">Jacques Delors</w:t>
      </w:r>
      <w:r w:rsidDel="00000000" w:rsidR="00000000" w:rsidRPr="00000000">
        <w:rPr>
          <w:rtl w:val="0"/>
        </w:rPr>
        <w:t xml:space="preserve">, che negli anni ’80 promosse un’Europa più integrata economicamente e socialmente, e </w:t>
      </w:r>
      <w:r w:rsidDel="00000000" w:rsidR="00000000" w:rsidRPr="00000000">
        <w:rPr>
          <w:b w:val="1"/>
          <w:rtl w:val="0"/>
        </w:rPr>
        <w:t xml:space="preserve">Poul Nyrup Rasmussen</w:t>
      </w:r>
      <w:r w:rsidDel="00000000" w:rsidR="00000000" w:rsidRPr="00000000">
        <w:rPr>
          <w:rtl w:val="0"/>
        </w:rPr>
        <w:t xml:space="preserve">, socialdemocratico danese con una forte attenzione alle politiche redistributive e di sviluppo.</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o6mn3awfpw0" w:id="2"/>
      <w:bookmarkEnd w:id="2"/>
      <w:r w:rsidDel="00000000" w:rsidR="00000000" w:rsidRPr="00000000">
        <w:rPr>
          <w:b w:val="1"/>
          <w:color w:val="000000"/>
          <w:sz w:val="26"/>
          <w:szCs w:val="26"/>
          <w:rtl w:val="0"/>
        </w:rPr>
        <w:t xml:space="preserve">🌍 La Commissione Nord-Sud e il Brandt Report</w:t>
      </w:r>
    </w:p>
    <w:p w:rsidR="00000000" w:rsidDel="00000000" w:rsidP="00000000" w:rsidRDefault="00000000" w:rsidRPr="00000000" w14:paraId="00000007">
      <w:pPr>
        <w:spacing w:after="240" w:before="240" w:lineRule="auto"/>
        <w:rPr/>
      </w:pPr>
      <w:r w:rsidDel="00000000" w:rsidR="00000000" w:rsidRPr="00000000">
        <w:rPr>
          <w:rtl w:val="0"/>
        </w:rPr>
        <w:t xml:space="preserve">Nel 1977 Brandt fu chiamato a presiedere la </w:t>
      </w:r>
      <w:r w:rsidDel="00000000" w:rsidR="00000000" w:rsidRPr="00000000">
        <w:rPr>
          <w:b w:val="1"/>
          <w:rtl w:val="0"/>
        </w:rPr>
        <w:t xml:space="preserve">Commissione Nord-Sud per le Questioni Sviluppo Internazionale</w:t>
      </w:r>
      <w:r w:rsidDel="00000000" w:rsidR="00000000" w:rsidRPr="00000000">
        <w:rPr>
          <w:rtl w:val="0"/>
        </w:rPr>
        <w:t xml:space="preserve">, un organismo internazionale indipendente che riuniva esperti, leader politici ed economisti da tutto il mondo (tra cui Edward Heath, Olof Palme e Julius Nyerere). Lo scopo era analizzare il divario crescente tra Paesi ricchi (del Nord) e poveri (del Sud) e proporre soluzioni concrete.</w:t>
      </w:r>
    </w:p>
    <w:p w:rsidR="00000000" w:rsidDel="00000000" w:rsidP="00000000" w:rsidRDefault="00000000" w:rsidRPr="00000000" w14:paraId="00000008">
      <w:pPr>
        <w:spacing w:after="240" w:before="240" w:lineRule="auto"/>
        <w:rPr/>
      </w:pPr>
      <w:r w:rsidDel="00000000" w:rsidR="00000000" w:rsidRPr="00000000">
        <w:rPr>
          <w:rtl w:val="0"/>
        </w:rPr>
        <w:t xml:space="preserve">Il </w:t>
      </w:r>
      <w:r w:rsidDel="00000000" w:rsidR="00000000" w:rsidRPr="00000000">
        <w:rPr>
          <w:b w:val="1"/>
          <w:rtl w:val="0"/>
        </w:rPr>
        <w:t xml:space="preserve">Brandt Report</w:t>
      </w:r>
      <w:r w:rsidDel="00000000" w:rsidR="00000000" w:rsidRPr="00000000">
        <w:rPr>
          <w:rtl w:val="0"/>
        </w:rPr>
        <w:t xml:space="preserve">, pubblicato nel 1980, fu un documento rivoluzionario: proponeva </w:t>
      </w:r>
      <w:r w:rsidDel="00000000" w:rsidR="00000000" w:rsidRPr="00000000">
        <w:rPr>
          <w:b w:val="1"/>
          <w:rtl w:val="0"/>
        </w:rPr>
        <w:t xml:space="preserve">un nuovo ordine economico mondiale</w:t>
      </w:r>
      <w:r w:rsidDel="00000000" w:rsidR="00000000" w:rsidRPr="00000000">
        <w:rPr>
          <w:rtl w:val="0"/>
        </w:rPr>
        <w:t xml:space="preserve"> basato sulla cooperazione globale, la riduzione delle disuguaglianze e la solidarietà. I punti salienti erano:</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Aumento degli aiuti allo sviluppo e riduzione del debito estero</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Creazione di un commercio internazionale più equo</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Riforma delle istituzioni finanziarie internazionali</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Maggiore responsabilità politica dei Paesi del Nord, soprattutto europei</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Questo rapporto influenzò direttamente molte politiche UE degli anni successivi, specialmente nel campo della </w:t>
      </w:r>
      <w:r w:rsidDel="00000000" w:rsidR="00000000" w:rsidRPr="00000000">
        <w:rPr>
          <w:b w:val="1"/>
          <w:rtl w:val="0"/>
        </w:rPr>
        <w:t xml:space="preserve">cooperazione allo sviluppo</w:t>
      </w:r>
      <w:r w:rsidDel="00000000" w:rsidR="00000000" w:rsidRPr="00000000">
        <w:rPr>
          <w:rtl w:val="0"/>
        </w:rPr>
        <w:t xml:space="preserve">, divenuta uno dei pilastri esterni dell’Unione.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vqzk6iraw4p" w:id="3"/>
      <w:bookmarkEnd w:id="3"/>
      <w:r w:rsidDel="00000000" w:rsidR="00000000" w:rsidRPr="00000000">
        <w:rPr>
          <w:b w:val="1"/>
          <w:color w:val="000000"/>
          <w:sz w:val="26"/>
          <w:szCs w:val="26"/>
          <w:rtl w:val="0"/>
        </w:rPr>
        <w:t xml:space="preserve">🕊 Il Premio Nobel per la Pace (1971)</w:t>
      </w:r>
    </w:p>
    <w:p w:rsidR="00000000" w:rsidDel="00000000" w:rsidP="00000000" w:rsidRDefault="00000000" w:rsidRPr="00000000" w14:paraId="00000010">
      <w:pPr>
        <w:spacing w:after="240" w:before="240" w:lineRule="auto"/>
        <w:rPr/>
      </w:pPr>
      <w:r w:rsidDel="00000000" w:rsidR="00000000" w:rsidRPr="00000000">
        <w:rPr>
          <w:rtl w:val="0"/>
        </w:rPr>
        <w:t xml:space="preserve">Willy Brandt ricevette il Premio Nobel per la Pace nel 1971 per la sua coraggiosa </w:t>
      </w:r>
      <w:r w:rsidDel="00000000" w:rsidR="00000000" w:rsidRPr="00000000">
        <w:rPr>
          <w:b w:val="1"/>
          <w:rtl w:val="0"/>
        </w:rPr>
        <w:t xml:space="preserve">politica di distensione verso l’Est (Ostpolitik)</w:t>
      </w:r>
      <w:r w:rsidDel="00000000" w:rsidR="00000000" w:rsidRPr="00000000">
        <w:rPr>
          <w:rtl w:val="0"/>
        </w:rPr>
        <w:t xml:space="preserve">. I suoi sforzi diplomatici con l’Unione Sovietica, la Polonia e la DDR non solo ridussero le tensioni della Guerra Fredda, ma gettarono le basi per una futura </w:t>
      </w:r>
      <w:r w:rsidDel="00000000" w:rsidR="00000000" w:rsidRPr="00000000">
        <w:rPr>
          <w:b w:val="1"/>
          <w:rtl w:val="0"/>
        </w:rPr>
        <w:t xml:space="preserve">riunificazione tedesca</w:t>
      </w:r>
      <w:r w:rsidDel="00000000" w:rsidR="00000000" w:rsidRPr="00000000">
        <w:rPr>
          <w:rtl w:val="0"/>
        </w:rPr>
        <w:t xml:space="preserve"> e un'Europa meno divisa.</w:t>
      </w:r>
    </w:p>
    <w:p w:rsidR="00000000" w:rsidDel="00000000" w:rsidP="00000000" w:rsidRDefault="00000000" w:rsidRPr="00000000" w14:paraId="00000011">
      <w:pPr>
        <w:spacing w:after="240" w:before="240" w:lineRule="auto"/>
        <w:rPr/>
      </w:pPr>
      <w:r w:rsidDel="00000000" w:rsidR="00000000" w:rsidRPr="00000000">
        <w:rPr>
          <w:rtl w:val="0"/>
        </w:rPr>
        <w:t xml:space="preserve">Il momento simbolico del suo mandato fu il </w:t>
      </w:r>
      <w:r w:rsidDel="00000000" w:rsidR="00000000" w:rsidRPr="00000000">
        <w:rPr>
          <w:b w:val="1"/>
          <w:rtl w:val="0"/>
        </w:rPr>
        <w:t xml:space="preserve">7 dicembre 1970</w:t>
      </w:r>
      <w:r w:rsidDel="00000000" w:rsidR="00000000" w:rsidRPr="00000000">
        <w:rPr>
          <w:rtl w:val="0"/>
        </w:rPr>
        <w:t xml:space="preserve">, quando durante una visita al Monumento agli Eroi del Ghetto di Varsavia, Brandt si inginocchiò in silenzio. Il gesto, non programmato, fu interpretato come un’ammissione di colpa collettiva della Germania per i crimini del passato. Quel momento divenne un simbolo potente della </w:t>
      </w:r>
      <w:r w:rsidDel="00000000" w:rsidR="00000000" w:rsidRPr="00000000">
        <w:rPr>
          <w:b w:val="1"/>
          <w:rtl w:val="0"/>
        </w:rPr>
        <w:t xml:space="preserve">nuova identità morale dell’Europa</w:t>
      </w:r>
      <w:r w:rsidDel="00000000" w:rsidR="00000000" w:rsidRPr="00000000">
        <w:rPr>
          <w:rtl w:val="0"/>
        </w:rPr>
        <w:t xml:space="preserve">, basata su memoria, riconciliazione e pace.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w9dvigh4dyc" w:id="4"/>
      <w:bookmarkEnd w:id="4"/>
      <w:r w:rsidDel="00000000" w:rsidR="00000000" w:rsidRPr="00000000">
        <w:rPr>
          <w:b w:val="1"/>
          <w:color w:val="000000"/>
          <w:sz w:val="26"/>
          <w:szCs w:val="26"/>
          <w:rtl w:val="0"/>
        </w:rPr>
        <w:t xml:space="preserve">🇪🇺 Impatti concreti sulle politiche europee</w:t>
      </w:r>
    </w:p>
    <w:p w:rsidR="00000000" w:rsidDel="00000000" w:rsidP="00000000" w:rsidRDefault="00000000" w:rsidRPr="00000000" w14:paraId="00000014">
      <w:pPr>
        <w:spacing w:after="240" w:before="240" w:lineRule="auto"/>
        <w:rPr/>
      </w:pPr>
      <w:r w:rsidDel="00000000" w:rsidR="00000000" w:rsidRPr="00000000">
        <w:rPr>
          <w:rtl w:val="0"/>
        </w:rPr>
        <w:t xml:space="preserve">L’influenza di Brandt sull’Europa si tradusse in vari ambiti:</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Contribuì a </w:t>
      </w:r>
      <w:r w:rsidDel="00000000" w:rsidR="00000000" w:rsidRPr="00000000">
        <w:rPr>
          <w:b w:val="1"/>
          <w:rtl w:val="0"/>
        </w:rPr>
        <w:t xml:space="preserve">normalizzare i rapporti tra Est e Ovest</w:t>
      </w:r>
      <w:r w:rsidDel="00000000" w:rsidR="00000000" w:rsidRPr="00000000">
        <w:rPr>
          <w:rtl w:val="0"/>
        </w:rPr>
        <w:t xml:space="preserve">, riducendo le tensioni che paralizzavano lo sviluppo dell’integrazione europea.</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Fu uno dei primi leader a </w:t>
      </w:r>
      <w:r w:rsidDel="00000000" w:rsidR="00000000" w:rsidRPr="00000000">
        <w:rPr>
          <w:b w:val="1"/>
          <w:rtl w:val="0"/>
        </w:rPr>
        <w:t xml:space="preserve">sostenere l’allargamento dell’UE ai Paesi dell’Est</w:t>
      </w:r>
      <w:r w:rsidDel="00000000" w:rsidR="00000000" w:rsidRPr="00000000">
        <w:rPr>
          <w:rtl w:val="0"/>
        </w:rPr>
        <w:t xml:space="preserve">, ben prima che ciò fosse ritenuto possibile.</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Il suo approccio multilaterale alla cooperazione internazionale anticipò molte politiche esterne dell’UE, in particolare i fondi per lo sviluppo e gli accordi commerciali equi con i Paesi ACP (Africa, Caraibi, Pacifico).</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La sua attenzione alla </w:t>
      </w:r>
      <w:r w:rsidDel="00000000" w:rsidR="00000000" w:rsidRPr="00000000">
        <w:rPr>
          <w:b w:val="1"/>
          <w:rtl w:val="0"/>
        </w:rPr>
        <w:t xml:space="preserve">giustizia sociale e alla solidarietà</w:t>
      </w:r>
      <w:r w:rsidDel="00000000" w:rsidR="00000000" w:rsidRPr="00000000">
        <w:rPr>
          <w:rtl w:val="0"/>
        </w:rPr>
        <w:t xml:space="preserve"> è oggi parte dell’identità dell’UE, come evidenziato nel </w:t>
      </w:r>
      <w:r w:rsidDel="00000000" w:rsidR="00000000" w:rsidRPr="00000000">
        <w:rPr>
          <w:b w:val="1"/>
          <w:rtl w:val="0"/>
        </w:rPr>
        <w:t xml:space="preserve">Pilastro europeo dei diritti sociali</w:t>
      </w:r>
      <w:r w:rsidDel="00000000" w:rsidR="00000000" w:rsidRPr="00000000">
        <w:rPr>
          <w:rtl w:val="0"/>
        </w:rPr>
        <w:t xml:space="preserve">.</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8brmagm0fw5" w:id="5"/>
      <w:bookmarkEnd w:id="5"/>
      <w:r w:rsidDel="00000000" w:rsidR="00000000" w:rsidRPr="00000000">
        <w:rPr>
          <w:b w:val="1"/>
          <w:color w:val="000000"/>
          <w:sz w:val="26"/>
          <w:szCs w:val="26"/>
          <w:rtl w:val="0"/>
        </w:rPr>
        <w:t xml:space="preserve">🧭 L’eredità europea e il progetto Spinelli</w:t>
      </w:r>
    </w:p>
    <w:p w:rsidR="00000000" w:rsidDel="00000000" w:rsidP="00000000" w:rsidRDefault="00000000" w:rsidRPr="00000000" w14:paraId="0000001B">
      <w:pPr>
        <w:spacing w:after="240" w:before="240" w:lineRule="auto"/>
        <w:rPr/>
      </w:pPr>
      <w:r w:rsidDel="00000000" w:rsidR="00000000" w:rsidRPr="00000000">
        <w:rPr>
          <w:rtl w:val="0"/>
        </w:rPr>
        <w:t xml:space="preserve">L’idea di un’Europa federale, democratica e pacifica, avanzata da </w:t>
      </w:r>
      <w:r w:rsidDel="00000000" w:rsidR="00000000" w:rsidRPr="00000000">
        <w:rPr>
          <w:b w:val="1"/>
          <w:rtl w:val="0"/>
        </w:rPr>
        <w:t xml:space="preserve">Spinelli nel Manifesto di Ventotene</w:t>
      </w:r>
      <w:r w:rsidDel="00000000" w:rsidR="00000000" w:rsidRPr="00000000">
        <w:rPr>
          <w:rtl w:val="0"/>
        </w:rPr>
        <w:t xml:space="preserve">, trovò in Brandt un importante sostenitore. Entrambi vedevano l’UE non solo come un’alleanza economica, ma come un </w:t>
      </w:r>
      <w:r w:rsidDel="00000000" w:rsidR="00000000" w:rsidRPr="00000000">
        <w:rPr>
          <w:b w:val="1"/>
          <w:rtl w:val="0"/>
        </w:rPr>
        <w:t xml:space="preserve">progetto politico e morale</w:t>
      </w:r>
      <w:r w:rsidDel="00000000" w:rsidR="00000000" w:rsidRPr="00000000">
        <w:rPr>
          <w:rtl w:val="0"/>
        </w:rPr>
        <w:t xml:space="preserve">. La riunificazione tedesca, avvenuta nel 1990 e salutata con commozione da Brandt, fu anche il coronamento del sogno di un’Europa unita, superando le divisioni del passato.</w:t>
      </w:r>
    </w:p>
    <w:p w:rsidR="00000000" w:rsidDel="00000000" w:rsidP="00000000" w:rsidRDefault="00000000" w:rsidRPr="00000000" w14:paraId="0000001C">
      <w:pPr>
        <w:spacing w:after="240" w:before="240" w:lineRule="auto"/>
        <w:rPr/>
      </w:pPr>
      <w:r w:rsidDel="00000000" w:rsidR="00000000" w:rsidRPr="00000000">
        <w:rPr>
          <w:rtl w:val="0"/>
        </w:rPr>
        <w:t xml:space="preserve">Brandt fu un costruttore di ponti. La sua eredità vive ancora oggi nei valori fondanti dell’UE: </w:t>
      </w:r>
      <w:r w:rsidDel="00000000" w:rsidR="00000000" w:rsidRPr="00000000">
        <w:rPr>
          <w:b w:val="1"/>
          <w:rtl w:val="0"/>
        </w:rPr>
        <w:t xml:space="preserve">pace, solidarietà, integrazione e cooperazione globale</w:t>
      </w:r>
      <w:r w:rsidDel="00000000" w:rsidR="00000000" w:rsidRPr="00000000">
        <w:rPr>
          <w:rtl w:val="0"/>
        </w:rPr>
        <w:t xml:space="preserve">. La sua azione politica continua a essere un riferimento in tempi di nuove crisi internazionali.</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