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rPr>
      </w:pPr>
      <w:bookmarkStart w:colFirst="0" w:colLast="0" w:name="_qhrmbu2ff5rm" w:id="0"/>
      <w:bookmarkEnd w:id="0"/>
      <w:r w:rsidDel="00000000" w:rsidR="00000000" w:rsidRPr="00000000">
        <w:rPr>
          <w:b w:val="1"/>
          <w:color w:val="000000"/>
          <w:rtl w:val="0"/>
        </w:rPr>
        <w:t xml:space="preserve">Collegamento con l’Unione Europea</w:t>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Willy Brandt, oltre al suo ruolo centrale nella politica tedesca, fu anche una figura di primo piano nel processo di integrazione europea. La sua carriera politica, fortemente orientata alla cooperazione internazionale e alla distensione tra i blocchi durante la Guerra Fredda, contribuì indirettamente ma profondamente alla costruzione di un’identità europea fondata sulla pace, sul dialogo e sulla responsabilità comune.</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Nel 1979 fu eletto al Parlamento Europeo, dove sedette fino al 1983. Durante questo periodo promosse con forza una visione dell’Europa non solo come un’unione economica, ma anche come </w:t>
      </w:r>
      <w:r w:rsidDel="00000000" w:rsidR="00000000" w:rsidRPr="00000000">
        <w:rPr>
          <w:b w:val="1"/>
          <w:sz w:val="28"/>
          <w:szCs w:val="28"/>
          <w:rtl w:val="0"/>
        </w:rPr>
        <w:t xml:space="preserve">attore politico globale</w:t>
      </w:r>
      <w:r w:rsidDel="00000000" w:rsidR="00000000" w:rsidRPr="00000000">
        <w:rPr>
          <w:sz w:val="28"/>
          <w:szCs w:val="28"/>
          <w:rtl w:val="0"/>
        </w:rPr>
        <w:t xml:space="preserve"> capace di promuovere lo sviluppo, la giustizia sociale e la pace. Non a caso, nel 1977 aveva già assunto la presidenza della </w:t>
      </w:r>
      <w:r w:rsidDel="00000000" w:rsidR="00000000" w:rsidRPr="00000000">
        <w:rPr>
          <w:b w:val="1"/>
          <w:sz w:val="28"/>
          <w:szCs w:val="28"/>
          <w:rtl w:val="0"/>
        </w:rPr>
        <w:t xml:space="preserve">Commissione Nord-Sud</w:t>
      </w:r>
      <w:r w:rsidDel="00000000" w:rsidR="00000000" w:rsidRPr="00000000">
        <w:rPr>
          <w:sz w:val="28"/>
          <w:szCs w:val="28"/>
          <w:rtl w:val="0"/>
        </w:rPr>
        <w:t xml:space="preserve"> (North-South Commission), incaricata di riflettere sulle disuguaglianze mondiali e proporre soluzioni cooperative tra paesi industrializzati e in via di sviluppo. La Commissione, composta da economisti, esperti e politici di diversi continenti, presentò nel 1980 il celebre </w:t>
      </w:r>
      <w:r w:rsidDel="00000000" w:rsidR="00000000" w:rsidRPr="00000000">
        <w:rPr>
          <w:b w:val="1"/>
          <w:sz w:val="28"/>
          <w:szCs w:val="28"/>
          <w:rtl w:val="0"/>
        </w:rPr>
        <w:t xml:space="preserve">Brandt Report</w:t>
      </w:r>
      <w:r w:rsidDel="00000000" w:rsidR="00000000" w:rsidRPr="00000000">
        <w:rPr>
          <w:sz w:val="28"/>
          <w:szCs w:val="28"/>
          <w:rtl w:val="0"/>
        </w:rPr>
        <w:t xml:space="preserve">, in cui si sosteneva la necessità di un nuovo ordine economico internazionale fondato su equità e corresponsabilità.</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Le idee di Brandt trovarono sostegno all’interno del Parlamento Europeo in figure come </w:t>
      </w:r>
      <w:r w:rsidDel="00000000" w:rsidR="00000000" w:rsidRPr="00000000">
        <w:rPr>
          <w:b w:val="1"/>
          <w:sz w:val="28"/>
          <w:szCs w:val="28"/>
          <w:rtl w:val="0"/>
        </w:rPr>
        <w:t xml:space="preserve">Altiero Spinelli</w:t>
      </w:r>
      <w:r w:rsidDel="00000000" w:rsidR="00000000" w:rsidRPr="00000000">
        <w:rPr>
          <w:sz w:val="28"/>
          <w:szCs w:val="28"/>
          <w:rtl w:val="0"/>
        </w:rPr>
        <w:t xml:space="preserve">, che nel 1984 presentò il celebre “Progetto Spinelli”, una proposta di riforma federale dell’Unione Europea. Brandt e Spinelli condividevano la visione di un’Europa non soltanto integrata sul piano del mercato, ma anche </w:t>
      </w:r>
      <w:r w:rsidDel="00000000" w:rsidR="00000000" w:rsidRPr="00000000">
        <w:rPr>
          <w:b w:val="1"/>
          <w:sz w:val="28"/>
          <w:szCs w:val="28"/>
          <w:rtl w:val="0"/>
        </w:rPr>
        <w:t xml:space="preserve">unita politicamente</w:t>
      </w:r>
      <w:r w:rsidDel="00000000" w:rsidR="00000000" w:rsidRPr="00000000">
        <w:rPr>
          <w:sz w:val="28"/>
          <w:szCs w:val="28"/>
          <w:rtl w:val="0"/>
        </w:rPr>
        <w:t xml:space="preserve">, democratica e capace di agire nel mondo come forza per la pace e la giustizia.</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Anche altri parlamentari europei, come </w:t>
      </w:r>
      <w:r w:rsidDel="00000000" w:rsidR="00000000" w:rsidRPr="00000000">
        <w:rPr>
          <w:b w:val="1"/>
          <w:sz w:val="28"/>
          <w:szCs w:val="28"/>
          <w:rtl w:val="0"/>
        </w:rPr>
        <w:t xml:space="preserve">Poul Nyrup Rasmussen</w:t>
      </w:r>
      <w:r w:rsidDel="00000000" w:rsidR="00000000" w:rsidRPr="00000000">
        <w:rPr>
          <w:sz w:val="28"/>
          <w:szCs w:val="28"/>
          <w:rtl w:val="0"/>
        </w:rPr>
        <w:t xml:space="preserve"> (socialdemocratico danese) e </w:t>
      </w:r>
      <w:r w:rsidDel="00000000" w:rsidR="00000000" w:rsidRPr="00000000">
        <w:rPr>
          <w:b w:val="1"/>
          <w:sz w:val="28"/>
          <w:szCs w:val="28"/>
          <w:rtl w:val="0"/>
        </w:rPr>
        <w:t xml:space="preserve">Jacques Delors</w:t>
      </w:r>
      <w:r w:rsidDel="00000000" w:rsidR="00000000" w:rsidRPr="00000000">
        <w:rPr>
          <w:sz w:val="28"/>
          <w:szCs w:val="28"/>
          <w:rtl w:val="0"/>
        </w:rPr>
        <w:t xml:space="preserve">, condividevano e proseguivano la linea politica di Brandt, promuovendo una maggiore coesione sociale europea e un’azione comune in campo internazionale.</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Il </w:t>
      </w:r>
      <w:r w:rsidDel="00000000" w:rsidR="00000000" w:rsidRPr="00000000">
        <w:rPr>
          <w:b w:val="1"/>
          <w:sz w:val="28"/>
          <w:szCs w:val="28"/>
          <w:rtl w:val="0"/>
        </w:rPr>
        <w:t xml:space="preserve">Premio Nobel per la Pace</w:t>
      </w:r>
      <w:r w:rsidDel="00000000" w:rsidR="00000000" w:rsidRPr="00000000">
        <w:rPr>
          <w:sz w:val="28"/>
          <w:szCs w:val="28"/>
          <w:rtl w:val="0"/>
        </w:rPr>
        <w:t xml:space="preserve"> ricevuto da Brandt nel 1971 va letto non solo come riconoscimento personale, ma anche come momento simbolico per la futura identità dell’Europa. Il Comitato Nobel lo premiò per la sua </w:t>
      </w:r>
      <w:r w:rsidDel="00000000" w:rsidR="00000000" w:rsidRPr="00000000">
        <w:rPr>
          <w:b w:val="1"/>
          <w:sz w:val="28"/>
          <w:szCs w:val="28"/>
          <w:rtl w:val="0"/>
        </w:rPr>
        <w:t xml:space="preserve">Ostpolitik</w:t>
      </w:r>
      <w:r w:rsidDel="00000000" w:rsidR="00000000" w:rsidRPr="00000000">
        <w:rPr>
          <w:sz w:val="28"/>
          <w:szCs w:val="28"/>
          <w:rtl w:val="0"/>
        </w:rPr>
        <w:t xml:space="preserve"> e per il suo impegno nella riconciliazione con i paesi dell’Est, in particolare con la Polonia e l’Unione Sovietica. Il gesto dell’</w:t>
      </w:r>
      <w:r w:rsidDel="00000000" w:rsidR="00000000" w:rsidRPr="00000000">
        <w:rPr>
          <w:b w:val="1"/>
          <w:sz w:val="28"/>
          <w:szCs w:val="28"/>
          <w:rtl w:val="0"/>
        </w:rPr>
        <w:t xml:space="preserve">inginocchiarsi a Varsavia</w:t>
      </w:r>
      <w:r w:rsidDel="00000000" w:rsidR="00000000" w:rsidRPr="00000000">
        <w:rPr>
          <w:sz w:val="28"/>
          <w:szCs w:val="28"/>
          <w:rtl w:val="0"/>
        </w:rPr>
        <w:t xml:space="preserve">, di fronte al monumento del Ghetto distrutto dai nazisti, rappresentò un atto di responsabilità storica e morale che ebbe risonanza internazionale. Questo tipo di politica estera, basata sulla memoria, sull’empatia e sul dialogo, contribuì a migliorare i rapporti Est-Ovest e anticipò quello spirito di cooperazione che sarà decisivo per l’allargamento dell’Unione Europea dopo la caduta del Muro di Berlino.</w:t>
      </w:r>
    </w:p>
    <w:p w:rsidR="00000000" w:rsidDel="00000000" w:rsidP="00000000" w:rsidRDefault="00000000" w:rsidRPr="00000000" w14:paraId="00000007">
      <w:pPr>
        <w:spacing w:after="240" w:before="240" w:lineRule="auto"/>
        <w:jc w:val="both"/>
        <w:rPr>
          <w:sz w:val="28"/>
          <w:szCs w:val="28"/>
        </w:rPr>
      </w:pPr>
      <w:r w:rsidDel="00000000" w:rsidR="00000000" w:rsidRPr="00000000">
        <w:rPr>
          <w:sz w:val="28"/>
          <w:szCs w:val="28"/>
          <w:rtl w:val="0"/>
        </w:rPr>
        <w:t xml:space="preserve">L’effetto delle sue azioni si estese oltre i confini tedeschi: i suoi trattati con l’Est e la visione di una Germania pacificata e cooperante influenzarono </w:t>
      </w:r>
      <w:r w:rsidDel="00000000" w:rsidR="00000000" w:rsidRPr="00000000">
        <w:rPr>
          <w:b w:val="1"/>
          <w:sz w:val="28"/>
          <w:szCs w:val="28"/>
          <w:rtl w:val="0"/>
        </w:rPr>
        <w:t xml:space="preserve">positivamente i paesi europei occidentali</w:t>
      </w:r>
      <w:r w:rsidDel="00000000" w:rsidR="00000000" w:rsidRPr="00000000">
        <w:rPr>
          <w:sz w:val="28"/>
          <w:szCs w:val="28"/>
          <w:rtl w:val="0"/>
        </w:rPr>
        <w:t xml:space="preserve">, rafforzando l’idea che l’unità politica e il superamento dei nazionalismi fossero strumenti indispensabili per la stabilità del continente. La sua Ostpolitik, inizialmente criticata, fu rivalutata nel tempo come </w:t>
      </w:r>
      <w:r w:rsidDel="00000000" w:rsidR="00000000" w:rsidRPr="00000000">
        <w:rPr>
          <w:b w:val="1"/>
          <w:sz w:val="28"/>
          <w:szCs w:val="28"/>
          <w:rtl w:val="0"/>
        </w:rPr>
        <w:t xml:space="preserve">fondamentale per il crollo del blocco sovietico</w:t>
      </w:r>
      <w:r w:rsidDel="00000000" w:rsidR="00000000" w:rsidRPr="00000000">
        <w:rPr>
          <w:sz w:val="28"/>
          <w:szCs w:val="28"/>
          <w:rtl w:val="0"/>
        </w:rPr>
        <w:t xml:space="preserve"> e per la futura riunificazione tedesca all’interno di un’Europa unita.</w:t>
      </w:r>
    </w:p>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tl w:val="0"/>
        </w:rPr>
        <w:t xml:space="preserve">In sintesi, l’eredità di Willy Brandt vive oggi nei </w:t>
      </w:r>
      <w:r w:rsidDel="00000000" w:rsidR="00000000" w:rsidRPr="00000000">
        <w:rPr>
          <w:b w:val="1"/>
          <w:sz w:val="28"/>
          <w:szCs w:val="28"/>
          <w:rtl w:val="0"/>
        </w:rPr>
        <w:t xml:space="preserve">principi fondanti dell’Unione Europea</w:t>
      </w:r>
      <w:r w:rsidDel="00000000" w:rsidR="00000000" w:rsidRPr="00000000">
        <w:rPr>
          <w:sz w:val="28"/>
          <w:szCs w:val="28"/>
          <w:rtl w:val="0"/>
        </w:rPr>
        <w:t xml:space="preserve">: la promozione della pace, la cooperazione tra i popoli, il rispetto dei diritti umani e lo sviluppo sostenibile. Il suo pensiero ha influenzato direttamente i dibattiti sul futuro dell’Unione e continua a ispirare la sua evoluzione politica.</w:t>
      </w:r>
    </w:p>
    <w:p w:rsidR="00000000" w:rsidDel="00000000" w:rsidP="00000000" w:rsidRDefault="00000000" w:rsidRPr="00000000" w14:paraId="00000009">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