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rFonts w:ascii="Bookman Old Style" w:hAnsi="Bookman Old Style" w:cs="Bookman Old Style" w:eastAsia="Bookman Old Style"/>
          <w:b/>
          <w:i w:val="0"/>
          <w:sz w:val="24"/>
          <w:u w:val="none"/>
        </w:rPr>
        <w:t>CONCEPCION</w:t>
      </w:r>
      <w:r>
        <w:rPr>
          <w:rFonts w:ascii="Bookman Old Style" w:hAnsi="Bookman Old Style" w:cs="Bookman Old Style" w:eastAsia="Bookman Old Style"/>
          <w:b w:val="0"/>
          <w:i w:val="0"/>
          <w:sz w:val="24"/>
          <w:u w:val="none"/>
        </w:rPr>
        <w:t>, 02 de octubre del 2026.-</w:t>
      </w:r>
    </w:p>
    <w:p>
      <w:pPr>
        <w:spacing w:before="0" w:after="0"/>
        <w:jc w:val="right"/>
      </w:pPr>
      <w:r>
        <w:rPr>
          <w:rFonts w:ascii="Bookman Old Style" w:hAnsi="Bookman Old Style" w:cs="Bookman Old Style" w:eastAsia="Bookman Old Style"/>
          <w:b w:val="0"/>
          <w:i w:val="0"/>
          <w:sz w:val="24"/>
          <w:u w:val="none"/>
        </w:rPr>
        <w:t xml:space="preserve">CNº </w:t>
      </w:r>
      <w:r>
        <w:rPr>
          <w:rFonts w:ascii="Bookman Old Style" w:hAnsi="Bookman Old Style" w:cs="Bookman Old Style" w:eastAsia="Bookman Old Style"/>
          <w:b w:val="0"/>
          <w:i w:val="0"/>
          <w:sz w:val="24"/>
          <w:highlight w:val="yellow"/>
          <w:u w:val="none"/>
        </w:rPr>
        <w:t>__/26</w:t>
      </w:r>
    </w:p>
    <w:p>
      <w:pPr>
        <w:spacing w:before="200" w:after="0"/>
      </w:pPr>
      <w:r>
        <w:rPr>
          <w:rFonts w:ascii="Bookman Old Style" w:hAnsi="Bookman Old Style" w:cs="Bookman Old Style" w:eastAsia="Bookman Old Style"/>
          <w:b w:val="0"/>
          <w:i w:val="0"/>
          <w:sz w:val="24"/>
          <w:u w:val="none"/>
        </w:rPr>
        <w:t>Señores.</w:t>
      </w:r>
    </w:p>
    <w:p>
      <w:pPr>
        <w:spacing w:before="0" w:after="0"/>
      </w:pPr>
      <w:r>
        <w:rPr>
          <w:rFonts w:ascii="Arial" w:hAnsi="Arial" w:cs="Arial" w:eastAsia="Arial"/>
          <w:b/>
          <w:i w:val="0"/>
          <w:sz w:val="18"/>
          <w:u w:val="none"/>
        </w:rPr>
        <w:t>MSTD INGENIERÍA.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/>
          <w:i w:val="0"/>
          <w:sz w:val="24"/>
          <w:u w:val="none"/>
        </w:rPr>
        <w:t>At.: Sr. Ricardo Briones.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/>
          <w:i w:val="0"/>
          <w:sz w:val="24"/>
          <w:u w:val="none"/>
        </w:rPr>
        <w:t>Jefe de Laboratorio.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/>
          <w:i w:val="0"/>
          <w:sz w:val="24"/>
          <w:u w:val="none"/>
        </w:rPr>
        <w:t>Presente.</w:t>
      </w:r>
    </w:p>
    <w:p>
      <w:pPr>
        <w:spacing w:before="320" w:after="0"/>
        <w:ind w:right="800"/>
        <w:jc w:val="right"/>
      </w:pPr>
      <w:r>
        <w:rPr>
          <w:rFonts w:ascii="Bookman Old Style" w:hAnsi="Bookman Old Style" w:cs="Bookman Old Style" w:eastAsia="Bookman Old Style"/>
          <w:b w:val="0"/>
          <w:i w:val="0"/>
          <w:sz w:val="24"/>
          <w:u w:val="none"/>
        </w:rPr>
        <w:t>Ref.: Solicitud de Ensayos</w:t>
      </w:r>
    </w:p>
    <w:p>
      <w:pPr>
        <w:spacing w:before="280" w:after="0"/>
      </w:pPr>
      <w:r>
        <w:rPr>
          <w:rFonts w:ascii="Bookman Old Style" w:hAnsi="Bookman Old Style" w:cs="Bookman Old Style" w:eastAsia="Bookman Old Style"/>
          <w:b w:val="0"/>
          <w:i w:val="0"/>
          <w:sz w:val="24"/>
          <w:u w:val="none"/>
        </w:rPr>
        <w:t>De nuestra consideración:</w:t>
      </w:r>
    </w:p>
    <w:p>
      <w:pPr>
        <w:spacing w:before="280" w:after="0"/>
        <w:ind w:firstLine="300"/>
        <w:jc w:val="both"/>
      </w:pPr>
      <w:r>
        <w:rPr>
          <w:rFonts w:ascii="Bookman Old Style" w:hAnsi="Bookman Old Style" w:cs="Bookman Old Style" w:eastAsia="Bookman Old Style"/>
          <w:b w:val="0"/>
          <w:i w:val="0"/>
          <w:sz w:val="22"/>
          <w:u w:val="none"/>
        </w:rPr>
        <w:t>Mediante la presente, se hace ingreso de 15 muestras de Suelos extraídas del Proyecto: “Sondajes Planta Nueva Aldea”.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 w:val="0"/>
          <w:i w:val="0"/>
          <w:sz w:val="22"/>
          <w:u w:val="none"/>
        </w:rPr>
        <w:t>Ubicación: Planta Nueva Aldea, comuna de Ránquil, Región de Ñuble.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 w:val="0"/>
          <w:i w:val="0"/>
          <w:sz w:val="22"/>
          <w:u w:val="none"/>
        </w:rPr>
        <w:t>Mandante: Pangea Geotecnia.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 w:val="0"/>
          <w:i w:val="0"/>
          <w:sz w:val="22"/>
          <w:u w:val="none"/>
        </w:rPr>
        <w:t>Solicitante: Solut Ingeniería Spa.</w:t>
      </w:r>
    </w:p>
    <w:p>
      <w:pPr>
        <w:spacing w:before="0" w:after="0"/>
      </w:pPr>
      <w:r>
        <w:rPr>
          <w:rFonts w:ascii="Bookman Old Style" w:hAnsi="Bookman Old Style" w:cs="Bookman Old Style" w:eastAsia="Bookman Old Style"/>
          <w:b w:val="0"/>
          <w:i w:val="0"/>
          <w:sz w:val="22"/>
          <w:u w:val="none"/>
        </w:rPr>
        <w:t>At: Sr. Felipe Matamala Andrades.</w:t>
      </w:r>
    </w:p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Muestra</w:t>
            </w:r>
            <w:r>
              <w:br/>
            </w: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N°</w:t>
            </w:r>
          </w:p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Procedencia</w:t>
            </w:r>
          </w:p>
        </w:tc>
        <w:tc>
          <w:tcPr>
            <w:tcW w:type="dxa" w:w="2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Coordenadas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Fecha</w:t>
            </w:r>
            <w:r>
              <w:br/>
            </w: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Muestreo</w:t>
            </w:r>
          </w:p>
        </w:tc>
        <w:tc>
          <w:tcPr>
            <w:tcW w:type="dxa" w:w="34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8"/>
                <w:u w:val="none"/>
              </w:rPr>
              <w:t>Ensayos</w:t>
            </w:r>
          </w:p>
        </w:tc>
      </w:tr>
      <w:tr>
        <w:trPr>
          <w:cantSplit/>
        </w:trPr>
        <w:tc>
          <w:tcPr>
            <w:tcW w:type="dxa" w:w="112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S-1</w:t>
            </w:r>
          </w:p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M-03 Cotas 1,50-2,00m</w:t>
            </w:r>
          </w:p>
        </w:tc>
        <w:tc>
          <w:tcPr>
            <w:tcW w:type="dxa" w:w="24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N: 5.939.995    E: 725.740</w:t>
            </w:r>
          </w:p>
        </w:tc>
        <w:tc>
          <w:tcPr>
            <w:tcW w:type="dxa" w:w="15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23 y 24/09/26</w:t>
            </w:r>
          </w:p>
        </w:tc>
        <w:tc>
          <w:tcPr>
            <w:tcW w:type="dxa" w:w="342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H. Natural-Granulometría-IP-Clasificación -DPS.</w:t>
            </w:r>
          </w:p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M-05 Cotas 2,45-3,00m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M-09 Cotas 4,70-5,00m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M-11 Cotas 5,45-6,00m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M-15 Cotas 7,45-8,00m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M-17 Cotas 8,45-9,00m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M-19 Cotas 9,45-10,00m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S-2</w:t>
            </w:r>
          </w:p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M-03 Cotas 1,40-2,00m</w:t>
            </w:r>
          </w:p>
        </w:tc>
        <w:tc>
          <w:tcPr>
            <w:tcW w:type="dxa" w:w="24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N: 5.940.012    E: 725.831</w:t>
            </w:r>
          </w:p>
        </w:tc>
        <w:tc>
          <w:tcPr>
            <w:tcW w:type="dxa" w:w="15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25/09/26</w:t>
            </w:r>
          </w:p>
        </w:tc>
        <w:tc>
          <w:tcPr>
            <w:tcW w:type="dxa" w:w="342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H. Natural-Granulometría-IP-Clasificación -DPS.</w:t>
            </w:r>
          </w:p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M-05 Cotas 2,45-3,00m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M-07 Cotas 3,70-4,00m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M-09 Cotas 4,45-5,00m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M-11 Cotas 5,45-6,00m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M-15 Cotas 7,45-8,00m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M-17 Cotas 8,45-9,00m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  <w:tr>
        <w:trPr>
          <w:cantSplit/>
        </w:trPr>
        <w:tc>
          <w:tcPr>
            <w:tcW w:type="dxa" w:w="1120"/>
            <w:vMerge/>
          </w:tcPr>
          <w:p/>
        </w:tc>
        <w:tc>
          <w:tcPr>
            <w:tcW w:type="dxa" w:w="23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  <w:u w:val="none"/>
              </w:rPr>
              <w:t>M-19 Cotas 9,45-10,00m</w:t>
            </w:r>
          </w:p>
        </w:tc>
        <w:tc>
          <w:tcPr>
            <w:tcW w:type="dxa" w:w="248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3420"/>
            <w:vMerge/>
          </w:tcPr>
          <w:p/>
        </w:tc>
      </w:tr>
    </w:tbl>
    <w:p>
      <w:pPr>
        <w:keepNext/>
        <w:spacing w:before="520" w:after="160"/>
      </w:pPr>
      <w:r>
        <w:rPr>
          <w:rFonts w:ascii="Arial" w:hAnsi="Arial" w:cs="Arial" w:eastAsia="Arial"/>
          <w:b/>
          <w:i w:val="0"/>
          <w:sz w:val="20"/>
          <w:u w:val="single"/>
        </w:rPr>
        <w:t>Observaciones:</w:t>
      </w:r>
    </w:p>
    <w:p>
      <w:pPr>
        <w:keepNext/>
        <w:spacing w:before="0" w:after="20"/>
      </w:pPr>
      <w:r>
        <w:rPr>
          <w:rFonts w:ascii="Arial" w:hAnsi="Arial" w:cs="Arial" w:eastAsia="Arial"/>
          <w:b w:val="0"/>
          <w:i w:val="0"/>
          <w:sz w:val="19"/>
          <w:u w:val="none"/>
        </w:rPr>
        <w:t>- Todos los ensayos deberán ser ejecutados según normativa vigente aplicable.</w:t>
      </w:r>
    </w:p>
    <w:p>
      <w:pPr>
        <w:keepNext/>
        <w:spacing w:before="0" w:after="20"/>
      </w:pPr>
      <w:r>
        <w:rPr>
          <w:rFonts w:ascii="Arial" w:hAnsi="Arial" w:cs="Arial" w:eastAsia="Arial"/>
          <w:b w:val="0"/>
          <w:i w:val="0"/>
          <w:sz w:val="19"/>
          <w:u w:val="none"/>
        </w:rPr>
        <w:t>- Informar a la brevedad cualquier tipo de condición que impida la correcta ejecución de los ensayos solicitados.</w:t>
      </w:r>
    </w:p>
    <w:p>
      <w:pPr>
        <w:keepNext/>
        <w:spacing w:before="0" w:after="20"/>
      </w:pPr>
      <w:r>
        <w:rPr>
          <w:rFonts w:ascii="Arial" w:hAnsi="Arial" w:cs="Arial" w:eastAsia="Arial"/>
          <w:b w:val="0"/>
          <w:i w:val="0"/>
          <w:sz w:val="19"/>
          <w:u w:val="none"/>
        </w:rPr>
        <w:t>- Entregar resultados en formato PDF.</w:t>
      </w:r>
    </w:p>
    <w:p>
      <w:pPr>
        <w:keepNext/>
        <w:spacing w:before="600" w:after="0"/>
      </w:pPr>
      <w:r>
        <w:rPr>
          <w:rFonts w:ascii="Arial" w:hAnsi="Arial" w:cs="Arial" w:eastAsia="Arial"/>
          <w:b w:val="0"/>
          <w:i w:val="0"/>
          <w:sz w:val="20"/>
          <w:u w:val="none"/>
        </w:rPr>
        <w:t>Sin otro particular,</w:t>
      </w:r>
    </w:p>
    <w:p>
      <w:pPr>
        <w:keepNext/>
        <w:spacing w:before="160" w:after="0"/>
      </w:pPr>
      <w:r>
        <w:rPr>
          <w:rFonts w:ascii="Arial" w:hAnsi="Arial" w:cs="Arial" w:eastAsia="Arial"/>
          <w:b w:val="0"/>
          <w:i w:val="0"/>
          <w:sz w:val="20"/>
          <w:u w:val="none"/>
        </w:rPr>
        <w:t>Atte.</w:t>
      </w:r>
    </w:p>
    <w:p>
      <w:pPr>
        <w:keepNext/>
        <w:spacing w:before="1400" w:after="0"/>
      </w:pPr>
    </w:p>
    <w:p>
      <w:pPr>
        <w:keepNext/>
        <w:spacing w:before="0" w:after="0"/>
        <w:ind w:left="3000"/>
        <w:jc w:val="center"/>
      </w:pPr>
      <w:r>
        <w:rPr>
          <w:rFonts w:ascii="Arial" w:hAnsi="Arial" w:cs="Arial" w:eastAsia="Arial"/>
          <w:b w:val="0"/>
          <w:i w:val="0"/>
          <w:sz w:val="20"/>
          <w:u w:val="none"/>
        </w:rPr>
        <w:t>Lito Rodríguez Torres</w:t>
      </w:r>
    </w:p>
    <w:p>
      <w:pPr>
        <w:keepNext/>
        <w:spacing w:before="0" w:after="0"/>
        <w:ind w:left="3000"/>
        <w:jc w:val="center"/>
      </w:pPr>
      <w:r>
        <w:rPr>
          <w:rFonts w:ascii="Arial" w:hAnsi="Arial" w:cs="Arial" w:eastAsia="Arial"/>
          <w:b w:val="0"/>
          <w:i w:val="0"/>
          <w:sz w:val="20"/>
          <w:u w:val="none"/>
        </w:rPr>
        <w:t>Jefe de Laboratorio</w:t>
      </w:r>
    </w:p>
    <w:p>
      <w:pPr>
        <w:keepNext/>
        <w:spacing w:before="0" w:after="0"/>
        <w:ind w:left="3000"/>
        <w:jc w:val="center"/>
      </w:pPr>
      <w:r>
        <w:rPr>
          <w:rFonts w:ascii="Arial" w:hAnsi="Arial" w:cs="Arial" w:eastAsia="Arial"/>
          <w:b w:val="0"/>
          <w:i w:val="0"/>
          <w:sz w:val="20"/>
          <w:u w:val="none"/>
        </w:rPr>
        <w:t>Solut Laboratorio SpA</w:t>
      </w:r>
    </w:p>
    <w:p>
      <w:pPr>
        <w:spacing w:before="800" w:after="0"/>
      </w:pPr>
      <w:r>
        <w:rPr>
          <w:rFonts w:ascii="Arial" w:hAnsi="Arial" w:cs="Arial" w:eastAsia="Arial"/>
          <w:b w:val="0"/>
          <w:i w:val="0"/>
          <w:sz w:val="20"/>
          <w:u w:val="none"/>
        </w:rPr>
        <w:t>FMA/LRT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360" w:right="720" w:bottom="1240" w:left="720" w:header="72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000000"/>
      </w:pBdr>
      <w:jc w:val="center"/>
    </w:pPr>
    <w:r>
      <w:rPr>
        <w:rFonts w:ascii="Arial" w:hAnsi="Arial" w:cs="Arial" w:eastAsia="Arial"/>
        <w:b w:val="0"/>
        <w:i w:val="0"/>
        <w:sz w:val="18"/>
        <w:u w:val="none"/>
      </w:rPr>
      <w:t xml:space="preserve">MAIPU 1623 - CONCEPCION - </w:t>
    </w:r>
    <w:hyperlink r:id="rId1">
      <w:r>
        <w:rPr>
          <w:rFonts w:ascii="Arial" w:hAnsi="Arial" w:cs="Arial"/>
          <w:color w:val="0000FF"/>
          <w:sz w:val="18"/>
          <w:u w:val="single"/>
        </w:rPr>
        <w:t>lrodriguez@solut.cl</w:t>
      </w:r>
    </w:hyperlink>
    <w:r>
      <w:rPr>
        <w:rFonts w:ascii="Arial" w:hAnsi="Arial" w:cs="Arial" w:eastAsia="Arial"/>
        <w:b w:val="0"/>
        <w:i w:val="0"/>
        <w:sz w:val="18"/>
        <w:u w:val="none"/>
      </w:rPr>
      <w:t xml:space="preserve"> - FONO +56936274496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720"/>
      <w:gridCol w:w="2720"/>
      <w:gridCol w:w="2720"/>
      <w:gridCol w:w="2720"/>
    </w:tblGrid>
    <w:tr>
      <w:tc>
        <w:tcPr>
          <w:tcW w:type="dxa" w:w="270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270000" cy="53391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olu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53391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4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left"/>
          </w:pPr>
          <w:r>
            <w:rPr>
              <w:rFonts w:ascii="Arial" w:hAnsi="Arial" w:cs="Arial" w:eastAsia="Arial"/>
              <w:b w:val="0"/>
              <w:i w:val="0"/>
              <w:sz w:val="18"/>
              <w:u w:val="none"/>
            </w:rPr>
            <w:t>Revisión N°:</w:t>
          </w:r>
        </w:p>
      </w:tc>
      <w:tc>
        <w:tcPr>
          <w:tcW w:type="dxa" w:w="272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>01</w:t>
          </w:r>
        </w:p>
      </w:tc>
      <w:tc>
        <w:tcPr>
          <w:tcW w:type="dxa" w:w="282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rPr>
              <w:rFonts w:ascii="Arial" w:hAnsi="Arial" w:cs="Arial" w:eastAsia="Arial"/>
              <w:b w:val="0"/>
              <w:i w:val="0"/>
              <w:sz w:val="18"/>
              <w:u w:val="none"/>
            </w:rPr>
            <w:t>Código:</w:t>
          </w:r>
          <w:r>
            <w:br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>CC-SLAB-01</w:t>
          </w:r>
        </w:p>
      </w:tc>
    </w:tr>
    <w:tr>
      <w:tc>
        <w:tcPr>
          <w:tcW w:type="dxa" w:w="2700"/>
          <w:vMerge/>
        </w:tcPr>
        <w:p/>
      </w:tc>
      <w:tc>
        <w:tcPr>
          <w:tcW w:type="dxa" w:w="264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left"/>
          </w:pPr>
          <w:r>
            <w:rPr>
              <w:rFonts w:ascii="Arial" w:hAnsi="Arial" w:cs="Arial" w:eastAsia="Arial"/>
              <w:b w:val="0"/>
              <w:i w:val="0"/>
              <w:sz w:val="18"/>
              <w:u w:val="none"/>
            </w:rPr>
            <w:t>Inicio Aplicación:</w:t>
          </w:r>
        </w:p>
      </w:tc>
      <w:tc>
        <w:tcPr>
          <w:tcW w:type="dxa" w:w="272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>24-06-2025</w:t>
          </w:r>
        </w:p>
      </w:tc>
      <w:tc>
        <w:tcPr>
          <w:tcW w:type="dxa" w:w="282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rPr>
              <w:rFonts w:ascii="Arial" w:hAnsi="Arial" w:cs="Arial" w:eastAsia="Arial"/>
              <w:b w:val="0"/>
              <w:i w:val="0"/>
              <w:sz w:val="18"/>
              <w:u w:val="none"/>
            </w:rPr>
            <w:t>Página</w:t>
          </w:r>
          <w:r>
            <w:br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begin"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instrText xml:space="preserve"> PAGE </w:instrText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separate"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>1</w:t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end"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 xml:space="preserve"> de </w:t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begin"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instrText xml:space="preserve"> NUMPAGES </w:instrText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separate"/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t>1</w:t>
          </w:r>
          <w:r>
            <w:rPr>
              <w:rFonts w:ascii="Arial" w:hAnsi="Arial" w:cs="Arial" w:eastAsia="Arial"/>
              <w:b/>
              <w:i w:val="0"/>
              <w:sz w:val="20"/>
              <w:u w:val="none"/>
            </w:rPr>
            <w:fldChar w:fldCharType="end"/>
          </w:r>
        </w:p>
      </w:tc>
    </w:tr>
    <w:tr>
      <w:tc>
        <w:tcPr>
          <w:tcW w:type="dxa" w:w="10880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  <w:tcMar>
            <w:top w:w="20" w:type="dxa"/>
            <w:left w:w="60" w:type="dxa"/>
            <w:bottom w:w="20" w:type="dxa"/>
            <w:right w:w="60" w:type="dxa"/>
          </w:tcMar>
          <w:tcMar>
            <w:top w:w="20" w:type="dxa"/>
            <w:left w:w="60" w:type="dxa"/>
            <w:bottom w:w="20" w:type="dxa"/>
            <w:right w:w="60" w:type="dxa"/>
          </w:tcMar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spacing w:after="0" w:before="0"/>
            <w:jc w:val="center"/>
          </w:pPr>
          <w:r>
            <w:rPr>
              <w:rFonts w:ascii="Arial" w:hAnsi="Arial" w:cs="Arial" w:eastAsia="Arial"/>
              <w:b/>
              <w:i w:val="0"/>
              <w:sz w:val="24"/>
              <w:u w:val="none"/>
            </w:rPr>
            <w:t>CARTA CONDUCTORA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Bookman Old Style" w:hAnsi="Bookman Old Styl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lrodriguez@solut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Conductora - MSTD INGENIERÍA.</dc:title>
  <dc:subject/>
  <dc:creator>SOLUT Ingeniería SpA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