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Simulação da Avaliação Técnica COFIEX</w:t>
      </w:r>
    </w:p>
    <w:p>
      <w:r>
        <w:rPr>
          <w:b/>
        </w:rPr>
        <w:t>Projeto de Modernização e Fortalecimento Institucional do Ministério Público de Pernambuco, para o Combate ao Crime Organizado e a Sustentabilidade Ambiental (versão 3 da carta-consulta, 07/08/2025) — Estado de Pernambuco (órgão executor: Ministério Público de Pernambuco)</w:t>
      </w:r>
    </w:p>
    <w:p>
      <w:r>
        <w:rPr>
          <w:i/>
        </w:rPr>
        <w:t>Data da simulação: 30/10/2026. Simulação sob julgamento cego, sem consulta à Nota Técnica do pleito. Resultado estimativo; não substitui a avaliação oficial.</w:t>
      </w:r>
    </w:p>
    <w:p>
      <w:pPr>
        <w:pStyle w:val="Heading1"/>
      </w:pPr>
      <w:r>
        <w:t>Sumário executivo</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F3864"/>
          </w:tcPr>
          <w:p>
            <w:r>
              <w:rPr>
                <w:sz w:val="18"/>
              </w:rPr>
            </w:r>
            <w:r>
              <w:rPr>
                <w:b/>
                <w:color w:val="FFFFFF"/>
                <w:sz w:val="18"/>
              </w:rPr>
              <w:t>Campo</w:t>
            </w:r>
          </w:p>
        </w:tc>
        <w:tc>
          <w:tcPr>
            <w:tcW w:type="dxa" w:w="6803"/>
            <w:shd w:val="clear" w:color="auto" w:fill="1F3864"/>
          </w:tcPr>
          <w:p>
            <w:r>
              <w:rPr>
                <w:sz w:val="18"/>
              </w:rPr>
            </w:r>
            <w:r>
              <w:rPr>
                <w:b/>
                <w:color w:val="FFFFFF"/>
                <w:sz w:val="18"/>
              </w:rPr>
              <w:t>Valor</w:t>
            </w:r>
          </w:p>
        </w:tc>
      </w:tr>
      <w:tr>
        <w:tc>
          <w:tcPr>
            <w:tcW w:type="dxa" w:w="2835"/>
          </w:tcPr>
          <w:p>
            <w:r>
              <w:rPr>
                <w:sz w:val="18"/>
              </w:rPr>
            </w:r>
            <w:r>
              <w:rPr>
                <w:sz w:val="18"/>
              </w:rPr>
              <w:t>Proposta</w:t>
            </w:r>
          </w:p>
        </w:tc>
        <w:tc>
          <w:tcPr>
            <w:tcW w:type="dxa" w:w="6803"/>
          </w:tcPr>
          <w:p>
            <w:r>
              <w:rPr>
                <w:sz w:val="18"/>
              </w:rPr>
            </w:r>
            <w:r>
              <w:rPr>
                <w:sz w:val="18"/>
              </w:rPr>
              <w:t>Projeto de Modernização e Fortalecimento Institucional do Ministério Público de Pernambuco, para o Combate ao Crime Organizado e a Sustentabilidade Ambiental (versão 3 da carta-consulta, 07/08/2025)</w:t>
            </w:r>
          </w:p>
        </w:tc>
      </w:tr>
      <w:tr>
        <w:tc>
          <w:tcPr>
            <w:tcW w:type="dxa" w:w="2835"/>
          </w:tcPr>
          <w:p>
            <w:r>
              <w:rPr>
                <w:sz w:val="18"/>
              </w:rPr>
            </w:r>
            <w:r>
              <w:rPr>
                <w:sz w:val="18"/>
              </w:rPr>
              <w:t>Proponente</w:t>
            </w:r>
          </w:p>
        </w:tc>
        <w:tc>
          <w:tcPr>
            <w:tcW w:type="dxa" w:w="6803"/>
          </w:tcPr>
          <w:p>
            <w:r>
              <w:rPr>
                <w:sz w:val="18"/>
              </w:rPr>
            </w:r>
            <w:r>
              <w:rPr>
                <w:sz w:val="18"/>
              </w:rPr>
              <w:t>Estado de Pernambuco (órgão executor: Ministério Público de Pernambuco)</w:t>
            </w:r>
          </w:p>
        </w:tc>
      </w:tr>
      <w:tr>
        <w:tc>
          <w:tcPr>
            <w:tcW w:type="dxa" w:w="2835"/>
          </w:tcPr>
          <w:p>
            <w:r>
              <w:rPr>
                <w:sz w:val="18"/>
              </w:rPr>
            </w:r>
            <w:r>
              <w:rPr>
                <w:sz w:val="18"/>
              </w:rPr>
              <w:t>Credor</w:t>
            </w:r>
          </w:p>
        </w:tc>
        <w:tc>
          <w:tcPr>
            <w:tcW w:type="dxa" w:w="6803"/>
          </w:tcPr>
          <w:p>
            <w:r>
              <w:rPr>
                <w:sz w:val="18"/>
              </w:rPr>
            </w:r>
            <w:r>
              <w:rPr>
                <w:sz w:val="18"/>
              </w:rPr>
              <w:t>Banco Interamericano de Desenvolvimento (BID)</w:t>
            </w:r>
          </w:p>
        </w:tc>
      </w:tr>
      <w:tr>
        <w:tc>
          <w:tcPr>
            <w:tcW w:type="dxa" w:w="2835"/>
          </w:tcPr>
          <w:p>
            <w:r>
              <w:rPr>
                <w:sz w:val="18"/>
              </w:rPr>
            </w:r>
            <w:r>
              <w:rPr>
                <w:sz w:val="18"/>
              </w:rPr>
              <w:t>Tipo de operação</w:t>
            </w:r>
          </w:p>
        </w:tc>
        <w:tc>
          <w:tcPr>
            <w:tcW w:type="dxa" w:w="6803"/>
          </w:tcPr>
          <w:p>
            <w:r>
              <w:rPr>
                <w:sz w:val="18"/>
              </w:rPr>
            </w:r>
            <w:r>
              <w:rPr>
                <w:sz w:val="18"/>
              </w:rPr>
              <w:t>Operação de crédito externo de investimento (empréstimo de investimento padrão)</w:t>
            </w:r>
          </w:p>
        </w:tc>
      </w:tr>
      <w:tr>
        <w:tc>
          <w:tcPr>
            <w:tcW w:type="dxa" w:w="2835"/>
          </w:tcPr>
          <w:p>
            <w:r>
              <w:rPr>
                <w:sz w:val="18"/>
              </w:rPr>
            </w:r>
            <w:r>
              <w:rPr>
                <w:sz w:val="18"/>
              </w:rPr>
              <w:t>Valor total</w:t>
            </w:r>
          </w:p>
        </w:tc>
        <w:tc>
          <w:tcPr>
            <w:tcW w:type="dxa" w:w="6803"/>
          </w:tcPr>
          <w:p>
            <w:r>
              <w:rPr>
                <w:sz w:val="18"/>
              </w:rPr>
            </w:r>
            <w:r>
              <w:rPr>
                <w:sz w:val="18"/>
              </w:rPr>
              <w:t>US$ 25.000.000,00</w:t>
            </w:r>
          </w:p>
        </w:tc>
      </w:tr>
      <w:tr>
        <w:tc>
          <w:tcPr>
            <w:tcW w:type="dxa" w:w="2835"/>
          </w:tcPr>
          <w:p>
            <w:r>
              <w:rPr>
                <w:sz w:val="18"/>
              </w:rPr>
            </w:r>
            <w:r>
              <w:rPr>
                <w:sz w:val="18"/>
              </w:rPr>
              <w:t>Valor do empréstimo</w:t>
            </w:r>
          </w:p>
        </w:tc>
        <w:tc>
          <w:tcPr>
            <w:tcW w:type="dxa" w:w="6803"/>
          </w:tcPr>
          <w:p>
            <w:r>
              <w:rPr>
                <w:sz w:val="18"/>
              </w:rPr>
            </w:r>
            <w:r>
              <w:rPr>
                <w:sz w:val="18"/>
              </w:rPr>
              <w:t>US$ 20.000.000,00</w:t>
            </w:r>
          </w:p>
        </w:tc>
      </w:tr>
      <w:tr>
        <w:tc>
          <w:tcPr>
            <w:tcW w:type="dxa" w:w="2835"/>
          </w:tcPr>
          <w:p>
            <w:r>
              <w:rPr>
                <w:sz w:val="18"/>
              </w:rPr>
            </w:r>
            <w:r>
              <w:rPr>
                <w:sz w:val="18"/>
              </w:rPr>
              <w:t>Contrapartida</w:t>
            </w:r>
          </w:p>
        </w:tc>
        <w:tc>
          <w:tcPr>
            <w:tcW w:type="dxa" w:w="6803"/>
          </w:tcPr>
          <w:p>
            <w:r>
              <w:rPr>
                <w:sz w:val="18"/>
              </w:rPr>
            </w:r>
            <w:r>
              <w:rPr>
                <w:sz w:val="18"/>
              </w:rPr>
              <w:t>US$ 5.000.000,00 (20,0% do total)</w:t>
            </w:r>
          </w:p>
        </w:tc>
      </w:tr>
      <w:tr>
        <w:tc>
          <w:tcPr>
            <w:tcW w:type="dxa" w:w="2835"/>
          </w:tcPr>
          <w:p>
            <w:r>
              <w:rPr>
                <w:sz w:val="18"/>
              </w:rPr>
            </w:r>
            <w:r>
              <w:rPr>
                <w:sz w:val="18"/>
              </w:rPr>
              <w:t>Prazos</w:t>
            </w:r>
          </w:p>
        </w:tc>
        <w:tc>
          <w:tcPr>
            <w:tcW w:type="dxa" w:w="6803"/>
          </w:tcPr>
          <w:p>
            <w:r>
              <w:rPr>
                <w:sz w:val="18"/>
              </w:rPr>
            </w:r>
            <w:r>
              <w:rPr>
                <w:sz w:val="18"/>
              </w:rPr>
              <w:t>Carência de 72 meses, amortização de 222 meses, prazo total de 294 meses</w:t>
            </w:r>
          </w:p>
        </w:tc>
      </w:tr>
      <w:tr>
        <w:tc>
          <w:tcPr>
            <w:tcW w:type="dxa" w:w="2835"/>
          </w:tcPr>
          <w:p>
            <w:r>
              <w:rPr>
                <w:sz w:val="18"/>
              </w:rPr>
            </w:r>
            <w:r>
              <w:rPr>
                <w:sz w:val="18"/>
              </w:rPr>
              <w:t>Sublimite-alvo</w:t>
            </w:r>
          </w:p>
        </w:tc>
        <w:tc>
          <w:tcPr>
            <w:tcW w:type="dxa" w:w="6803"/>
          </w:tcPr>
          <w:p>
            <w:r>
              <w:rPr>
                <w:sz w:val="18"/>
              </w:rPr>
            </w:r>
            <w:r>
              <w:rPr>
                <w:sz w:val="18"/>
              </w:rPr>
              <w:t>Geral (subnacional)</w:t>
            </w:r>
          </w:p>
        </w:tc>
      </w:tr>
      <w:tr>
        <w:tc>
          <w:tcPr>
            <w:tcW w:type="dxa" w:w="2835"/>
          </w:tcPr>
          <w:p>
            <w:r>
              <w:rPr>
                <w:sz w:val="18"/>
              </w:rPr>
            </w:r>
            <w:r>
              <w:rPr>
                <w:sz w:val="18"/>
              </w:rPr>
              <w:t>Tipo de ente</w:t>
            </w:r>
          </w:p>
        </w:tc>
        <w:tc>
          <w:tcPr>
            <w:tcW w:type="dxa" w:w="6803"/>
          </w:tcPr>
          <w:p>
            <w:r>
              <w:rPr>
                <w:sz w:val="18"/>
              </w:rPr>
            </w:r>
            <w:r>
              <w:rPr>
                <w:sz w:val="18"/>
              </w:rPr>
              <w:t>Estado (subnacional), com órgão autônomo como executor</w:t>
            </w:r>
          </w:p>
        </w:tc>
      </w:tr>
      <w:tr>
        <w:tc>
          <w:tcPr>
            <w:tcW w:type="dxa" w:w="2835"/>
          </w:tcPr>
          <w:p>
            <w:r>
              <w:rPr>
                <w:sz w:val="18"/>
              </w:rPr>
            </w:r>
            <w:r>
              <w:rPr>
                <w:sz w:val="18"/>
              </w:rPr>
              <w:t>Selo de versão</w:t>
            </w:r>
          </w:p>
        </w:tc>
        <w:tc>
          <w:tcPr>
            <w:tcW w:type="dxa" w:w="6803"/>
          </w:tcPr>
          <w:p>
            <w:r>
              <w:rPr>
                <w:sz w:val="18"/>
              </w:rPr>
            </w:r>
            <w:r>
              <w:rPr>
                <w:sz w:val="18"/>
              </w:rPr>
              <w:t>cofiex-scorer V.1 BETA (atualizada em 27/10/2026), julgamento cego</w:t>
            </w:r>
          </w:p>
        </w:tc>
      </w:tr>
    </w:tbl>
    <w:p/>
    <w:p>
      <w:r>
        <w:t>Operação pequena (US$ 20 milhões) e bem estruturada, com área principal em Segurança Pública (código 112) sustentada por indicadores de resultado inovadores de persecução patrimonial com linha de base medida. A Nota de Área Estratégica esperada é 7,00 (faixa 3,50 a 10,00) e a Nota Geral esperada é 10,38 (faixa 5,81 a 14,29). Os principais riscos não estão na nota: o espaço fiscal do Estado no Programa de Acompanhamento Fiscal aparece esgotado em 2025 na planilha empacotada, e a sustentabilidade financeira pós-projeto não está quantificada.</w:t>
      </w:r>
    </w:p>
    <w:p>
      <w:pPr>
        <w:pStyle w:val="Heading2"/>
      </w:pPr>
      <w:r>
        <w:t>Tabela 1 — Pontuação por item: mínima, esperada e máxima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val="clear" w:color="auto" w:fill="1F3864"/>
          </w:tcPr>
          <w:p>
            <w:r>
              <w:rPr>
                <w:sz w:val="18"/>
              </w:rPr>
            </w:r>
            <w:r>
              <w:rPr>
                <w:b/>
                <w:color w:val="FFFFFF"/>
                <w:sz w:val="18"/>
              </w:rPr>
              <w:t>Bloco</w:t>
            </w:r>
          </w:p>
        </w:tc>
        <w:tc>
          <w:tcPr>
            <w:tcW w:type="dxa" w:w="4535"/>
            <w:shd w:val="clear" w:color="auto" w:fill="1F3864"/>
          </w:tcPr>
          <w:p>
            <w:r>
              <w:rPr>
                <w:sz w:val="18"/>
              </w:rPr>
            </w:r>
            <w:r>
              <w:rPr>
                <w:b/>
                <w:color w:val="FFFFFF"/>
                <w:sz w:val="18"/>
              </w:rPr>
              <w:t>Item</w:t>
            </w:r>
          </w:p>
        </w:tc>
        <w:tc>
          <w:tcPr>
            <w:tcW w:type="dxa" w:w="1134"/>
            <w:shd w:val="clear" w:color="auto" w:fill="1F3864"/>
          </w:tcPr>
          <w:p>
            <w:r>
              <w:rPr>
                <w:sz w:val="18"/>
              </w:rPr>
            </w:r>
            <w:r>
              <w:rPr>
                <w:b/>
                <w:color w:val="FFFFFF"/>
                <w:sz w:val="18"/>
              </w:rPr>
              <w:t>Mínimo</w:t>
            </w:r>
          </w:p>
        </w:tc>
        <w:tc>
          <w:tcPr>
            <w:tcW w:type="dxa" w:w="1134"/>
            <w:shd w:val="clear" w:color="auto" w:fill="1F3864"/>
          </w:tcPr>
          <w:p>
            <w:r>
              <w:rPr>
                <w:sz w:val="18"/>
              </w:rPr>
            </w:r>
            <w:r>
              <w:rPr>
                <w:b/>
                <w:color w:val="FFFFFF"/>
                <w:sz w:val="18"/>
              </w:rPr>
              <w:t>Esperado</w:t>
            </w:r>
          </w:p>
        </w:tc>
        <w:tc>
          <w:tcPr>
            <w:tcW w:type="dxa" w:w="1134"/>
            <w:shd w:val="clear" w:color="auto" w:fill="1F3864"/>
          </w:tcPr>
          <w:p>
            <w:r>
              <w:rPr>
                <w:sz w:val="18"/>
              </w:rPr>
            </w:r>
            <w:r>
              <w:rPr>
                <w:b/>
                <w:color w:val="FFFFFF"/>
                <w:sz w:val="18"/>
              </w:rPr>
              <w:t>Máximo</w:t>
            </w:r>
          </w:p>
        </w:tc>
      </w:tr>
      <w:tr>
        <w:tc>
          <w:tcPr>
            <w:tcW w:type="dxa" w:w="1701"/>
          </w:tcPr>
          <w:p>
            <w:r>
              <w:rPr>
                <w:sz w:val="18"/>
              </w:rPr>
            </w:r>
            <w:r>
              <w:rPr>
                <w:sz w:val="18"/>
              </w:rPr>
              <w:t>Dados Objetivos</w:t>
            </w:r>
          </w:p>
        </w:tc>
        <w:tc>
          <w:tcPr>
            <w:tcW w:type="dxa" w:w="4535"/>
          </w:tcPr>
          <w:p>
            <w:r>
              <w:rPr>
                <w:sz w:val="18"/>
              </w:rPr>
            </w:r>
            <w:r>
              <w:rPr>
                <w:sz w:val="18"/>
              </w:rPr>
              <w:t>Nota do Índice de Desenvolvimento Humano (até 2,00) — Índice de Desenvolvimento Humano 0,719; menor da reunião assumido 0,572 / 0,655 / 0,686</w:t>
            </w:r>
          </w:p>
        </w:tc>
        <w:tc>
          <w:tcPr>
            <w:tcW w:type="dxa" w:w="1134"/>
          </w:tcPr>
          <w:p>
            <w:pPr>
              <w:jc w:val="center"/>
            </w:pPr>
            <w:r>
              <w:rPr>
                <w:sz w:val="18"/>
              </w:rPr>
            </w:r>
            <w:r>
              <w:rPr>
                <w:sz w:val="18"/>
              </w:rPr>
              <w:t>1,31</w:t>
            </w:r>
          </w:p>
        </w:tc>
        <w:tc>
          <w:tcPr>
            <w:tcW w:type="dxa" w:w="1134"/>
          </w:tcPr>
          <w:p>
            <w:pPr>
              <w:jc w:val="center"/>
            </w:pPr>
            <w:r>
              <w:rPr>
                <w:sz w:val="18"/>
              </w:rPr>
            </w:r>
            <w:r>
              <w:rPr>
                <w:sz w:val="18"/>
              </w:rPr>
              <w:t>1,63</w:t>
            </w:r>
          </w:p>
        </w:tc>
        <w:tc>
          <w:tcPr>
            <w:tcW w:type="dxa" w:w="1134"/>
          </w:tcPr>
          <w:p>
            <w:pPr>
              <w:jc w:val="center"/>
            </w:pPr>
            <w:r>
              <w:rPr>
                <w:sz w:val="18"/>
              </w:rPr>
            </w:r>
            <w:r>
              <w:rPr>
                <w:sz w:val="18"/>
              </w:rPr>
              <w:t>1,79</w:t>
            </w:r>
          </w:p>
        </w:tc>
      </w:tr>
      <w:tr>
        <w:tc>
          <w:tcPr>
            <w:tcW w:type="dxa" w:w="1701"/>
          </w:tcPr>
          <w:p>
            <w:r>
              <w:rPr>
                <w:sz w:val="18"/>
              </w:rPr>
            </w:r>
            <w:r>
              <w:rPr>
                <w:sz w:val="18"/>
              </w:rPr>
              <w:t>Dados Objetivos</w:t>
            </w:r>
          </w:p>
        </w:tc>
        <w:tc>
          <w:tcPr>
            <w:tcW w:type="dxa" w:w="4535"/>
          </w:tcPr>
          <w:p>
            <w:r>
              <w:rPr>
                <w:sz w:val="18"/>
              </w:rPr>
            </w:r>
            <w:r>
              <w:rPr>
                <w:sz w:val="18"/>
              </w:rPr>
              <w:t>Capacidade de Pagamento (até 2,00) — classificação B+ (planilha empacotada, ciclo 2026; ciclo da reunião-alvo não confirmado)</w:t>
            </w:r>
          </w:p>
        </w:tc>
        <w:tc>
          <w:tcPr>
            <w:tcW w:type="dxa" w:w="1134"/>
          </w:tcPr>
          <w:p>
            <w:pPr>
              <w:jc w:val="center"/>
            </w:pPr>
            <w:r>
              <w:rPr>
                <w:sz w:val="18"/>
              </w:rPr>
            </w:r>
            <w:r>
              <w:rPr>
                <w:sz w:val="18"/>
              </w:rPr>
              <w:t>0,50</w:t>
            </w:r>
          </w:p>
        </w:tc>
        <w:tc>
          <w:tcPr>
            <w:tcW w:type="dxa" w:w="1134"/>
          </w:tcPr>
          <w:p>
            <w:pPr>
              <w:jc w:val="center"/>
            </w:pPr>
            <w:r>
              <w:rPr>
                <w:sz w:val="18"/>
              </w:rPr>
            </w:r>
            <w:r>
              <w:rPr>
                <w:sz w:val="18"/>
              </w:rPr>
              <w:t>1,00</w:t>
            </w:r>
          </w:p>
        </w:tc>
        <w:tc>
          <w:tcPr>
            <w:tcW w:type="dxa" w:w="1134"/>
          </w:tcPr>
          <w:p>
            <w:pPr>
              <w:jc w:val="center"/>
            </w:pPr>
            <w:r>
              <w:rPr>
                <w:sz w:val="18"/>
              </w:rPr>
            </w:r>
            <w:r>
              <w:rPr>
                <w:sz w:val="18"/>
              </w:rPr>
              <w:t>1,50</w:t>
            </w:r>
          </w:p>
        </w:tc>
      </w:tr>
      <w:tr>
        <w:tc>
          <w:tcPr>
            <w:tcW w:type="dxa" w:w="1701"/>
          </w:tcPr>
          <w:p>
            <w:r>
              <w:rPr>
                <w:sz w:val="18"/>
              </w:rPr>
            </w:r>
            <w:r>
              <w:rPr>
                <w:sz w:val="18"/>
              </w:rPr>
              <w:t>Dados Objetivos</w:t>
            </w:r>
          </w:p>
        </w:tc>
        <w:tc>
          <w:tcPr>
            <w:tcW w:type="dxa" w:w="4535"/>
          </w:tcPr>
          <w:p>
            <w:r>
              <w:rPr>
                <w:sz w:val="18"/>
              </w:rPr>
            </w:r>
            <w:r>
              <w:rPr>
                <w:sz w:val="18"/>
              </w:rPr>
              <w:t>Tendência da Dívida (até 1,00) — Dívida Consolidada/Receita Corrente Líquida não disponível na base empacotada (cenário)</w:t>
            </w:r>
          </w:p>
        </w:tc>
        <w:tc>
          <w:tcPr>
            <w:tcW w:type="dxa" w:w="1134"/>
          </w:tcPr>
          <w:p>
            <w:pPr>
              <w:jc w:val="center"/>
            </w:pPr>
            <w:r>
              <w:rPr>
                <w:sz w:val="18"/>
              </w:rPr>
            </w:r>
            <w:r>
              <w:rPr>
                <w:sz w:val="18"/>
              </w:rPr>
              <w:t>0,50</w:t>
            </w:r>
          </w:p>
        </w:tc>
        <w:tc>
          <w:tcPr>
            <w:tcW w:type="dxa" w:w="1134"/>
          </w:tcPr>
          <w:p>
            <w:pPr>
              <w:jc w:val="center"/>
            </w:pPr>
            <w:r>
              <w:rPr>
                <w:sz w:val="18"/>
              </w:rPr>
            </w:r>
            <w:r>
              <w:rPr>
                <w:sz w:val="18"/>
              </w:rPr>
              <w:t>0,75</w:t>
            </w:r>
          </w:p>
        </w:tc>
        <w:tc>
          <w:tcPr>
            <w:tcW w:type="dxa" w:w="1134"/>
          </w:tcPr>
          <w:p>
            <w:pPr>
              <w:jc w:val="center"/>
            </w:pPr>
            <w:r>
              <w:rPr>
                <w:sz w:val="18"/>
              </w:rPr>
            </w:r>
            <w:r>
              <w:rPr>
                <w:sz w:val="18"/>
              </w:rPr>
              <w:t>1,00</w:t>
            </w:r>
          </w:p>
        </w:tc>
      </w:tr>
      <w:tr>
        <w:tc>
          <w:tcPr>
            <w:tcW w:type="dxa" w:w="1701"/>
            <w:shd w:val="clear" w:color="auto" w:fill="D9E2F3"/>
          </w:tcPr>
          <w:p>
            <w:r>
              <w:rPr>
                <w:sz w:val="18"/>
              </w:rPr>
            </w:r>
            <w:r>
              <w:rPr>
                <w:b/>
                <w:sz w:val="18"/>
              </w:rPr>
              <w:t>Subtotal</w:t>
            </w:r>
          </w:p>
        </w:tc>
        <w:tc>
          <w:tcPr>
            <w:tcW w:type="dxa" w:w="4535"/>
            <w:shd w:val="clear" w:color="auto" w:fill="D9E2F3"/>
          </w:tcPr>
          <w:p>
            <w:r>
              <w:rPr>
                <w:sz w:val="18"/>
              </w:rPr>
            </w:r>
            <w:r>
              <w:rPr>
                <w:b/>
                <w:sz w:val="18"/>
              </w:rPr>
              <w:t>Dados Objetivos (teto 5,00)</w:t>
            </w:r>
          </w:p>
        </w:tc>
        <w:tc>
          <w:tcPr>
            <w:tcW w:type="dxa" w:w="1134"/>
            <w:shd w:val="clear" w:color="auto" w:fill="D9E2F3"/>
          </w:tcPr>
          <w:p>
            <w:pPr>
              <w:jc w:val="center"/>
            </w:pPr>
            <w:r>
              <w:rPr>
                <w:sz w:val="18"/>
              </w:rPr>
            </w:r>
            <w:r>
              <w:rPr>
                <w:b/>
                <w:sz w:val="18"/>
              </w:rPr>
              <w:t>2,31</w:t>
            </w:r>
          </w:p>
        </w:tc>
        <w:tc>
          <w:tcPr>
            <w:tcW w:type="dxa" w:w="1134"/>
            <w:shd w:val="clear" w:color="auto" w:fill="D9E2F3"/>
          </w:tcPr>
          <w:p>
            <w:pPr>
              <w:jc w:val="center"/>
            </w:pPr>
            <w:r>
              <w:rPr>
                <w:sz w:val="18"/>
              </w:rPr>
            </w:r>
            <w:r>
              <w:rPr>
                <w:b/>
                <w:sz w:val="18"/>
              </w:rPr>
              <w:t>3,38</w:t>
            </w:r>
          </w:p>
        </w:tc>
        <w:tc>
          <w:tcPr>
            <w:tcW w:type="dxa" w:w="1134"/>
            <w:shd w:val="clear" w:color="auto" w:fill="D9E2F3"/>
          </w:tcPr>
          <w:p>
            <w:pPr>
              <w:jc w:val="center"/>
            </w:pPr>
            <w:r>
              <w:rPr>
                <w:sz w:val="18"/>
              </w:rPr>
            </w:r>
            <w:r>
              <w:rPr>
                <w:b/>
                <w:sz w:val="18"/>
              </w:rPr>
              <w:t>4,29</w:t>
            </w:r>
          </w:p>
        </w:tc>
      </w:tr>
      <w:tr>
        <w:tc>
          <w:tcPr>
            <w:tcW w:type="dxa" w:w="1701"/>
          </w:tcPr>
          <w:p>
            <w:r>
              <w:rPr>
                <w:sz w:val="18"/>
              </w:rPr>
            </w:r>
            <w:r>
              <w:rPr>
                <w:sz w:val="18"/>
              </w:rPr>
              <w:t>Área Estratégica</w:t>
            </w:r>
          </w:p>
        </w:tc>
        <w:tc>
          <w:tcPr>
            <w:tcW w:type="dxa" w:w="4535"/>
          </w:tcPr>
          <w:p>
            <w:r>
              <w:rPr>
                <w:sz w:val="18"/>
              </w:rPr>
            </w:r>
            <w:r>
              <w:rPr>
                <w:sz w:val="18"/>
              </w:rPr>
              <w:t>Área 112</w:t>
            </w:r>
          </w:p>
        </w:tc>
        <w:tc>
          <w:tcPr>
            <w:tcW w:type="dxa" w:w="1134"/>
          </w:tcPr>
          <w:p>
            <w:pPr>
              <w:jc w:val="center"/>
            </w:pPr>
            <w:r>
              <w:rPr>
                <w:sz w:val="18"/>
              </w:rPr>
            </w:r>
            <w:r>
              <w:rPr>
                <w:sz w:val="18"/>
              </w:rPr>
              <w:t>2,00</w:t>
            </w:r>
          </w:p>
        </w:tc>
        <w:tc>
          <w:tcPr>
            <w:tcW w:type="dxa" w:w="1134"/>
          </w:tcPr>
          <w:p>
            <w:pPr>
              <w:jc w:val="center"/>
            </w:pPr>
            <w:r>
              <w:rPr>
                <w:sz w:val="18"/>
              </w:rPr>
            </w:r>
            <w:r>
              <w:rPr>
                <w:sz w:val="18"/>
              </w:rPr>
              <w:t>3,00</w:t>
            </w:r>
          </w:p>
        </w:tc>
        <w:tc>
          <w:tcPr>
            <w:tcW w:type="dxa" w:w="1134"/>
          </w:tcPr>
          <w:p>
            <w:pPr>
              <w:jc w:val="center"/>
            </w:pPr>
            <w:r>
              <w:rPr>
                <w:sz w:val="18"/>
              </w:rPr>
            </w:r>
            <w:r>
              <w:rPr>
                <w:sz w:val="18"/>
              </w:rPr>
              <w:t>5,00</w:t>
            </w:r>
          </w:p>
        </w:tc>
      </w:tr>
      <w:tr>
        <w:tc>
          <w:tcPr>
            <w:tcW w:type="dxa" w:w="1701"/>
          </w:tcPr>
          <w:p>
            <w:r>
              <w:rPr>
                <w:sz w:val="18"/>
              </w:rPr>
            </w:r>
            <w:r>
              <w:rPr>
                <w:sz w:val="18"/>
              </w:rPr>
              <w:t>Área Estratégica</w:t>
            </w:r>
          </w:p>
        </w:tc>
        <w:tc>
          <w:tcPr>
            <w:tcW w:type="dxa" w:w="4535"/>
          </w:tcPr>
          <w:p>
            <w:r>
              <w:rPr>
                <w:sz w:val="18"/>
              </w:rPr>
            </w:r>
            <w:r>
              <w:rPr>
                <w:sz w:val="18"/>
              </w:rPr>
              <w:t>Área 303</w:t>
            </w:r>
          </w:p>
        </w:tc>
        <w:tc>
          <w:tcPr>
            <w:tcW w:type="dxa" w:w="1134"/>
          </w:tcPr>
          <w:p>
            <w:pPr>
              <w:jc w:val="center"/>
            </w:pPr>
            <w:r>
              <w:rPr>
                <w:sz w:val="18"/>
              </w:rPr>
            </w:r>
            <w:r>
              <w:rPr>
                <w:sz w:val="18"/>
              </w:rPr>
              <w:t>1,00</w:t>
            </w:r>
          </w:p>
        </w:tc>
        <w:tc>
          <w:tcPr>
            <w:tcW w:type="dxa" w:w="1134"/>
          </w:tcPr>
          <w:p>
            <w:pPr>
              <w:jc w:val="center"/>
            </w:pPr>
            <w:r>
              <w:rPr>
                <w:sz w:val="18"/>
              </w:rPr>
            </w:r>
            <w:r>
              <w:rPr>
                <w:sz w:val="18"/>
              </w:rPr>
              <w:t>2,00</w:t>
            </w:r>
          </w:p>
        </w:tc>
        <w:tc>
          <w:tcPr>
            <w:tcW w:type="dxa" w:w="1134"/>
          </w:tcPr>
          <w:p>
            <w:pPr>
              <w:jc w:val="center"/>
            </w:pPr>
            <w:r>
              <w:rPr>
                <w:sz w:val="18"/>
              </w:rPr>
            </w:r>
            <w:r>
              <w:rPr>
                <w:sz w:val="18"/>
              </w:rPr>
              <w:t>3,00</w:t>
            </w:r>
          </w:p>
        </w:tc>
      </w:tr>
      <w:tr>
        <w:tc>
          <w:tcPr>
            <w:tcW w:type="dxa" w:w="1701"/>
          </w:tcPr>
          <w:p>
            <w:r>
              <w:rPr>
                <w:sz w:val="18"/>
              </w:rPr>
            </w:r>
            <w:r>
              <w:rPr>
                <w:sz w:val="18"/>
              </w:rPr>
              <w:t>Área Estratégica</w:t>
            </w:r>
          </w:p>
        </w:tc>
        <w:tc>
          <w:tcPr>
            <w:tcW w:type="dxa" w:w="4535"/>
          </w:tcPr>
          <w:p>
            <w:r>
              <w:rPr>
                <w:sz w:val="18"/>
              </w:rPr>
            </w:r>
            <w:r>
              <w:rPr>
                <w:sz w:val="18"/>
              </w:rPr>
              <w:t>Área 307</w:t>
            </w:r>
          </w:p>
        </w:tc>
        <w:tc>
          <w:tcPr>
            <w:tcW w:type="dxa" w:w="1134"/>
          </w:tcPr>
          <w:p>
            <w:pPr>
              <w:jc w:val="center"/>
            </w:pPr>
            <w:r>
              <w:rPr>
                <w:sz w:val="18"/>
              </w:rPr>
            </w:r>
            <w:r>
              <w:rPr>
                <w:sz w:val="18"/>
              </w:rPr>
              <w:t>0,00</w:t>
            </w:r>
          </w:p>
        </w:tc>
        <w:tc>
          <w:tcPr>
            <w:tcW w:type="dxa" w:w="1134"/>
          </w:tcPr>
          <w:p>
            <w:pPr>
              <w:jc w:val="center"/>
            </w:pPr>
            <w:r>
              <w:rPr>
                <w:sz w:val="18"/>
              </w:rPr>
            </w:r>
            <w:r>
              <w:rPr>
                <w:sz w:val="18"/>
              </w:rPr>
              <w:t>1,00</w:t>
            </w:r>
          </w:p>
        </w:tc>
        <w:tc>
          <w:tcPr>
            <w:tcW w:type="dxa" w:w="1134"/>
          </w:tcPr>
          <w:p>
            <w:pPr>
              <w:jc w:val="center"/>
            </w:pPr>
            <w:r>
              <w:rPr>
                <w:sz w:val="18"/>
              </w:rPr>
            </w:r>
            <w:r>
              <w:rPr>
                <w:sz w:val="18"/>
              </w:rPr>
              <w:t>2,00</w:t>
            </w:r>
          </w:p>
        </w:tc>
      </w:tr>
      <w:tr>
        <w:tc>
          <w:tcPr>
            <w:tcW w:type="dxa" w:w="1701"/>
          </w:tcPr>
          <w:p>
            <w:r>
              <w:rPr>
                <w:sz w:val="18"/>
              </w:rPr>
            </w:r>
            <w:r>
              <w:rPr>
                <w:sz w:val="18"/>
              </w:rPr>
              <w:t>Área Estratégica</w:t>
            </w:r>
          </w:p>
        </w:tc>
        <w:tc>
          <w:tcPr>
            <w:tcW w:type="dxa" w:w="4535"/>
          </w:tcPr>
          <w:p>
            <w:r>
              <w:rPr>
                <w:sz w:val="18"/>
              </w:rPr>
            </w:r>
            <w:r>
              <w:rPr>
                <w:sz w:val="18"/>
              </w:rPr>
              <w:t>Área 201</w:t>
            </w:r>
          </w:p>
        </w:tc>
        <w:tc>
          <w:tcPr>
            <w:tcW w:type="dxa" w:w="1134"/>
          </w:tcPr>
          <w:p>
            <w:pPr>
              <w:jc w:val="center"/>
            </w:pPr>
            <w:r>
              <w:rPr>
                <w:sz w:val="18"/>
              </w:rPr>
            </w:r>
            <w:r>
              <w:rPr>
                <w:sz w:val="18"/>
              </w:rPr>
              <w:t>0,50</w:t>
            </w:r>
          </w:p>
        </w:tc>
        <w:tc>
          <w:tcPr>
            <w:tcW w:type="dxa" w:w="1134"/>
          </w:tcPr>
          <w:p>
            <w:pPr>
              <w:jc w:val="center"/>
            </w:pPr>
            <w:r>
              <w:rPr>
                <w:sz w:val="18"/>
              </w:rPr>
            </w:r>
            <w:r>
              <w:rPr>
                <w:sz w:val="18"/>
              </w:rPr>
              <w:t>1,00</w:t>
            </w:r>
          </w:p>
        </w:tc>
        <w:tc>
          <w:tcPr>
            <w:tcW w:type="dxa" w:w="1134"/>
          </w:tcPr>
          <w:p>
            <w:pPr>
              <w:jc w:val="center"/>
            </w:pPr>
            <w:r>
              <w:rPr>
                <w:sz w:val="18"/>
              </w:rPr>
            </w:r>
            <w:r>
              <w:rPr>
                <w:sz w:val="18"/>
              </w:rPr>
              <w:t>2,00</w:t>
            </w:r>
          </w:p>
        </w:tc>
      </w:tr>
      <w:tr>
        <w:tc>
          <w:tcPr>
            <w:tcW w:type="dxa" w:w="1701"/>
          </w:tcPr>
          <w:p>
            <w:r>
              <w:rPr>
                <w:sz w:val="18"/>
              </w:rPr>
            </w:r>
            <w:r>
              <w:rPr>
                <w:sz w:val="18"/>
              </w:rPr>
              <w:t>Área Estratégica</w:t>
            </w:r>
          </w:p>
        </w:tc>
        <w:tc>
          <w:tcPr>
            <w:tcW w:type="dxa" w:w="4535"/>
          </w:tcPr>
          <w:p>
            <w:r>
              <w:rPr>
                <w:sz w:val="18"/>
              </w:rPr>
            </w:r>
            <w:r>
              <w:rPr>
                <w:sz w:val="18"/>
              </w:rPr>
              <w:t>Bônus — Prioridade do PPA (Art. 15 §3º)</w:t>
            </w:r>
          </w:p>
        </w:tc>
        <w:tc>
          <w:tcPr>
            <w:tcW w:type="dxa" w:w="1134"/>
          </w:tcPr>
          <w:p>
            <w:pPr>
              <w:jc w:val="center"/>
            </w:pPr>
            <w:r>
              <w:rPr>
                <w:sz w:val="18"/>
              </w:rPr>
            </w:r>
            <w:r>
              <w:rPr>
                <w:sz w:val="18"/>
              </w:rPr>
              <w:t>0,00</w:t>
            </w:r>
          </w:p>
        </w:tc>
        <w:tc>
          <w:tcPr>
            <w:tcW w:type="dxa" w:w="1134"/>
          </w:tcPr>
          <w:p>
            <w:pPr>
              <w:jc w:val="center"/>
            </w:pPr>
            <w:r>
              <w:rPr>
                <w:sz w:val="18"/>
              </w:rPr>
            </w:r>
            <w:r>
              <w:rPr>
                <w:sz w:val="18"/>
              </w:rPr>
              <w:t>0,00</w:t>
            </w:r>
          </w:p>
        </w:tc>
        <w:tc>
          <w:tcPr>
            <w:tcW w:type="dxa" w:w="1134"/>
          </w:tcPr>
          <w:p>
            <w:pPr>
              <w:jc w:val="center"/>
            </w:pPr>
            <w:r>
              <w:rPr>
                <w:sz w:val="18"/>
              </w:rPr>
            </w:r>
            <w:r>
              <w:rPr>
                <w:sz w:val="18"/>
              </w:rPr>
              <w:t>0,00</w:t>
            </w:r>
          </w:p>
        </w:tc>
      </w:tr>
      <w:tr>
        <w:tc>
          <w:tcPr>
            <w:tcW w:type="dxa" w:w="1701"/>
          </w:tcPr>
          <w:p>
            <w:r>
              <w:rPr>
                <w:sz w:val="18"/>
              </w:rPr>
            </w:r>
            <w:r>
              <w:rPr>
                <w:sz w:val="18"/>
              </w:rPr>
              <w:t>Área Estratégica</w:t>
            </w:r>
          </w:p>
        </w:tc>
        <w:tc>
          <w:tcPr>
            <w:tcW w:type="dxa" w:w="4535"/>
          </w:tcPr>
          <w:p>
            <w:r>
              <w:rPr>
                <w:sz w:val="18"/>
              </w:rPr>
            </w:r>
            <w:r>
              <w:rPr>
                <w:sz w:val="18"/>
              </w:rPr>
              <w:t>Bônus — Integração regional / Zona de Fronteira (Art. 15 §4º)</w:t>
            </w:r>
          </w:p>
        </w:tc>
        <w:tc>
          <w:tcPr>
            <w:tcW w:type="dxa" w:w="1134"/>
          </w:tcPr>
          <w:p>
            <w:pPr>
              <w:jc w:val="center"/>
            </w:pPr>
            <w:r>
              <w:rPr>
                <w:sz w:val="18"/>
              </w:rPr>
            </w:r>
            <w:r>
              <w:rPr>
                <w:sz w:val="18"/>
              </w:rPr>
              <w:t>0,00</w:t>
            </w:r>
          </w:p>
        </w:tc>
        <w:tc>
          <w:tcPr>
            <w:tcW w:type="dxa" w:w="1134"/>
          </w:tcPr>
          <w:p>
            <w:pPr>
              <w:jc w:val="center"/>
            </w:pPr>
            <w:r>
              <w:rPr>
                <w:sz w:val="18"/>
              </w:rPr>
            </w:r>
            <w:r>
              <w:rPr>
                <w:sz w:val="18"/>
              </w:rPr>
              <w:t>0,00</w:t>
            </w:r>
          </w:p>
        </w:tc>
        <w:tc>
          <w:tcPr>
            <w:tcW w:type="dxa" w:w="1134"/>
          </w:tcPr>
          <w:p>
            <w:pPr>
              <w:jc w:val="center"/>
            </w:pPr>
            <w:r>
              <w:rPr>
                <w:sz w:val="18"/>
              </w:rPr>
            </w:r>
            <w:r>
              <w:rPr>
                <w:sz w:val="18"/>
              </w:rPr>
              <w:t>0,00</w:t>
            </w:r>
          </w:p>
        </w:tc>
      </w:tr>
      <w:tr>
        <w:tc>
          <w:tcPr>
            <w:tcW w:type="dxa" w:w="1701"/>
            <w:shd w:val="clear" w:color="auto" w:fill="D9E2F3"/>
          </w:tcPr>
          <w:p>
            <w:r>
              <w:rPr>
                <w:sz w:val="18"/>
              </w:rPr>
            </w:r>
            <w:r>
              <w:rPr>
                <w:b/>
                <w:sz w:val="18"/>
              </w:rPr>
              <w:t>Subtotal</w:t>
            </w:r>
          </w:p>
        </w:tc>
        <w:tc>
          <w:tcPr>
            <w:tcW w:type="dxa" w:w="4535"/>
            <w:shd w:val="clear" w:color="auto" w:fill="D9E2F3"/>
          </w:tcPr>
          <w:p>
            <w:r>
              <w:rPr>
                <w:sz w:val="18"/>
              </w:rPr>
            </w:r>
            <w:r>
              <w:rPr>
                <w:b/>
                <w:sz w:val="18"/>
              </w:rPr>
              <w:t>Nota de Área Estratégica (teto 10,00, bônus incluído)</w:t>
            </w:r>
          </w:p>
        </w:tc>
        <w:tc>
          <w:tcPr>
            <w:tcW w:type="dxa" w:w="1134"/>
            <w:shd w:val="clear" w:color="auto" w:fill="D9E2F3"/>
          </w:tcPr>
          <w:p>
            <w:pPr>
              <w:jc w:val="center"/>
            </w:pPr>
            <w:r>
              <w:rPr>
                <w:sz w:val="18"/>
              </w:rPr>
            </w:r>
            <w:r>
              <w:rPr>
                <w:b/>
                <w:sz w:val="18"/>
              </w:rPr>
              <w:t>3,50</w:t>
            </w:r>
          </w:p>
        </w:tc>
        <w:tc>
          <w:tcPr>
            <w:tcW w:type="dxa" w:w="1134"/>
            <w:shd w:val="clear" w:color="auto" w:fill="D9E2F3"/>
          </w:tcPr>
          <w:p>
            <w:pPr>
              <w:jc w:val="center"/>
            </w:pPr>
            <w:r>
              <w:rPr>
                <w:sz w:val="18"/>
              </w:rPr>
            </w:r>
            <w:r>
              <w:rPr>
                <w:b/>
                <w:sz w:val="18"/>
              </w:rPr>
              <w:t>7,00</w:t>
            </w:r>
          </w:p>
        </w:tc>
        <w:tc>
          <w:tcPr>
            <w:tcW w:type="dxa" w:w="1134"/>
            <w:shd w:val="clear" w:color="auto" w:fill="D9E2F3"/>
          </w:tcPr>
          <w:p>
            <w:pPr>
              <w:jc w:val="center"/>
            </w:pPr>
            <w:r>
              <w:rPr>
                <w:sz w:val="18"/>
              </w:rPr>
            </w:r>
            <w:r>
              <w:rPr>
                <w:b/>
                <w:sz w:val="18"/>
              </w:rPr>
              <w:t>10,00</w:t>
            </w:r>
          </w:p>
        </w:tc>
      </w:tr>
      <w:tr>
        <w:tc>
          <w:tcPr>
            <w:tcW w:type="dxa" w:w="1701"/>
            <w:shd w:val="clear" w:color="auto" w:fill="B4C6E7"/>
          </w:tcPr>
          <w:p>
            <w:r>
              <w:rPr>
                <w:sz w:val="18"/>
              </w:rPr>
            </w:r>
            <w:r>
              <w:rPr>
                <w:b/>
                <w:sz w:val="18"/>
              </w:rPr>
              <w:t>Total</w:t>
            </w:r>
          </w:p>
        </w:tc>
        <w:tc>
          <w:tcPr>
            <w:tcW w:type="dxa" w:w="4535"/>
            <w:shd w:val="clear" w:color="auto" w:fill="B4C6E7"/>
          </w:tcPr>
          <w:p>
            <w:r>
              <w:rPr>
                <w:sz w:val="18"/>
              </w:rPr>
            </w:r>
            <w:r>
              <w:rPr>
                <w:b/>
                <w:sz w:val="18"/>
              </w:rPr>
              <w:t>Nota Geral (Dados Objetivos + Nota de Área Estratégica, teto 15,00)</w:t>
            </w:r>
          </w:p>
        </w:tc>
        <w:tc>
          <w:tcPr>
            <w:tcW w:type="dxa" w:w="1134"/>
            <w:shd w:val="clear" w:color="auto" w:fill="B4C6E7"/>
          </w:tcPr>
          <w:p>
            <w:pPr>
              <w:jc w:val="center"/>
            </w:pPr>
            <w:r>
              <w:rPr>
                <w:sz w:val="18"/>
              </w:rPr>
            </w:r>
            <w:r>
              <w:rPr>
                <w:b/>
                <w:sz w:val="18"/>
              </w:rPr>
              <w:t>5,81</w:t>
            </w:r>
          </w:p>
        </w:tc>
        <w:tc>
          <w:tcPr>
            <w:tcW w:type="dxa" w:w="1134"/>
            <w:shd w:val="clear" w:color="auto" w:fill="B4C6E7"/>
          </w:tcPr>
          <w:p>
            <w:pPr>
              <w:jc w:val="center"/>
            </w:pPr>
            <w:r>
              <w:rPr>
                <w:sz w:val="18"/>
              </w:rPr>
            </w:r>
            <w:r>
              <w:rPr>
                <w:b/>
                <w:sz w:val="18"/>
              </w:rPr>
              <w:t>10,38</w:t>
            </w:r>
          </w:p>
        </w:tc>
        <w:tc>
          <w:tcPr>
            <w:tcW w:type="dxa" w:w="1134"/>
            <w:shd w:val="clear" w:color="auto" w:fill="B4C6E7"/>
          </w:tcPr>
          <w:p>
            <w:pPr>
              <w:jc w:val="center"/>
            </w:pPr>
            <w:r>
              <w:rPr>
                <w:sz w:val="18"/>
              </w:rPr>
            </w:r>
            <w:r>
              <w:rPr>
                <w:b/>
                <w:sz w:val="18"/>
              </w:rPr>
              <w:t>14,29</w:t>
            </w:r>
          </w:p>
        </w:tc>
      </w:tr>
    </w:tbl>
    <w:p/>
    <w:p>
      <w:r>
        <w:rPr>
          <w:b/>
        </w:rPr>
        <w:t>Nota Geral estimada: [Mínimo 5,81 — Esperado 10,38 — Máximo 14,29].</w:t>
      </w:r>
    </w:p>
    <w:p>
      <w:r>
        <w:rPr>
          <w:i/>
          <w:sz w:val="18"/>
        </w:rPr>
        <w:t>Base de calibração: n=5 linhas comparáveis de Nota de Área Estratégica (regime Resolução Normativa 1/2024; setor justiça mais setor segurança, com governo digital como setor secundário), correspondentes a apenas 4 pleitos distintos; relaxado: credor, faixa de valor e subtipo; mediana 8,0, dispersão 6,0 a 9,0. Conjunto de controle: subnacional, valor abaixo de US$ 50 milhões, n=20 notas publicadas, mediana 6,25 (faixa 4,5 a 8,5). Dados fracos: duplicidade de pleito no conjunto setorial e amostra setorial pequena. Ancoragem: nenhuma — a estimativa da rubrica (7,00) já fica entre as duas medianas; a faixa foi mantida mais larga que a dispersão comparável.</w:t>
      </w:r>
    </w:p>
    <w:p>
      <w:pPr>
        <w:pStyle w:val="Heading2"/>
      </w:pPr>
      <w:r>
        <w:t>Tabela 2 — Objetivos estratégicos do PPA indicados no pleito e pontuação possível</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907"/>
            <w:shd w:val="clear" w:color="auto" w:fill="1F3864"/>
          </w:tcPr>
          <w:p>
            <w:r>
              <w:rPr>
                <w:sz w:val="18"/>
              </w:rPr>
            </w:r>
            <w:r>
              <w:rPr>
                <w:b/>
                <w:color w:val="FFFFFF"/>
                <w:sz w:val="18"/>
              </w:rPr>
              <w:t>Código PPA</w:t>
            </w:r>
          </w:p>
        </w:tc>
        <w:tc>
          <w:tcPr>
            <w:tcW w:type="dxa" w:w="2494"/>
            <w:shd w:val="clear" w:color="auto" w:fill="1F3864"/>
          </w:tcPr>
          <w:p>
            <w:r>
              <w:rPr>
                <w:sz w:val="18"/>
              </w:rPr>
            </w:r>
            <w:r>
              <w:rPr>
                <w:b/>
                <w:color w:val="FFFFFF"/>
                <w:sz w:val="18"/>
              </w:rPr>
              <w:t>Objetivo estratégico</w:t>
            </w:r>
          </w:p>
        </w:tc>
        <w:tc>
          <w:tcPr>
            <w:tcW w:type="dxa" w:w="1134"/>
            <w:shd w:val="clear" w:color="auto" w:fill="1F3864"/>
          </w:tcPr>
          <w:p>
            <w:r>
              <w:rPr>
                <w:sz w:val="18"/>
              </w:rPr>
            </w:r>
            <w:r>
              <w:rPr>
                <w:b/>
                <w:color w:val="FFFFFF"/>
                <w:sz w:val="18"/>
              </w:rPr>
              <w:t>Situação</w:t>
            </w:r>
          </w:p>
        </w:tc>
        <w:tc>
          <w:tcPr>
            <w:tcW w:type="dxa" w:w="1247"/>
            <w:shd w:val="clear" w:color="auto" w:fill="1F3864"/>
          </w:tcPr>
          <w:p>
            <w:r>
              <w:rPr>
                <w:sz w:val="18"/>
              </w:rPr>
            </w:r>
            <w:r>
              <w:rPr>
                <w:b/>
                <w:color w:val="FFFFFF"/>
                <w:sz w:val="18"/>
              </w:rPr>
              <w:t>Nível (mín./esp./máx.)</w:t>
            </w:r>
          </w:p>
        </w:tc>
        <w:tc>
          <w:tcPr>
            <w:tcW w:type="dxa" w:w="1474"/>
            <w:shd w:val="clear" w:color="auto" w:fill="1F3864"/>
          </w:tcPr>
          <w:p>
            <w:r>
              <w:rPr>
                <w:sz w:val="18"/>
              </w:rPr>
            </w:r>
            <w:r>
              <w:rPr>
                <w:b/>
                <w:color w:val="FFFFFF"/>
                <w:sz w:val="18"/>
              </w:rPr>
              <w:t>Pontos (mín./esp./máx.)</w:t>
            </w:r>
          </w:p>
        </w:tc>
        <w:tc>
          <w:tcPr>
            <w:tcW w:type="dxa" w:w="2608"/>
            <w:shd w:val="clear" w:color="auto" w:fill="1F3864"/>
          </w:tcPr>
          <w:p>
            <w:r>
              <w:rPr>
                <w:sz w:val="18"/>
              </w:rPr>
            </w:r>
            <w:r>
              <w:rPr>
                <w:b/>
                <w:color w:val="FFFFFF"/>
                <w:sz w:val="18"/>
              </w:rPr>
              <w:t>Fundamento resumido</w:t>
            </w:r>
          </w:p>
        </w:tc>
      </w:tr>
      <w:tr>
        <w:tc>
          <w:tcPr>
            <w:tcW w:type="dxa" w:w="907"/>
          </w:tcPr>
          <w:p>
            <w:pPr>
              <w:jc w:val="center"/>
            </w:pPr>
            <w:r>
              <w:rPr>
                <w:sz w:val="18"/>
              </w:rPr>
            </w:r>
            <w:r>
              <w:rPr>
                <w:sz w:val="18"/>
              </w:rPr>
              <w:t>112</w:t>
            </w:r>
          </w:p>
        </w:tc>
        <w:tc>
          <w:tcPr>
            <w:tcW w:type="dxa" w:w="2494"/>
          </w:tcPr>
          <w:p>
            <w:r>
              <w:rPr>
                <w:sz w:val="18"/>
              </w:rPr>
            </w:r>
            <w:r>
              <w:rPr>
                <w:sz w:val="18"/>
              </w:rPr>
              <w:t>Fortalecer a segurança pública cidadã e integrada</w:t>
            </w:r>
          </w:p>
        </w:tc>
        <w:tc>
          <w:tcPr>
            <w:tcW w:type="dxa" w:w="1134"/>
          </w:tcPr>
          <w:p>
            <w:r>
              <w:rPr>
                <w:sz w:val="18"/>
              </w:rPr>
            </w:r>
            <w:r>
              <w:rPr>
                <w:sz w:val="18"/>
              </w:rPr>
              <w:t>Declarada</w:t>
            </w:r>
          </w:p>
        </w:tc>
        <w:tc>
          <w:tcPr>
            <w:tcW w:type="dxa" w:w="1247"/>
          </w:tcPr>
          <w:p>
            <w:pPr>
              <w:jc w:val="center"/>
            </w:pPr>
            <w:r>
              <w:rPr>
                <w:sz w:val="18"/>
              </w:rPr>
            </w:r>
            <w:r>
              <w:rPr>
                <w:sz w:val="18"/>
              </w:rPr>
              <w:t>C / B / A</w:t>
            </w:r>
          </w:p>
        </w:tc>
        <w:tc>
          <w:tcPr>
            <w:tcW w:type="dxa" w:w="1474"/>
          </w:tcPr>
          <w:p>
            <w:pPr>
              <w:jc w:val="center"/>
            </w:pPr>
            <w:r>
              <w:rPr>
                <w:sz w:val="18"/>
              </w:rPr>
            </w:r>
            <w:r>
              <w:rPr>
                <w:sz w:val="18"/>
              </w:rPr>
              <w:t>2,00 / 3,00 / 5,00</w:t>
            </w:r>
          </w:p>
        </w:tc>
        <w:tc>
          <w:tcPr>
            <w:tcW w:type="dxa" w:w="2608"/>
          </w:tcPr>
          <w:p>
            <w:r>
              <w:rPr>
                <w:sz w:val="18"/>
              </w:rPr>
            </w:r>
            <w:r>
              <w:rPr>
                <w:sz w:val="18"/>
              </w:rPr>
              <w:t>Área principal: US$ 12,53 milhões (50% do total), três indicadores de resultado de persecução patrimonial com linha de base medida; falta impacto quantificado sobre a criminalidade para disputar A.</w:t>
            </w:r>
          </w:p>
        </w:tc>
      </w:tr>
      <w:tr>
        <w:tc>
          <w:tcPr>
            <w:tcW w:type="dxa" w:w="907"/>
          </w:tcPr>
          <w:p>
            <w:pPr>
              <w:jc w:val="center"/>
            </w:pPr>
            <w:r>
              <w:rPr>
                <w:sz w:val="18"/>
              </w:rPr>
            </w:r>
            <w:r>
              <w:rPr>
                <w:sz w:val="18"/>
              </w:rPr>
              <w:t>303</w:t>
            </w:r>
          </w:p>
        </w:tc>
        <w:tc>
          <w:tcPr>
            <w:tcW w:type="dxa" w:w="2494"/>
          </w:tcPr>
          <w:p>
            <w:r>
              <w:rPr>
                <w:sz w:val="18"/>
              </w:rPr>
            </w:r>
            <w:r>
              <w:rPr>
                <w:sz w:val="18"/>
              </w:rPr>
              <w:t>Intensificar a transformação digital nos três níveis de governo</w:t>
            </w:r>
          </w:p>
        </w:tc>
        <w:tc>
          <w:tcPr>
            <w:tcW w:type="dxa" w:w="1134"/>
          </w:tcPr>
          <w:p>
            <w:r>
              <w:rPr>
                <w:sz w:val="18"/>
              </w:rPr>
            </w:r>
            <w:r>
              <w:rPr>
                <w:sz w:val="18"/>
              </w:rPr>
              <w:t>Declarada</w:t>
            </w:r>
          </w:p>
        </w:tc>
        <w:tc>
          <w:tcPr>
            <w:tcW w:type="dxa" w:w="1247"/>
          </w:tcPr>
          <w:p>
            <w:pPr>
              <w:jc w:val="center"/>
            </w:pPr>
            <w:r>
              <w:rPr>
                <w:sz w:val="18"/>
              </w:rPr>
            </w:r>
            <w:r>
              <w:rPr>
                <w:sz w:val="18"/>
              </w:rPr>
              <w:t>D / C / B</w:t>
            </w:r>
          </w:p>
        </w:tc>
        <w:tc>
          <w:tcPr>
            <w:tcW w:type="dxa" w:w="1474"/>
          </w:tcPr>
          <w:p>
            <w:pPr>
              <w:jc w:val="center"/>
            </w:pPr>
            <w:r>
              <w:rPr>
                <w:sz w:val="18"/>
              </w:rPr>
            </w:r>
            <w:r>
              <w:rPr>
                <w:sz w:val="18"/>
              </w:rPr>
              <w:t>1,00 / 2,00 / 3,00</w:t>
            </w:r>
          </w:p>
        </w:tc>
        <w:tc>
          <w:tcPr>
            <w:tcW w:type="dxa" w:w="2608"/>
          </w:tcPr>
          <w:p>
            <w:r>
              <w:rPr>
                <w:sz w:val="18"/>
              </w:rPr>
            </w:r>
            <w:r>
              <w:rPr>
                <w:sz w:val="18"/>
              </w:rPr>
              <w:t>US$ 6,34 milhões (25%), abaixo do limiar de 30% para B; um único indicador (tempo de cruzamento de dados, 30 para 3 dias) de eficiência interna, sem efeito direto ao cidadão.</w:t>
            </w:r>
          </w:p>
        </w:tc>
      </w:tr>
      <w:tr>
        <w:tc>
          <w:tcPr>
            <w:tcW w:type="dxa" w:w="907"/>
          </w:tcPr>
          <w:p>
            <w:pPr>
              <w:jc w:val="center"/>
            </w:pPr>
            <w:r>
              <w:rPr>
                <w:sz w:val="18"/>
              </w:rPr>
            </w:r>
            <w:r>
              <w:rPr>
                <w:sz w:val="18"/>
              </w:rPr>
              <w:t>307</w:t>
            </w:r>
          </w:p>
        </w:tc>
        <w:tc>
          <w:tcPr>
            <w:tcW w:type="dxa" w:w="2494"/>
          </w:tcPr>
          <w:p>
            <w:r>
              <w:rPr>
                <w:sz w:val="18"/>
              </w:rPr>
            </w:r>
            <w:r>
              <w:rPr>
                <w:sz w:val="18"/>
              </w:rPr>
              <w:t>Aperfeiçoar o sistema de justiça para ampliação do acesso e exercício de direitos</w:t>
            </w:r>
          </w:p>
        </w:tc>
        <w:tc>
          <w:tcPr>
            <w:tcW w:type="dxa" w:w="1134"/>
          </w:tcPr>
          <w:p>
            <w:r>
              <w:rPr>
                <w:sz w:val="18"/>
              </w:rPr>
            </w:r>
            <w:r>
              <w:rPr>
                <w:sz w:val="18"/>
              </w:rPr>
              <w:t>Declarada</w:t>
            </w:r>
          </w:p>
        </w:tc>
        <w:tc>
          <w:tcPr>
            <w:tcW w:type="dxa" w:w="1247"/>
          </w:tcPr>
          <w:p>
            <w:pPr>
              <w:jc w:val="center"/>
            </w:pPr>
            <w:r>
              <w:rPr>
                <w:sz w:val="18"/>
              </w:rPr>
            </w:r>
            <w:r>
              <w:rPr>
                <w:sz w:val="18"/>
              </w:rPr>
              <w:t>0 / D / C</w:t>
            </w:r>
          </w:p>
        </w:tc>
        <w:tc>
          <w:tcPr>
            <w:tcW w:type="dxa" w:w="1474"/>
          </w:tcPr>
          <w:p>
            <w:pPr>
              <w:jc w:val="center"/>
            </w:pPr>
            <w:r>
              <w:rPr>
                <w:sz w:val="18"/>
              </w:rPr>
            </w:r>
            <w:r>
              <w:rPr>
                <w:sz w:val="18"/>
              </w:rPr>
              <w:t>0,00 / 1,00 / 2,00</w:t>
            </w:r>
          </w:p>
        </w:tc>
        <w:tc>
          <w:tcPr>
            <w:tcW w:type="dxa" w:w="2608"/>
          </w:tcPr>
          <w:p>
            <w:r>
              <w:rPr>
                <w:sz w:val="18"/>
              </w:rPr>
            </w:r>
            <w:r>
              <w:rPr>
                <w:sz w:val="18"/>
              </w:rPr>
              <w:t>US$ 2,81 milhões (11%); indicadores de contagem (fontes integradas, procedimentos proativos) com linha de base zero; vínculo com acesso a direitos é indireto. Objetivo historicamente rejeitado em dois terços dos pedidos.</w:t>
            </w:r>
          </w:p>
        </w:tc>
      </w:tr>
      <w:tr>
        <w:tc>
          <w:tcPr>
            <w:tcW w:type="dxa" w:w="907"/>
          </w:tcPr>
          <w:p>
            <w:pPr>
              <w:jc w:val="center"/>
            </w:pPr>
            <w:r>
              <w:rPr>
                <w:sz w:val="18"/>
              </w:rPr>
            </w:r>
            <w:r>
              <w:rPr>
                <w:sz w:val="18"/>
              </w:rPr>
              <w:t>201</w:t>
            </w:r>
          </w:p>
        </w:tc>
        <w:tc>
          <w:tcPr>
            <w:tcW w:type="dxa" w:w="2494"/>
          </w:tcPr>
          <w:p>
            <w:r>
              <w:rPr>
                <w:sz w:val="18"/>
              </w:rPr>
            </w:r>
            <w:r>
              <w:rPr>
                <w:sz w:val="18"/>
              </w:rPr>
              <w:t>Conservar, restaurar e usar de forma sustentável o meio ambiente</w:t>
            </w:r>
          </w:p>
        </w:tc>
        <w:tc>
          <w:tcPr>
            <w:tcW w:type="dxa" w:w="1134"/>
          </w:tcPr>
          <w:p>
            <w:r>
              <w:rPr>
                <w:sz w:val="18"/>
              </w:rPr>
            </w:r>
            <w:r>
              <w:rPr>
                <w:sz w:val="18"/>
              </w:rPr>
              <w:t>Declarada</w:t>
            </w:r>
          </w:p>
        </w:tc>
        <w:tc>
          <w:tcPr>
            <w:tcW w:type="dxa" w:w="1247"/>
          </w:tcPr>
          <w:p>
            <w:pPr>
              <w:jc w:val="center"/>
            </w:pPr>
            <w:r>
              <w:rPr>
                <w:sz w:val="18"/>
              </w:rPr>
            </w:r>
            <w:r>
              <w:rPr>
                <w:sz w:val="18"/>
              </w:rPr>
              <w:t>E / D / C</w:t>
            </w:r>
          </w:p>
        </w:tc>
        <w:tc>
          <w:tcPr>
            <w:tcW w:type="dxa" w:w="1474"/>
          </w:tcPr>
          <w:p>
            <w:pPr>
              <w:jc w:val="center"/>
            </w:pPr>
            <w:r>
              <w:rPr>
                <w:sz w:val="18"/>
              </w:rPr>
            </w:r>
            <w:r>
              <w:rPr>
                <w:sz w:val="18"/>
              </w:rPr>
              <w:t>0,50 / 1,00 / 2,00</w:t>
            </w:r>
          </w:p>
        </w:tc>
        <w:tc>
          <w:tcPr>
            <w:tcW w:type="dxa" w:w="2608"/>
          </w:tcPr>
          <w:p>
            <w:r>
              <w:rPr>
                <w:sz w:val="18"/>
              </w:rPr>
            </w:r>
            <w:r>
              <w:rPr>
                <w:sz w:val="18"/>
              </w:rPr>
              <w:t>US$ 2,50 milhões (10%); produto próprio (núcleo de geoprocessamento) e três indicadores de produto/cobertura com linha de base zero; impacto ambiental não quantificado.</w:t>
            </w:r>
          </w:p>
        </w:tc>
      </w:tr>
      <w:tr>
        <w:tc>
          <w:tcPr>
            <w:tcW w:type="dxa" w:w="907"/>
          </w:tcPr>
          <w:p>
            <w:pPr>
              <w:jc w:val="center"/>
            </w:pPr>
            <w:r>
              <w:rPr>
                <w:sz w:val="18"/>
              </w:rPr>
            </w:r>
            <w:r>
              <w:rPr>
                <w:sz w:val="18"/>
              </w:rPr>
              <w:t>302</w:t>
            </w:r>
          </w:p>
        </w:tc>
        <w:tc>
          <w:tcPr>
            <w:tcW w:type="dxa" w:w="2494"/>
          </w:tcPr>
          <w:p>
            <w:r>
              <w:rPr>
                <w:sz w:val="18"/>
              </w:rPr>
            </w:r>
            <w:r>
              <w:rPr>
                <w:sz w:val="18"/>
              </w:rPr>
              <w:t>Fortalecer as capacidades estatais (sugestão)</w:t>
            </w:r>
          </w:p>
        </w:tc>
        <w:tc>
          <w:tcPr>
            <w:tcW w:type="dxa" w:w="1134"/>
          </w:tcPr>
          <w:p>
            <w:r>
              <w:rPr>
                <w:sz w:val="18"/>
              </w:rPr>
            </w:r>
            <w:r>
              <w:rPr>
                <w:sz w:val="18"/>
              </w:rPr>
              <w:t>Sugerida — não declarada</w:t>
            </w:r>
          </w:p>
        </w:tc>
        <w:tc>
          <w:tcPr>
            <w:tcW w:type="dxa" w:w="1247"/>
          </w:tcPr>
          <w:p>
            <w:pPr>
              <w:jc w:val="center"/>
            </w:pPr>
            <w:r>
              <w:rPr>
                <w:sz w:val="18"/>
              </w:rPr>
            </w:r>
            <w:r>
              <w:rPr>
                <w:sz w:val="18"/>
              </w:rPr>
              <w:t>0 / 0 / D</w:t>
            </w:r>
          </w:p>
        </w:tc>
        <w:tc>
          <w:tcPr>
            <w:tcW w:type="dxa" w:w="1474"/>
          </w:tcPr>
          <w:p>
            <w:pPr>
              <w:jc w:val="center"/>
            </w:pPr>
            <w:r>
              <w:rPr>
                <w:sz w:val="18"/>
              </w:rPr>
            </w:r>
            <w:r>
              <w:rPr>
                <w:sz w:val="18"/>
              </w:rPr>
              <w:t>0,00 / 0,00 / 1,00</w:t>
            </w:r>
          </w:p>
        </w:tc>
        <w:tc>
          <w:tcPr>
            <w:tcW w:type="dxa" w:w="2608"/>
          </w:tcPr>
          <w:p>
            <w:r>
              <w:rPr>
                <w:sz w:val="18"/>
              </w:rPr>
            </w:r>
            <w:r>
              <w:rPr>
                <w:sz w:val="18"/>
              </w:rPr>
              <w:t>Não declarada; só pontuaria se ganhasse objetivo específico, produto, indicador e custo próprios (capacitação e governança de dados). Não entra na nota esperada.</w:t>
            </w:r>
          </w:p>
        </w:tc>
      </w:tr>
    </w:tbl>
    <w:p/>
    <w:p>
      <w:r>
        <w:rPr>
          <w:i/>
          <w:sz w:val="18"/>
        </w:rPr>
        <w:t>Objetivos marcados como sugeridos não foram declarados no pleito e não entram no subtotal da Tabela 1.</w:t>
      </w:r>
    </w:p>
    <w:p>
      <w:pPr>
        <w:pStyle w:val="Heading2"/>
      </w:pPr>
      <w:r>
        <w:t>Tabela 3 — Sugestões a considerar (resumo)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54"/>
            <w:shd w:val="clear" w:color="auto" w:fill="1F3864"/>
          </w:tcPr>
          <w:p>
            <w:r>
              <w:rPr>
                <w:sz w:val="18"/>
              </w:rPr>
            </w:r>
            <w:r>
              <w:rPr>
                <w:b/>
                <w:color w:val="FFFFFF"/>
                <w:sz w:val="18"/>
              </w:rPr>
              <w:t>#</w:t>
            </w:r>
          </w:p>
        </w:tc>
        <w:tc>
          <w:tcPr>
            <w:tcW w:type="dxa" w:w="4649"/>
            <w:shd w:val="clear" w:color="auto" w:fill="1F3864"/>
          </w:tcPr>
          <w:p>
            <w:r>
              <w:rPr>
                <w:sz w:val="18"/>
              </w:rPr>
            </w:r>
            <w:r>
              <w:rPr>
                <w:b/>
                <w:color w:val="FFFFFF"/>
                <w:sz w:val="18"/>
              </w:rPr>
              <w:t>Sugestão</w:t>
            </w:r>
          </w:p>
        </w:tc>
        <w:tc>
          <w:tcPr>
            <w:tcW w:type="dxa" w:w="1814"/>
            <w:shd w:val="clear" w:color="auto" w:fill="1F3864"/>
          </w:tcPr>
          <w:p>
            <w:r>
              <w:rPr>
                <w:sz w:val="18"/>
              </w:rPr>
            </w:r>
            <w:r>
              <w:rPr>
                <w:b/>
                <w:color w:val="FFFFFF"/>
                <w:sz w:val="18"/>
              </w:rPr>
              <w:t>Item afetado</w:t>
            </w:r>
          </w:p>
        </w:tc>
        <w:tc>
          <w:tcPr>
            <w:tcW w:type="dxa" w:w="1134"/>
            <w:shd w:val="clear" w:color="auto" w:fill="1F3864"/>
          </w:tcPr>
          <w:p>
            <w:r>
              <w:rPr>
                <w:sz w:val="18"/>
              </w:rPr>
            </w:r>
            <w:r>
              <w:rPr>
                <w:b/>
                <w:color w:val="FFFFFF"/>
                <w:sz w:val="18"/>
              </w:rPr>
              <w:t>Prioridade</w:t>
            </w:r>
          </w:p>
        </w:tc>
        <w:tc>
          <w:tcPr>
            <w:tcW w:type="dxa" w:w="1474"/>
            <w:shd w:val="clear" w:color="auto" w:fill="1F3864"/>
          </w:tcPr>
          <w:p>
            <w:r>
              <w:rPr>
                <w:sz w:val="18"/>
              </w:rPr>
            </w:r>
            <w:r>
              <w:rPr>
                <w:b/>
                <w:color w:val="FFFFFF"/>
                <w:sz w:val="18"/>
              </w:rPr>
              <w:t>Ganho estimado</w:t>
            </w:r>
          </w:p>
        </w:tc>
      </w:tr>
      <w:tr>
        <w:tc>
          <w:tcPr>
            <w:tcW w:type="dxa" w:w="454"/>
          </w:tcPr>
          <w:p>
            <w:pPr>
              <w:jc w:val="center"/>
            </w:pPr>
            <w:r>
              <w:rPr>
                <w:sz w:val="18"/>
              </w:rPr>
            </w:r>
            <w:r>
              <w:rPr>
                <w:sz w:val="18"/>
              </w:rPr>
              <w:t>1</w:t>
            </w:r>
          </w:p>
        </w:tc>
        <w:tc>
          <w:tcPr>
            <w:tcW w:type="dxa" w:w="4649"/>
          </w:tcPr>
          <w:p>
            <w:r>
              <w:rPr>
                <w:sz w:val="18"/>
              </w:rPr>
            </w:r>
            <w:r>
              <w:rPr>
                <w:sz w:val="18"/>
              </w:rPr>
              <w:t>Comprovar espaço fiscal do Estado no Programa de Acompanhamento Fiscal para a operação</w:t>
            </w:r>
          </w:p>
        </w:tc>
        <w:tc>
          <w:tcPr>
            <w:tcW w:type="dxa" w:w="1814"/>
          </w:tcPr>
          <w:p>
            <w:r>
              <w:rPr>
                <w:sz w:val="18"/>
              </w:rPr>
            </w:r>
            <w:r>
              <w:rPr>
                <w:sz w:val="18"/>
              </w:rPr>
              <w:t>Elegibilidade (parecer do Tesouro)</w:t>
            </w:r>
          </w:p>
        </w:tc>
        <w:tc>
          <w:tcPr>
            <w:tcW w:type="dxa" w:w="1134"/>
          </w:tcPr>
          <w:p>
            <w:pPr>
              <w:jc w:val="center"/>
            </w:pPr>
            <w:r>
              <w:rPr>
                <w:sz w:val="18"/>
              </w:rPr>
            </w:r>
            <w:r>
              <w:rPr>
                <w:sz w:val="18"/>
              </w:rPr>
              <w:t>P0</w:t>
            </w:r>
          </w:p>
        </w:tc>
        <w:tc>
          <w:tcPr>
            <w:tcW w:type="dxa" w:w="1474"/>
          </w:tcPr>
          <w:p>
            <w:pPr>
              <w:jc w:val="center"/>
            </w:pPr>
            <w:r>
              <w:rPr>
                <w:sz w:val="18"/>
              </w:rPr>
            </w:r>
            <w:r>
              <w:rPr>
                <w:sz w:val="18"/>
              </w:rPr>
              <w:t>Evita bloqueio</w:t>
            </w:r>
          </w:p>
        </w:tc>
      </w:tr>
      <w:tr>
        <w:tc>
          <w:tcPr>
            <w:tcW w:type="dxa" w:w="454"/>
          </w:tcPr>
          <w:p>
            <w:pPr>
              <w:jc w:val="center"/>
            </w:pPr>
            <w:r>
              <w:rPr>
                <w:sz w:val="18"/>
              </w:rPr>
            </w:r>
            <w:r>
              <w:rPr>
                <w:sz w:val="18"/>
              </w:rPr>
              <w:t>2</w:t>
            </w:r>
          </w:p>
        </w:tc>
        <w:tc>
          <w:tcPr>
            <w:tcW w:type="dxa" w:w="4649"/>
          </w:tcPr>
          <w:p>
            <w:r>
              <w:rPr>
                <w:sz w:val="18"/>
              </w:rPr>
            </w:r>
            <w:r>
              <w:rPr>
                <w:sz w:val="18"/>
              </w:rPr>
              <w:t>Apresentar Capacidade de Pagamento e Dívida Consolidada/Receita Corrente Líquida com data e fonte do ciclo da reunião</w:t>
            </w:r>
          </w:p>
        </w:tc>
        <w:tc>
          <w:tcPr>
            <w:tcW w:type="dxa" w:w="1814"/>
          </w:tcPr>
          <w:p>
            <w:r>
              <w:rPr>
                <w:sz w:val="18"/>
              </w:rPr>
            </w:r>
            <w:r>
              <w:rPr>
                <w:sz w:val="18"/>
              </w:rPr>
              <w:t>Dados Objetivos</w:t>
            </w:r>
          </w:p>
        </w:tc>
        <w:tc>
          <w:tcPr>
            <w:tcW w:type="dxa" w:w="1134"/>
          </w:tcPr>
          <w:p>
            <w:pPr>
              <w:jc w:val="center"/>
            </w:pPr>
            <w:r>
              <w:rPr>
                <w:sz w:val="18"/>
              </w:rPr>
            </w:r>
            <w:r>
              <w:rPr>
                <w:sz w:val="18"/>
              </w:rPr>
              <w:t>P0</w:t>
            </w:r>
          </w:p>
        </w:tc>
        <w:tc>
          <w:tcPr>
            <w:tcW w:type="dxa" w:w="1474"/>
          </w:tcPr>
          <w:p>
            <w:pPr>
              <w:jc w:val="center"/>
            </w:pPr>
            <w:r>
              <w:rPr>
                <w:sz w:val="18"/>
              </w:rPr>
            </w:r>
            <w:r>
              <w:rPr>
                <w:sz w:val="18"/>
              </w:rPr>
              <w:t>Valida até 2,50 pontos</w:t>
            </w:r>
          </w:p>
        </w:tc>
      </w:tr>
      <w:tr>
        <w:tc>
          <w:tcPr>
            <w:tcW w:type="dxa" w:w="454"/>
          </w:tcPr>
          <w:p>
            <w:pPr>
              <w:jc w:val="center"/>
            </w:pPr>
            <w:r>
              <w:rPr>
                <w:sz w:val="18"/>
              </w:rPr>
            </w:r>
            <w:r>
              <w:rPr>
                <w:sz w:val="18"/>
              </w:rPr>
              <w:t>3</w:t>
            </w:r>
          </w:p>
        </w:tc>
        <w:tc>
          <w:tcPr>
            <w:tcW w:type="dxa" w:w="4649"/>
          </w:tcPr>
          <w:p>
            <w:r>
              <w:rPr>
                <w:sz w:val="18"/>
              </w:rPr>
            </w:r>
            <w:r>
              <w:rPr>
                <w:sz w:val="18"/>
              </w:rPr>
              <w:t>Tabela de custos de operação e manutenção pós-projeto (licenças, centro de dados, pessoal) por 5 anos com fonte orçamentária</w:t>
            </w:r>
          </w:p>
        </w:tc>
        <w:tc>
          <w:tcPr>
            <w:tcW w:type="dxa" w:w="1814"/>
          </w:tcPr>
          <w:p>
            <w:r>
              <w:rPr>
                <w:sz w:val="18"/>
              </w:rPr>
            </w:r>
            <w:r>
              <w:rPr>
                <w:sz w:val="18"/>
              </w:rPr>
              <w:t>Sustentabilidade; todas as áreas</w:t>
            </w:r>
          </w:p>
        </w:tc>
        <w:tc>
          <w:tcPr>
            <w:tcW w:type="dxa" w:w="1134"/>
          </w:tcPr>
          <w:p>
            <w:pPr>
              <w:jc w:val="center"/>
            </w:pPr>
            <w:r>
              <w:rPr>
                <w:sz w:val="18"/>
              </w:rPr>
            </w:r>
            <w:r>
              <w:rPr>
                <w:sz w:val="18"/>
              </w:rPr>
              <w:t>P1</w:t>
            </w:r>
          </w:p>
        </w:tc>
        <w:tc>
          <w:tcPr>
            <w:tcW w:type="dxa" w:w="1474"/>
          </w:tcPr>
          <w:p>
            <w:pPr>
              <w:jc w:val="center"/>
            </w:pPr>
            <w:r>
              <w:rPr>
                <w:sz w:val="18"/>
              </w:rPr>
            </w:r>
            <w:r>
              <w:rPr>
                <w:sz w:val="18"/>
              </w:rPr>
              <w:t>+0,5 a +1,0</w:t>
            </w:r>
          </w:p>
        </w:tc>
      </w:tr>
      <w:tr>
        <w:tc>
          <w:tcPr>
            <w:tcW w:type="dxa" w:w="454"/>
          </w:tcPr>
          <w:p>
            <w:pPr>
              <w:jc w:val="center"/>
            </w:pPr>
            <w:r>
              <w:rPr>
                <w:sz w:val="18"/>
              </w:rPr>
            </w:r>
            <w:r>
              <w:rPr>
                <w:sz w:val="18"/>
              </w:rPr>
              <w:t>4</w:t>
            </w:r>
          </w:p>
        </w:tc>
        <w:tc>
          <w:tcPr>
            <w:tcW w:type="dxa" w:w="4649"/>
          </w:tcPr>
          <w:p>
            <w:r>
              <w:rPr>
                <w:sz w:val="18"/>
              </w:rPr>
            </w:r>
            <w:r>
              <w:rPr>
                <w:sz w:val="18"/>
              </w:rPr>
              <w:t>Indicador de impacto em segurança pública (valor efetivamente recuperado ao erário ou ativos perdidos em definitivo) com ano-meta</w:t>
            </w:r>
          </w:p>
        </w:tc>
        <w:tc>
          <w:tcPr>
            <w:tcW w:type="dxa" w:w="1814"/>
          </w:tcPr>
          <w:p>
            <w:r>
              <w:rPr>
                <w:sz w:val="18"/>
              </w:rPr>
            </w:r>
            <w:r>
              <w:rPr>
                <w:sz w:val="18"/>
              </w:rPr>
              <w:t>Área 112</w:t>
            </w:r>
          </w:p>
        </w:tc>
        <w:tc>
          <w:tcPr>
            <w:tcW w:type="dxa" w:w="1134"/>
          </w:tcPr>
          <w:p>
            <w:pPr>
              <w:jc w:val="center"/>
            </w:pPr>
            <w:r>
              <w:rPr>
                <w:sz w:val="18"/>
              </w:rPr>
            </w:r>
            <w:r>
              <w:rPr>
                <w:sz w:val="18"/>
              </w:rPr>
              <w:t>P1</w:t>
            </w:r>
          </w:p>
        </w:tc>
        <w:tc>
          <w:tcPr>
            <w:tcW w:type="dxa" w:w="1474"/>
          </w:tcPr>
          <w:p>
            <w:pPr>
              <w:jc w:val="center"/>
            </w:pPr>
            <w:r>
              <w:rPr>
                <w:sz w:val="18"/>
              </w:rPr>
            </w:r>
            <w:r>
              <w:rPr>
                <w:sz w:val="18"/>
              </w:rPr>
              <w:t>+2,0 (B para A)</w:t>
            </w:r>
          </w:p>
        </w:tc>
      </w:tr>
      <w:tr>
        <w:tc>
          <w:tcPr>
            <w:tcW w:type="dxa" w:w="454"/>
          </w:tcPr>
          <w:p>
            <w:pPr>
              <w:jc w:val="center"/>
            </w:pPr>
            <w:r>
              <w:rPr>
                <w:sz w:val="18"/>
              </w:rPr>
            </w:r>
            <w:r>
              <w:rPr>
                <w:sz w:val="18"/>
              </w:rPr>
              <w:t>5</w:t>
            </w:r>
          </w:p>
        </w:tc>
        <w:tc>
          <w:tcPr>
            <w:tcW w:type="dxa" w:w="4649"/>
          </w:tcPr>
          <w:p>
            <w:r>
              <w:rPr>
                <w:sz w:val="18"/>
              </w:rPr>
            </w:r>
            <w:r>
              <w:rPr>
                <w:sz w:val="18"/>
              </w:rPr>
              <w:t>Levar a Área 303 acima de 30% do orçamento, atribuindo a ela a plataforma de dados e a infraestrutura</w:t>
            </w:r>
          </w:p>
        </w:tc>
        <w:tc>
          <w:tcPr>
            <w:tcW w:type="dxa" w:w="1814"/>
          </w:tcPr>
          <w:p>
            <w:r>
              <w:rPr>
                <w:sz w:val="18"/>
              </w:rPr>
            </w:r>
            <w:r>
              <w:rPr>
                <w:sz w:val="18"/>
              </w:rPr>
              <w:t>Área 303</w:t>
            </w:r>
          </w:p>
        </w:tc>
        <w:tc>
          <w:tcPr>
            <w:tcW w:type="dxa" w:w="1134"/>
          </w:tcPr>
          <w:p>
            <w:pPr>
              <w:jc w:val="center"/>
            </w:pPr>
            <w:r>
              <w:rPr>
                <w:sz w:val="18"/>
              </w:rPr>
            </w:r>
            <w:r>
              <w:rPr>
                <w:sz w:val="18"/>
              </w:rPr>
              <w:t>P1</w:t>
            </w:r>
          </w:p>
        </w:tc>
        <w:tc>
          <w:tcPr>
            <w:tcW w:type="dxa" w:w="1474"/>
          </w:tcPr>
          <w:p>
            <w:pPr>
              <w:jc w:val="center"/>
            </w:pPr>
            <w:r>
              <w:rPr>
                <w:sz w:val="18"/>
              </w:rPr>
            </w:r>
            <w:r>
              <w:rPr>
                <w:sz w:val="18"/>
              </w:rPr>
              <w:t>+1,0 (C para B)</w:t>
            </w:r>
          </w:p>
        </w:tc>
      </w:tr>
      <w:tr>
        <w:tc>
          <w:tcPr>
            <w:tcW w:type="dxa" w:w="454"/>
          </w:tcPr>
          <w:p>
            <w:pPr>
              <w:jc w:val="center"/>
            </w:pPr>
            <w:r>
              <w:rPr>
                <w:sz w:val="18"/>
              </w:rPr>
            </w:r>
            <w:r>
              <w:rPr>
                <w:sz w:val="18"/>
              </w:rPr>
              <w:t>6</w:t>
            </w:r>
          </w:p>
        </w:tc>
        <w:tc>
          <w:tcPr>
            <w:tcW w:type="dxa" w:w="4649"/>
          </w:tcPr>
          <w:p>
            <w:r>
              <w:rPr>
                <w:sz w:val="18"/>
              </w:rPr>
            </w:r>
            <w:r>
              <w:rPr>
                <w:sz w:val="18"/>
              </w:rPr>
              <w:t>Trocar indicadores de contagem das Áreas 307 e 201 por indicadores de resultado (tempo de resposta ao cidadão; área desmatada responsabilizada)</w:t>
            </w:r>
          </w:p>
        </w:tc>
        <w:tc>
          <w:tcPr>
            <w:tcW w:type="dxa" w:w="1814"/>
          </w:tcPr>
          <w:p>
            <w:r>
              <w:rPr>
                <w:sz w:val="18"/>
              </w:rPr>
            </w:r>
            <w:r>
              <w:rPr>
                <w:sz w:val="18"/>
              </w:rPr>
              <w:t>Áreas 307 e 201</w:t>
            </w:r>
          </w:p>
        </w:tc>
        <w:tc>
          <w:tcPr>
            <w:tcW w:type="dxa" w:w="1134"/>
          </w:tcPr>
          <w:p>
            <w:pPr>
              <w:jc w:val="center"/>
            </w:pPr>
            <w:r>
              <w:rPr>
                <w:sz w:val="18"/>
              </w:rPr>
            </w:r>
            <w:r>
              <w:rPr>
                <w:sz w:val="18"/>
              </w:rPr>
              <w:t>P1</w:t>
            </w:r>
          </w:p>
        </w:tc>
        <w:tc>
          <w:tcPr>
            <w:tcW w:type="dxa" w:w="1474"/>
          </w:tcPr>
          <w:p>
            <w:pPr>
              <w:jc w:val="center"/>
            </w:pPr>
            <w:r>
              <w:rPr>
                <w:sz w:val="18"/>
              </w:rPr>
            </w:r>
            <w:r>
              <w:rPr>
                <w:sz w:val="18"/>
              </w:rPr>
              <w:t>+1,0 a +2,0</w:t>
            </w:r>
          </w:p>
        </w:tc>
      </w:tr>
      <w:tr>
        <w:tc>
          <w:tcPr>
            <w:tcW w:type="dxa" w:w="454"/>
          </w:tcPr>
          <w:p>
            <w:pPr>
              <w:jc w:val="center"/>
            </w:pPr>
            <w:r>
              <w:rPr>
                <w:sz w:val="18"/>
              </w:rPr>
            </w:r>
            <w:r>
              <w:rPr>
                <w:sz w:val="18"/>
              </w:rPr>
              <w:t>7</w:t>
            </w:r>
          </w:p>
        </w:tc>
        <w:tc>
          <w:tcPr>
            <w:tcW w:type="dxa" w:w="4649"/>
          </w:tcPr>
          <w:p>
            <w:r>
              <w:rPr>
                <w:sz w:val="18"/>
              </w:rPr>
            </w:r>
            <w:r>
              <w:rPr>
                <w:sz w:val="18"/>
              </w:rPr>
              <w:t>Converter metas em anos civis e incluir fonte de verificação em todos os indicadores</w:t>
            </w:r>
          </w:p>
        </w:tc>
        <w:tc>
          <w:tcPr>
            <w:tcW w:type="dxa" w:w="1814"/>
          </w:tcPr>
          <w:p>
            <w:r>
              <w:rPr>
                <w:sz w:val="18"/>
              </w:rPr>
            </w:r>
            <w:r>
              <w:rPr>
                <w:sz w:val="18"/>
              </w:rPr>
              <w:t>Marco de resultados</w:t>
            </w:r>
          </w:p>
        </w:tc>
        <w:tc>
          <w:tcPr>
            <w:tcW w:type="dxa" w:w="1134"/>
          </w:tcPr>
          <w:p>
            <w:pPr>
              <w:jc w:val="center"/>
            </w:pPr>
            <w:r>
              <w:rPr>
                <w:sz w:val="18"/>
              </w:rPr>
            </w:r>
            <w:r>
              <w:rPr>
                <w:sz w:val="18"/>
              </w:rPr>
              <w:t>P1</w:t>
            </w:r>
          </w:p>
        </w:tc>
        <w:tc>
          <w:tcPr>
            <w:tcW w:type="dxa" w:w="1474"/>
          </w:tcPr>
          <w:p>
            <w:pPr>
              <w:jc w:val="center"/>
            </w:pPr>
            <w:r>
              <w:rPr>
                <w:sz w:val="18"/>
              </w:rPr>
            </w:r>
            <w:r>
              <w:rPr>
                <w:sz w:val="18"/>
              </w:rPr>
              <w:t>+0,5</w:t>
            </w:r>
          </w:p>
        </w:tc>
      </w:tr>
      <w:tr>
        <w:tc>
          <w:tcPr>
            <w:tcW w:type="dxa" w:w="454"/>
          </w:tcPr>
          <w:p>
            <w:pPr>
              <w:jc w:val="center"/>
            </w:pPr>
            <w:r>
              <w:rPr>
                <w:sz w:val="18"/>
              </w:rPr>
            </w:r>
            <w:r>
              <w:rPr>
                <w:sz w:val="18"/>
              </w:rPr>
              <w:t>8</w:t>
            </w:r>
          </w:p>
        </w:tc>
        <w:tc>
          <w:tcPr>
            <w:tcW w:type="dxa" w:w="4649"/>
          </w:tcPr>
          <w:p>
            <w:r>
              <w:rPr>
                <w:sz w:val="18"/>
              </w:rPr>
            </w:r>
            <w:r>
              <w:rPr>
                <w:sz w:val="18"/>
              </w:rPr>
              <w:t>Criar instância de governança conjunta Executivo e Ministério Público e justificar a compra de imóvel</w:t>
            </w:r>
          </w:p>
        </w:tc>
        <w:tc>
          <w:tcPr>
            <w:tcW w:type="dxa" w:w="1814"/>
          </w:tcPr>
          <w:p>
            <w:r>
              <w:rPr>
                <w:sz w:val="18"/>
              </w:rPr>
            </w:r>
            <w:r>
              <w:rPr>
                <w:sz w:val="18"/>
              </w:rPr>
              <w:t>Perguntas do Grupo Técnico</w:t>
            </w:r>
          </w:p>
        </w:tc>
        <w:tc>
          <w:tcPr>
            <w:tcW w:type="dxa" w:w="1134"/>
          </w:tcPr>
          <w:p>
            <w:pPr>
              <w:jc w:val="center"/>
            </w:pPr>
            <w:r>
              <w:rPr>
                <w:sz w:val="18"/>
              </w:rPr>
            </w:r>
            <w:r>
              <w:rPr>
                <w:sz w:val="18"/>
              </w:rPr>
              <w:t>P2</w:t>
            </w:r>
          </w:p>
        </w:tc>
        <w:tc>
          <w:tcPr>
            <w:tcW w:type="dxa" w:w="1474"/>
          </w:tcPr>
          <w:p>
            <w:pPr>
              <w:jc w:val="center"/>
            </w:pPr>
            <w:r>
              <w:rPr>
                <w:sz w:val="18"/>
              </w:rPr>
            </w:r>
            <w:r>
              <w:rPr>
                <w:sz w:val="18"/>
              </w:rPr>
              <w:t>Reduz pendências</w:t>
            </w:r>
          </w:p>
        </w:tc>
      </w:tr>
      <w:tr>
        <w:tc>
          <w:tcPr>
            <w:tcW w:type="dxa" w:w="454"/>
          </w:tcPr>
          <w:p>
            <w:pPr>
              <w:jc w:val="center"/>
            </w:pPr>
            <w:r>
              <w:rPr>
                <w:sz w:val="18"/>
              </w:rPr>
            </w:r>
            <w:r>
              <w:rPr>
                <w:sz w:val="18"/>
              </w:rPr>
              <w:t>9</w:t>
            </w:r>
          </w:p>
        </w:tc>
        <w:tc>
          <w:tcPr>
            <w:tcW w:type="dxa" w:w="4649"/>
          </w:tcPr>
          <w:p>
            <w:r>
              <w:rPr>
                <w:sz w:val="18"/>
              </w:rPr>
            </w:r>
            <w:r>
              <w:rPr>
                <w:sz w:val="18"/>
              </w:rPr>
              <w:t>Incluir custo por beneficiário e duas a três referências de operações do BID na América Latina</w:t>
            </w:r>
          </w:p>
        </w:tc>
        <w:tc>
          <w:tcPr>
            <w:tcW w:type="dxa" w:w="1814"/>
          </w:tcPr>
          <w:p>
            <w:r>
              <w:rPr>
                <w:sz w:val="18"/>
              </w:rPr>
            </w:r>
            <w:r>
              <w:rPr>
                <w:sz w:val="18"/>
              </w:rPr>
              <w:t>Perguntas do Grupo Técnico</w:t>
            </w:r>
          </w:p>
        </w:tc>
        <w:tc>
          <w:tcPr>
            <w:tcW w:type="dxa" w:w="1134"/>
          </w:tcPr>
          <w:p>
            <w:pPr>
              <w:jc w:val="center"/>
            </w:pPr>
            <w:r>
              <w:rPr>
                <w:sz w:val="18"/>
              </w:rPr>
            </w:r>
            <w:r>
              <w:rPr>
                <w:sz w:val="18"/>
              </w:rPr>
              <w:t>P2</w:t>
            </w:r>
          </w:p>
        </w:tc>
        <w:tc>
          <w:tcPr>
            <w:tcW w:type="dxa" w:w="1474"/>
          </w:tcPr>
          <w:p>
            <w:pPr>
              <w:jc w:val="center"/>
            </w:pPr>
            <w:r>
              <w:rPr>
                <w:sz w:val="18"/>
              </w:rPr>
            </w:r>
            <w:r>
              <w:rPr>
                <w:sz w:val="18"/>
              </w:rPr>
              <w:t>+0,5</w:t>
            </w:r>
          </w:p>
        </w:tc>
      </w:tr>
    </w:tbl>
    <w:p/>
    <w:p>
      <w:r>
        <w:rPr>
          <w:i/>
          <w:sz w:val="18"/>
        </w:rPr>
        <w:t>Sugestões indicativas. O detalhamento, a priorização e o ganho estimado de cada uma estão na seção Plano de Correção.</w:t>
      </w:r>
    </w:p>
    <w:p>
      <w:pPr>
        <w:pStyle w:val="Heading1"/>
      </w:pPr>
      <w:r>
        <w:t>0. Nota de método e escopo da execução</w:t>
      </w:r>
    </w:p>
    <w:p>
      <w:r>
        <w:t>Esta simulação reproduz a análise técnica da COFIEX sob a Resolução Normativa 1/2024 (consolidada em 18/05/2026): triagem do Anexo I, filtro eliminatório do Art. 28, Nota de Área Estratégica por objetivo do PPA 2024–2027 (Anexo II), Dados Objetivos (Índice de Desenvolvimento Humano, Capacidade de Pagamento, Tendência da Dívida), perguntas calibradas do Grupo Técnico, revisão sênior de banco multilateral de desenvolvimento e plano de correção.</w:t>
      </w:r>
    </w:p>
    <w:p>
      <w:pPr>
        <w:pStyle w:val="ListBullet"/>
      </w:pPr>
      <w:r>
        <w:t>Julgamento cego: usados apenas o texto da carta-consulta (versão 3) e o material da própria habilidade (rubricas, calibração agregada e anonimizada, planilha oficial empacotada). Nenhuma Nota Técnica, ata, resultado de reunião ou planilha de avaliação foi consultada.</w:t>
      </w:r>
    </w:p>
    <w:p>
      <w:pPr>
        <w:pStyle w:val="ListBullet"/>
      </w:pPr>
      <w:r>
        <w:t>Fase 0 (checagem regulatória em tempo real): NÃO realizada nesta execução, por instrução do usuário (sem busca na web). Base regulatória assumida: Resolução Normativa 1/2024 com as alterações das Resoluções 32/2025, 142/2026, 150/2026 e 151/2026; Portaria do Ministério da Fazenda/Tesouro 857/2026; Resolução do Conselho Monetário Nacional 5.282/2026. Marcação: checagem em tempo real indisponível.</w:t>
      </w:r>
    </w:p>
    <w:p>
      <w:pPr>
        <w:pStyle w:val="ListBullet"/>
      </w:pPr>
      <w:r>
        <w:t>Fase 1 (triagem com o usuário): o arquivo da carta-consulta foi fornecido; os campos foram pré-preenchidos a partir dele, sem rodada de perguntas.</w:t>
      </w:r>
    </w:p>
    <w:p>
      <w:pPr>
        <w:pStyle w:val="ListBullet"/>
      </w:pPr>
      <w:r>
        <w:t>Fase 9.5 (iteração): a carta está na versão 3 dentro do Portal de Financiamento Externo, o que não prova reenvio após reunião. Registrado: status de reenvio desconhecido.</w:t>
      </w:r>
    </w:p>
    <w:p>
      <w:pPr>
        <w:pStyle w:val="Heading1"/>
      </w:pPr>
      <w:r>
        <w:t>1. Cabeçalho</w:t>
      </w:r>
    </w:p>
    <w:p>
      <w:r>
        <w:rPr>
          <w:b/>
        </w:rPr>
        <w:t>Identificação da operação (repetida do texto da carta-consulta)</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864"/>
          </w:tcPr>
          <w:p>
            <w:r>
              <w:rPr>
                <w:sz w:val="18"/>
              </w:rPr>
            </w:r>
            <w:r>
              <w:rPr>
                <w:b/>
                <w:color w:val="FFFFFF"/>
                <w:sz w:val="18"/>
              </w:rPr>
              <w:t>Campo</w:t>
            </w:r>
          </w:p>
        </w:tc>
        <w:tc>
          <w:tcPr>
            <w:tcW w:type="dxa" w:w="4986"/>
            <w:shd w:val="clear" w:color="auto" w:fill="1F3864"/>
          </w:tcPr>
          <w:p>
            <w:r>
              <w:rPr>
                <w:sz w:val="18"/>
              </w:rPr>
            </w:r>
            <w:r>
              <w:rPr>
                <w:b/>
                <w:color w:val="FFFFFF"/>
                <w:sz w:val="18"/>
              </w:rPr>
              <w:t>Valor</w:t>
            </w:r>
          </w:p>
        </w:tc>
      </w:tr>
      <w:tr>
        <w:tc>
          <w:tcPr>
            <w:tcW w:type="dxa" w:w="4986"/>
          </w:tcPr>
          <w:p>
            <w:r>
              <w:rPr>
                <w:sz w:val="18"/>
              </w:rPr>
            </w:r>
            <w:r>
              <w:rPr>
                <w:sz w:val="18"/>
              </w:rPr>
              <w:t>Nome completo</w:t>
            </w:r>
          </w:p>
        </w:tc>
        <w:tc>
          <w:tcPr>
            <w:tcW w:type="dxa" w:w="4986"/>
          </w:tcPr>
          <w:p>
            <w:r>
              <w:rPr>
                <w:sz w:val="18"/>
              </w:rPr>
            </w:r>
            <w:r>
              <w:rPr>
                <w:sz w:val="18"/>
              </w:rPr>
              <w:t>Projeto de Modernização e Fortalecimento Institucional do Ministério Público, para o Combate ao Crime Organizado e a Sustentabilidade Ambiental</w:t>
            </w:r>
          </w:p>
        </w:tc>
      </w:tr>
      <w:tr>
        <w:tc>
          <w:tcPr>
            <w:tcW w:type="dxa" w:w="4986"/>
          </w:tcPr>
          <w:p>
            <w:r>
              <w:rPr>
                <w:sz w:val="18"/>
              </w:rPr>
            </w:r>
            <w:r>
              <w:rPr>
                <w:sz w:val="18"/>
              </w:rPr>
              <w:t>Proponente / executor</w:t>
            </w:r>
          </w:p>
        </w:tc>
        <w:tc>
          <w:tcPr>
            <w:tcW w:type="dxa" w:w="4986"/>
          </w:tcPr>
          <w:p>
            <w:r>
              <w:rPr>
                <w:sz w:val="18"/>
              </w:rPr>
            </w:r>
            <w:r>
              <w:rPr>
                <w:sz w:val="18"/>
              </w:rPr>
              <w:t>Estado de Pernambuco / Ministério Público de Pernambuco (Procuradoria-Geral de Justiça)</w:t>
            </w:r>
          </w:p>
        </w:tc>
      </w:tr>
      <w:tr>
        <w:tc>
          <w:tcPr>
            <w:tcW w:type="dxa" w:w="4986"/>
          </w:tcPr>
          <w:p>
            <w:r>
              <w:rPr>
                <w:sz w:val="18"/>
              </w:rPr>
            </w:r>
            <w:r>
              <w:rPr>
                <w:sz w:val="18"/>
              </w:rPr>
              <w:t>Credor e moeda</w:t>
            </w:r>
          </w:p>
        </w:tc>
        <w:tc>
          <w:tcPr>
            <w:tcW w:type="dxa" w:w="4986"/>
          </w:tcPr>
          <w:p>
            <w:r>
              <w:rPr>
                <w:sz w:val="18"/>
              </w:rPr>
            </w:r>
            <w:r>
              <w:rPr>
                <w:sz w:val="18"/>
              </w:rPr>
              <w:t>Banco Interamericano de Desenvolvimento, dólar dos Estados Unidos</w:t>
            </w:r>
          </w:p>
        </w:tc>
      </w:tr>
      <w:tr>
        <w:tc>
          <w:tcPr>
            <w:tcW w:type="dxa" w:w="4986"/>
          </w:tcPr>
          <w:p>
            <w:r>
              <w:rPr>
                <w:sz w:val="18"/>
              </w:rPr>
            </w:r>
            <w:r>
              <w:rPr>
                <w:sz w:val="18"/>
              </w:rPr>
              <w:t>Valor total / empréstimo / contrapartida</w:t>
            </w:r>
          </w:p>
        </w:tc>
        <w:tc>
          <w:tcPr>
            <w:tcW w:type="dxa" w:w="4986"/>
          </w:tcPr>
          <w:p>
            <w:r>
              <w:rPr>
                <w:sz w:val="18"/>
              </w:rPr>
            </w:r>
            <w:r>
              <w:rPr>
                <w:sz w:val="18"/>
              </w:rPr>
              <w:t>US$ 25,00 milhões / US$ 20,00 milhões / US$ 5,00 milhões (20,0%)</w:t>
            </w:r>
          </w:p>
        </w:tc>
      </w:tr>
      <w:tr>
        <w:tc>
          <w:tcPr>
            <w:tcW w:type="dxa" w:w="4986"/>
          </w:tcPr>
          <w:p>
            <w:r>
              <w:rPr>
                <w:sz w:val="18"/>
              </w:rPr>
            </w:r>
            <w:r>
              <w:rPr>
                <w:sz w:val="18"/>
              </w:rPr>
              <w:t>Componentes</w:t>
            </w:r>
          </w:p>
        </w:tc>
        <w:tc>
          <w:tcPr>
            <w:tcW w:type="dxa" w:w="4986"/>
          </w:tcPr>
          <w:p>
            <w:r>
              <w:rPr>
                <w:sz w:val="18"/>
              </w:rPr>
            </w:r>
            <w:r>
              <w:rPr>
                <w:sz w:val="18"/>
              </w:rPr>
              <w:t>Componente 1 — Modernização do Ministério Público: US$ 24,19 milhões (quatro produtos); Componente 2 — Administração, Avaliação e Auditoria: US$ 0,81 milhão</w:t>
            </w:r>
          </w:p>
        </w:tc>
      </w:tr>
      <w:tr>
        <w:tc>
          <w:tcPr>
            <w:tcW w:type="dxa" w:w="4986"/>
          </w:tcPr>
          <w:p>
            <w:r>
              <w:rPr>
                <w:sz w:val="18"/>
              </w:rPr>
            </w:r>
            <w:r>
              <w:rPr>
                <w:sz w:val="18"/>
              </w:rPr>
              <w:t>Custos declarados por área estratégica</w:t>
            </w:r>
          </w:p>
        </w:tc>
        <w:tc>
          <w:tcPr>
            <w:tcW w:type="dxa" w:w="4986"/>
          </w:tcPr>
          <w:p>
            <w:r>
              <w:rPr>
                <w:sz w:val="18"/>
              </w:rPr>
            </w:r>
            <w:r>
              <w:rPr>
                <w:sz w:val="18"/>
              </w:rPr>
              <w:t>Área 112: US$ 12,53 milhões; Área 303: US$ 6,34 milhões; Área 307: US$ 2,81 milhões; Área 201: US$ 2,50 milhões (soma US$ 24,18 milhões, igual ao Componente 1)</w:t>
            </w:r>
          </w:p>
        </w:tc>
      </w:tr>
      <w:tr>
        <w:tc>
          <w:tcPr>
            <w:tcW w:type="dxa" w:w="4986"/>
          </w:tcPr>
          <w:p>
            <w:r>
              <w:rPr>
                <w:sz w:val="18"/>
              </w:rPr>
            </w:r>
            <w:r>
              <w:rPr>
                <w:sz w:val="18"/>
              </w:rPr>
              <w:t>Condições financeiras</w:t>
            </w:r>
          </w:p>
        </w:tc>
        <w:tc>
          <w:tcPr>
            <w:tcW w:type="dxa" w:w="4986"/>
          </w:tcPr>
          <w:p>
            <w:r>
              <w:rPr>
                <w:sz w:val="18"/>
              </w:rPr>
            </w:r>
            <w:r>
              <w:rPr>
                <w:sz w:val="18"/>
              </w:rPr>
              <w:t>Taxa flutuante do capital ordinário do BID; comissão de compromisso 0,5% e taxa de abertura 0,25%; carência 72 meses; prazo 294 meses; pagamentos semestrais</w:t>
            </w:r>
          </w:p>
        </w:tc>
      </w:tr>
      <w:tr>
        <w:tc>
          <w:tcPr>
            <w:tcW w:type="dxa" w:w="4986"/>
          </w:tcPr>
          <w:p>
            <w:r>
              <w:rPr>
                <w:sz w:val="18"/>
              </w:rPr>
            </w:r>
            <w:r>
              <w:rPr>
                <w:sz w:val="18"/>
              </w:rPr>
              <w:t>Contragarantias</w:t>
            </w:r>
          </w:p>
        </w:tc>
        <w:tc>
          <w:tcPr>
            <w:tcW w:type="dxa" w:w="4986"/>
          </w:tcPr>
          <w:p>
            <w:r>
              <w:rPr>
                <w:sz w:val="18"/>
              </w:rPr>
            </w:r>
            <w:r>
              <w:rPr>
                <w:sz w:val="18"/>
              </w:rPr>
              <w:t>Cotas de repartição constitucional (arts. 157 e 159) e receitas do art. 155 da Constituição</w:t>
            </w:r>
          </w:p>
        </w:tc>
      </w:tr>
      <w:tr>
        <w:tc>
          <w:tcPr>
            <w:tcW w:type="dxa" w:w="4986"/>
          </w:tcPr>
          <w:p>
            <w:r>
              <w:rPr>
                <w:sz w:val="18"/>
              </w:rPr>
            </w:r>
            <w:r>
              <w:rPr>
                <w:sz w:val="18"/>
              </w:rPr>
              <w:t>Sublimite-alvo</w:t>
            </w:r>
          </w:p>
        </w:tc>
        <w:tc>
          <w:tcPr>
            <w:tcW w:type="dxa" w:w="4986"/>
          </w:tcPr>
          <w:p>
            <w:r>
              <w:rPr>
                <w:sz w:val="18"/>
              </w:rPr>
            </w:r>
            <w:r>
              <w:rPr>
                <w:sz w:val="18"/>
              </w:rPr>
              <w:t>Geral (subnacional)</w:t>
            </w:r>
          </w:p>
        </w:tc>
      </w:tr>
      <w:tr>
        <w:tc>
          <w:tcPr>
            <w:tcW w:type="dxa" w:w="4986"/>
          </w:tcPr>
          <w:p>
            <w:r>
              <w:rPr>
                <w:sz w:val="18"/>
              </w:rPr>
            </w:r>
            <w:r>
              <w:rPr>
                <w:sz w:val="18"/>
              </w:rPr>
              <w:t>Áreas estratégicas declaradas</w:t>
            </w:r>
          </w:p>
        </w:tc>
        <w:tc>
          <w:tcPr>
            <w:tcW w:type="dxa" w:w="4986"/>
          </w:tcPr>
          <w:p>
            <w:r>
              <w:rPr>
                <w:sz w:val="18"/>
              </w:rPr>
            </w:r>
            <w:r>
              <w:rPr>
                <w:sz w:val="18"/>
              </w:rPr>
              <w:t>112, 201, 303 e 307</w:t>
            </w:r>
          </w:p>
        </w:tc>
      </w:tr>
    </w:tbl>
    <w:p/>
    <w:p>
      <w:pPr>
        <w:pStyle w:val="Heading1"/>
      </w:pPr>
      <w:r>
        <w:t>2. Integridade dos Insumos</w:t>
      </w:r>
    </w:p>
    <w:p>
      <w:r>
        <w:t>Insumos regulados conferidos contra a planilha oficial empacotada (Brazilian External Credit Operations Database, setembro de 2026; última atualização registrada na aba de metadados em 02/10/2026), aba Borrowers_States, linha do código 26 (Pernambuco). O código do ente casa com o nome e a unidade da federação declarados.</w:t>
      </w:r>
    </w:p>
    <w:p>
      <w:r>
        <w:rPr>
          <w:b/>
        </w:rPr>
        <w:t>Marcações de integridade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864"/>
          </w:tcPr>
          <w:p>
            <w:r>
              <w:rPr>
                <w:sz w:val="18"/>
              </w:rPr>
            </w:r>
            <w:r>
              <w:rPr>
                <w:b/>
                <w:color w:val="FFFFFF"/>
                <w:sz w:val="18"/>
              </w:rPr>
              <w:t>Insumo</w:t>
            </w:r>
          </w:p>
        </w:tc>
        <w:tc>
          <w:tcPr>
            <w:tcW w:type="dxa" w:w="2493"/>
            <w:shd w:val="clear" w:color="auto" w:fill="1F3864"/>
          </w:tcPr>
          <w:p>
            <w:r>
              <w:rPr>
                <w:sz w:val="18"/>
              </w:rPr>
            </w:r>
            <w:r>
              <w:rPr>
                <w:b/>
                <w:color w:val="FFFFFF"/>
                <w:sz w:val="18"/>
              </w:rPr>
              <w:t>Valor encontrado</w:t>
            </w:r>
          </w:p>
        </w:tc>
        <w:tc>
          <w:tcPr>
            <w:tcW w:type="dxa" w:w="2493"/>
            <w:shd w:val="clear" w:color="auto" w:fill="1F3864"/>
          </w:tcPr>
          <w:p>
            <w:r>
              <w:rPr>
                <w:sz w:val="18"/>
              </w:rPr>
            </w:r>
            <w:r>
              <w:rPr>
                <w:b/>
                <w:color w:val="FFFFFF"/>
                <w:sz w:val="18"/>
              </w:rPr>
              <w:t>Situação</w:t>
            </w:r>
          </w:p>
        </w:tc>
        <w:tc>
          <w:tcPr>
            <w:tcW w:type="dxa" w:w="2493"/>
            <w:shd w:val="clear" w:color="auto" w:fill="1F3864"/>
          </w:tcPr>
          <w:p>
            <w:r>
              <w:rPr>
                <w:sz w:val="18"/>
              </w:rPr>
            </w:r>
            <w:r>
              <w:rPr>
                <w:b/>
                <w:color w:val="FFFFFF"/>
                <w:sz w:val="18"/>
              </w:rPr>
              <w:t>Efeito na pontuação</w:t>
            </w:r>
          </w:p>
        </w:tc>
      </w:tr>
      <w:tr>
        <w:tc>
          <w:tcPr>
            <w:tcW w:type="dxa" w:w="2493"/>
          </w:tcPr>
          <w:p>
            <w:r>
              <w:rPr>
                <w:sz w:val="18"/>
              </w:rPr>
            </w:r>
            <w:r>
              <w:rPr>
                <w:sz w:val="18"/>
              </w:rPr>
              <w:t>Índice de Desenvolvimento Humano</w:t>
            </w:r>
          </w:p>
        </w:tc>
        <w:tc>
          <w:tcPr>
            <w:tcW w:type="dxa" w:w="2493"/>
          </w:tcPr>
          <w:p>
            <w:r>
              <w:rPr>
                <w:sz w:val="18"/>
              </w:rPr>
            </w:r>
            <w:r>
              <w:rPr>
                <w:sz w:val="18"/>
              </w:rPr>
              <w:t>0,719 (2021) na planilha; 0,719 declarado na carta</w:t>
            </w:r>
          </w:p>
        </w:tc>
        <w:tc>
          <w:tcPr>
            <w:tcW w:type="dxa" w:w="2493"/>
          </w:tcPr>
          <w:p>
            <w:r>
              <w:rPr>
                <w:sz w:val="18"/>
              </w:rPr>
            </w:r>
            <w:r>
              <w:rPr>
                <w:sz w:val="18"/>
              </w:rPr>
              <w:t>Conferido</w:t>
            </w:r>
          </w:p>
        </w:tc>
        <w:tc>
          <w:tcPr>
            <w:tcW w:type="dxa" w:w="2493"/>
          </w:tcPr>
          <w:p>
            <w:r>
              <w:rPr>
                <w:sz w:val="18"/>
              </w:rPr>
            </w:r>
            <w:r>
              <w:rPr>
                <w:sz w:val="18"/>
              </w:rPr>
              <w:t>Usado normalmente</w:t>
            </w:r>
          </w:p>
        </w:tc>
      </w:tr>
      <w:tr>
        <w:tc>
          <w:tcPr>
            <w:tcW w:type="dxa" w:w="2493"/>
          </w:tcPr>
          <w:p>
            <w:r>
              <w:rPr>
                <w:sz w:val="18"/>
              </w:rPr>
            </w:r>
            <w:r>
              <w:rPr>
                <w:sz w:val="18"/>
              </w:rPr>
              <w:t>Capacidade de Pagamento</w:t>
            </w:r>
          </w:p>
        </w:tc>
        <w:tc>
          <w:tcPr>
            <w:tcW w:type="dxa" w:w="2493"/>
          </w:tcPr>
          <w:p>
            <w:r>
              <w:rPr>
                <w:sz w:val="18"/>
              </w:rPr>
            </w:r>
            <w:r>
              <w:rPr>
                <w:sz w:val="18"/>
              </w:rPr>
              <w:t>B+ (coluna de classificação fiscal 2026 da planilha)</w:t>
            </w:r>
          </w:p>
        </w:tc>
        <w:tc>
          <w:tcPr>
            <w:tcW w:type="dxa" w:w="2493"/>
          </w:tcPr>
          <w:p>
            <w:r>
              <w:rPr>
                <w:sz w:val="18"/>
              </w:rPr>
            </w:r>
            <w:r>
              <w:rPr>
                <w:sz w:val="18"/>
              </w:rPr>
              <w:t>Marcação de insumo: o ciclo da classificação (2026) não coincide com o da reunião-alvo provável (segundo semestre de 2025); a carta não informa data nem fonte</w:t>
            </w:r>
          </w:p>
        </w:tc>
        <w:tc>
          <w:tcPr>
            <w:tcW w:type="dxa" w:w="2493"/>
          </w:tcPr>
          <w:p>
            <w:r>
              <w:rPr>
                <w:sz w:val="18"/>
              </w:rPr>
            </w:r>
            <w:r>
              <w:rPr>
                <w:sz w:val="18"/>
              </w:rPr>
              <w:t>B+ usado como esperado (1,00), com faixa de um nível (0,50 a 1,50) até validação</w:t>
            </w:r>
          </w:p>
        </w:tc>
      </w:tr>
      <w:tr>
        <w:tc>
          <w:tcPr>
            <w:tcW w:type="dxa" w:w="2493"/>
          </w:tcPr>
          <w:p>
            <w:r>
              <w:rPr>
                <w:sz w:val="18"/>
              </w:rPr>
            </w:r>
            <w:r>
              <w:rPr>
                <w:sz w:val="18"/>
              </w:rPr>
              <w:t>Dívida Consolidada/Receita Corrente Líquida e tendência</w:t>
            </w:r>
          </w:p>
        </w:tc>
        <w:tc>
          <w:tcPr>
            <w:tcW w:type="dxa" w:w="2493"/>
          </w:tcPr>
          <w:p>
            <w:r>
              <w:rPr>
                <w:sz w:val="18"/>
              </w:rPr>
            </w:r>
            <w:r>
              <w:rPr>
                <w:sz w:val="18"/>
              </w:rPr>
              <w:t>Não disponível na planilha empacotada; carta não informa</w:t>
            </w:r>
          </w:p>
        </w:tc>
        <w:tc>
          <w:tcPr>
            <w:tcW w:type="dxa" w:w="2493"/>
          </w:tcPr>
          <w:p>
            <w:r>
              <w:rPr>
                <w:sz w:val="18"/>
              </w:rPr>
            </w:r>
            <w:r>
              <w:rPr>
                <w:sz w:val="18"/>
              </w:rPr>
              <w:t>Marcação de insumo: dado ausente (busca externa vedada nesta execução)</w:t>
            </w:r>
          </w:p>
        </w:tc>
        <w:tc>
          <w:tcPr>
            <w:tcW w:type="dxa" w:w="2493"/>
          </w:tcPr>
          <w:p>
            <w:r>
              <w:rPr>
                <w:sz w:val="18"/>
              </w:rPr>
            </w:r>
            <w:r>
              <w:rPr>
                <w:sz w:val="18"/>
              </w:rPr>
              <w:t>Cenário 0,50 / 0,75 / 1,00; não confirmado</w:t>
            </w:r>
          </w:p>
        </w:tc>
      </w:tr>
      <w:tr>
        <w:tc>
          <w:tcPr>
            <w:tcW w:type="dxa" w:w="2493"/>
          </w:tcPr>
          <w:p>
            <w:r>
              <w:rPr>
                <w:sz w:val="18"/>
              </w:rPr>
            </w:r>
            <w:r>
              <w:rPr>
                <w:sz w:val="18"/>
              </w:rPr>
              <w:t>Espaço fiscal no Programa de Acompanhamento Fiscal</w:t>
            </w:r>
          </w:p>
        </w:tc>
        <w:tc>
          <w:tcPr>
            <w:tcW w:type="dxa" w:w="2493"/>
          </w:tcPr>
          <w:p>
            <w:r>
              <w:rPr>
                <w:sz w:val="18"/>
              </w:rPr>
            </w:r>
            <w:r>
              <w:rPr>
                <w:sz w:val="18"/>
              </w:rPr>
              <w:t>Aba Borrowing_Capacity_States: espaço disponível do Estado em 2025 = R$ 0 (100% utilizado); em 2026 = R$ 1.752 milhões</w:t>
            </w:r>
          </w:p>
        </w:tc>
        <w:tc>
          <w:tcPr>
            <w:tcW w:type="dxa" w:w="2493"/>
          </w:tcPr>
          <w:p>
            <w:r>
              <w:rPr>
                <w:sz w:val="18"/>
              </w:rPr>
            </w:r>
            <w:r>
              <w:rPr>
                <w:sz w:val="18"/>
              </w:rPr>
              <w:t>Marcação de insumo: risco de elegibilidade para operação a ser contratada em 2025</w:t>
            </w:r>
          </w:p>
        </w:tc>
        <w:tc>
          <w:tcPr>
            <w:tcW w:type="dxa" w:w="2493"/>
          </w:tcPr>
          <w:p>
            <w:r>
              <w:rPr>
                <w:sz w:val="18"/>
              </w:rPr>
            </w:r>
            <w:r>
              <w:rPr>
                <w:sz w:val="18"/>
              </w:rPr>
              <w:t>Não altera a nota; afeta a viabilidade (parecer do Tesouro, Art. 28, I, e)</w:t>
            </w:r>
          </w:p>
        </w:tc>
      </w:tr>
      <w:tr>
        <w:tc>
          <w:tcPr>
            <w:tcW w:type="dxa" w:w="2493"/>
          </w:tcPr>
          <w:p>
            <w:r>
              <w:rPr>
                <w:sz w:val="18"/>
              </w:rPr>
            </w:r>
            <w:r>
              <w:rPr>
                <w:sz w:val="18"/>
              </w:rPr>
              <w:t>Valores da operação</w:t>
            </w:r>
          </w:p>
        </w:tc>
        <w:tc>
          <w:tcPr>
            <w:tcW w:type="dxa" w:w="2493"/>
          </w:tcPr>
          <w:p>
            <w:r>
              <w:rPr>
                <w:sz w:val="18"/>
              </w:rPr>
            </w:r>
            <w:r>
              <w:rPr>
                <w:sz w:val="18"/>
              </w:rPr>
              <w:t>Tabela 5.1 mostra 'valor proposto' US$ 20 milhões e 'valor em dólar' US$ 25 milhões</w:t>
            </w:r>
          </w:p>
        </w:tc>
        <w:tc>
          <w:tcPr>
            <w:tcW w:type="dxa" w:w="2493"/>
          </w:tcPr>
          <w:p>
            <w:r>
              <w:rPr>
                <w:sz w:val="18"/>
              </w:rPr>
            </w:r>
            <w:r>
              <w:rPr>
                <w:sz w:val="18"/>
              </w:rPr>
              <w:t>Inconsistência de preenchimento: o campo de valor em dólar repete o valor total</w:t>
            </w:r>
          </w:p>
        </w:tc>
        <w:tc>
          <w:tcPr>
            <w:tcW w:type="dxa" w:w="2493"/>
          </w:tcPr>
          <w:p>
            <w:r>
              <w:rPr>
                <w:sz w:val="18"/>
              </w:rPr>
            </w:r>
            <w:r>
              <w:rPr>
                <w:sz w:val="18"/>
              </w:rPr>
              <w:t>Sem efeito na nota; corrigir no Portal</w:t>
            </w:r>
          </w:p>
        </w:tc>
      </w:tr>
      <w:tr>
        <w:tc>
          <w:tcPr>
            <w:tcW w:type="dxa" w:w="2493"/>
          </w:tcPr>
          <w:p>
            <w:r>
              <w:rPr>
                <w:sz w:val="18"/>
              </w:rPr>
            </w:r>
            <w:r>
              <w:rPr>
                <w:sz w:val="18"/>
              </w:rPr>
              <w:t>Anuência do credor</w:t>
            </w:r>
          </w:p>
        </w:tc>
        <w:tc>
          <w:tcPr>
            <w:tcW w:type="dxa" w:w="2493"/>
          </w:tcPr>
          <w:p>
            <w:r>
              <w:rPr>
                <w:sz w:val="18"/>
              </w:rPr>
            </w:r>
            <w:r>
              <w:rPr>
                <w:sz w:val="18"/>
              </w:rPr>
              <w:t>Campo 'Anuência do Banco' sem arquivo; carta de concordância listada nos anexos da seção 5</w:t>
            </w:r>
          </w:p>
        </w:tc>
        <w:tc>
          <w:tcPr>
            <w:tcW w:type="dxa" w:w="2493"/>
          </w:tcPr>
          <w:p>
            <w:r>
              <w:rPr>
                <w:sz w:val="18"/>
              </w:rPr>
            </w:r>
            <w:r>
              <w:rPr>
                <w:sz w:val="18"/>
              </w:rPr>
              <w:t>Pendência documental leve</w:t>
            </w:r>
          </w:p>
        </w:tc>
        <w:tc>
          <w:tcPr>
            <w:tcW w:type="dxa" w:w="2493"/>
          </w:tcPr>
          <w:p>
            <w:r>
              <w:rPr>
                <w:sz w:val="18"/>
              </w:rPr>
            </w:r>
            <w:r>
              <w:rPr>
                <w:sz w:val="18"/>
              </w:rPr>
              <w:t>Sem efeito na nota</w:t>
            </w:r>
          </w:p>
        </w:tc>
      </w:tr>
    </w:tbl>
    <w:p/>
    <w:p>
      <w:pPr>
        <w:pStyle w:val="Heading1"/>
      </w:pPr>
      <w:r>
        <w:t>3. Checagem Eliminatória</w:t>
      </w:r>
    </w:p>
    <w:p>
      <w:r>
        <w:rPr>
          <w:b/>
        </w:rPr>
        <w:t>Triagem do Anexo I (Fase 3)</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864"/>
          </w:tcPr>
          <w:p>
            <w:r>
              <w:rPr>
                <w:sz w:val="18"/>
              </w:rPr>
            </w:r>
            <w:r>
              <w:rPr>
                <w:b/>
                <w:color w:val="FFFFFF"/>
                <w:sz w:val="18"/>
              </w:rPr>
              <w:t>Seção</w:t>
            </w:r>
          </w:p>
        </w:tc>
        <w:tc>
          <w:tcPr>
            <w:tcW w:type="dxa" w:w="3324"/>
            <w:shd w:val="clear" w:color="auto" w:fill="1F3864"/>
          </w:tcPr>
          <w:p>
            <w:r>
              <w:rPr>
                <w:sz w:val="18"/>
              </w:rPr>
            </w:r>
            <w:r>
              <w:rPr>
                <w:b/>
                <w:color w:val="FFFFFF"/>
                <w:sz w:val="18"/>
              </w:rPr>
              <w:t>Situação</w:t>
            </w:r>
          </w:p>
        </w:tc>
        <w:tc>
          <w:tcPr>
            <w:tcW w:type="dxa" w:w="3324"/>
            <w:shd w:val="clear" w:color="auto" w:fill="1F3864"/>
          </w:tcPr>
          <w:p>
            <w:r>
              <w:rPr>
                <w:sz w:val="18"/>
              </w:rPr>
            </w:r>
            <w:r>
              <w:rPr>
                <w:b/>
                <w:color w:val="FFFFFF"/>
                <w:sz w:val="18"/>
              </w:rPr>
              <w:t>Observação</w:t>
            </w:r>
          </w:p>
        </w:tc>
      </w:tr>
      <w:tr>
        <w:tc>
          <w:tcPr>
            <w:tcW w:type="dxa" w:w="3324"/>
          </w:tcPr>
          <w:p>
            <w:r>
              <w:rPr>
                <w:sz w:val="18"/>
              </w:rPr>
            </w:r>
            <w:r>
              <w:rPr>
                <w:sz w:val="18"/>
              </w:rPr>
              <w:t>I. Projeto</w:t>
            </w:r>
          </w:p>
        </w:tc>
        <w:tc>
          <w:tcPr>
            <w:tcW w:type="dxa" w:w="3324"/>
          </w:tcPr>
          <w:p>
            <w:r>
              <w:rPr>
                <w:sz w:val="18"/>
              </w:rPr>
            </w:r>
            <w:r>
              <w:rPr>
                <w:sz w:val="18"/>
              </w:rPr>
              <w:t>COMPLETO</w:t>
            </w:r>
          </w:p>
        </w:tc>
        <w:tc>
          <w:tcPr>
            <w:tcW w:type="dxa" w:w="3324"/>
          </w:tcPr>
          <w:p>
            <w:r>
              <w:rPr>
                <w:sz w:val="18"/>
              </w:rPr>
            </w:r>
            <w:r>
              <w:rPr>
                <w:sz w:val="18"/>
              </w:rPr>
              <w:t>Justificativa extensa, quatro objetivos específicos, nove indicadores com linha de base e meta, dois componentes e beneficiários</w:t>
            </w:r>
          </w:p>
        </w:tc>
      </w:tr>
      <w:tr>
        <w:tc>
          <w:tcPr>
            <w:tcW w:type="dxa" w:w="3324"/>
          </w:tcPr>
          <w:p>
            <w:r>
              <w:rPr>
                <w:sz w:val="18"/>
              </w:rPr>
            </w:r>
            <w:r>
              <w:rPr>
                <w:sz w:val="18"/>
              </w:rPr>
              <w:t>II. Áreas Estratégicas</w:t>
            </w:r>
          </w:p>
        </w:tc>
        <w:tc>
          <w:tcPr>
            <w:tcW w:type="dxa" w:w="3324"/>
          </w:tcPr>
          <w:p>
            <w:r>
              <w:rPr>
                <w:sz w:val="18"/>
              </w:rPr>
            </w:r>
            <w:r>
              <w:rPr>
                <w:sz w:val="18"/>
              </w:rPr>
              <w:t>COMPLETO</w:t>
            </w:r>
          </w:p>
        </w:tc>
        <w:tc>
          <w:tcPr>
            <w:tcW w:type="dxa" w:w="3324"/>
          </w:tcPr>
          <w:p>
            <w:r>
              <w:rPr>
                <w:sz w:val="18"/>
              </w:rPr>
            </w:r>
            <w:r>
              <w:rPr>
                <w:sz w:val="18"/>
              </w:rPr>
              <w:t>Quatro objetivos do PPA com narrativa, custo e indicadores por área</w:t>
            </w:r>
          </w:p>
        </w:tc>
      </w:tr>
      <w:tr>
        <w:tc>
          <w:tcPr>
            <w:tcW w:type="dxa" w:w="3324"/>
          </w:tcPr>
          <w:p>
            <w:r>
              <w:rPr>
                <w:sz w:val="18"/>
              </w:rPr>
            </w:r>
            <w:r>
              <w:rPr>
                <w:sz w:val="18"/>
              </w:rPr>
              <w:t>III. Gestão</w:t>
            </w:r>
          </w:p>
        </w:tc>
        <w:tc>
          <w:tcPr>
            <w:tcW w:type="dxa" w:w="3324"/>
          </w:tcPr>
          <w:p>
            <w:r>
              <w:rPr>
                <w:sz w:val="18"/>
              </w:rPr>
            </w:r>
            <w:r>
              <w:rPr>
                <w:sz w:val="18"/>
              </w:rPr>
              <w:t>COMPLETO</w:t>
            </w:r>
          </w:p>
        </w:tc>
        <w:tc>
          <w:tcPr>
            <w:tcW w:type="dxa" w:w="3324"/>
          </w:tcPr>
          <w:p>
            <w:r>
              <w:rPr>
                <w:sz w:val="18"/>
              </w:rPr>
            </w:r>
            <w:r>
              <w:rPr>
                <w:sz w:val="18"/>
              </w:rPr>
              <w:t>Unidade gestora a ser criada no Ministério Público; matriz de responsabilidade em anexo; operação e manutenção descritas sem valores</w:t>
            </w:r>
          </w:p>
        </w:tc>
      </w:tr>
      <w:tr>
        <w:tc>
          <w:tcPr>
            <w:tcW w:type="dxa" w:w="3324"/>
          </w:tcPr>
          <w:p>
            <w:r>
              <w:rPr>
                <w:sz w:val="18"/>
              </w:rPr>
            </w:r>
            <w:r>
              <w:rPr>
                <w:sz w:val="18"/>
              </w:rPr>
              <w:t>IV. Riscos</w:t>
            </w:r>
          </w:p>
        </w:tc>
        <w:tc>
          <w:tcPr>
            <w:tcW w:type="dxa" w:w="3324"/>
          </w:tcPr>
          <w:p>
            <w:r>
              <w:rPr>
                <w:sz w:val="18"/>
              </w:rPr>
            </w:r>
            <w:r>
              <w:rPr>
                <w:sz w:val="18"/>
              </w:rPr>
              <w:t>COMPLETO</w:t>
            </w:r>
          </w:p>
        </w:tc>
        <w:tc>
          <w:tcPr>
            <w:tcW w:type="dxa" w:w="3324"/>
          </w:tcPr>
          <w:p>
            <w:r>
              <w:rPr>
                <w:sz w:val="18"/>
              </w:rPr>
            </w:r>
            <w:r>
              <w:rPr>
                <w:sz w:val="18"/>
              </w:rPr>
              <w:t>Treze riscos com impacto, probabilidade e mitigação; sem responsável e prazo</w:t>
            </w:r>
          </w:p>
        </w:tc>
      </w:tr>
      <w:tr>
        <w:tc>
          <w:tcPr>
            <w:tcW w:type="dxa" w:w="3324"/>
          </w:tcPr>
          <w:p>
            <w:r>
              <w:rPr>
                <w:sz w:val="18"/>
              </w:rPr>
            </w:r>
            <w:r>
              <w:rPr>
                <w:sz w:val="18"/>
              </w:rPr>
              <w:t>V. Financiamento</w:t>
            </w:r>
          </w:p>
        </w:tc>
        <w:tc>
          <w:tcPr>
            <w:tcW w:type="dxa" w:w="3324"/>
          </w:tcPr>
          <w:p>
            <w:r>
              <w:rPr>
                <w:sz w:val="18"/>
              </w:rPr>
            </w:r>
            <w:r>
              <w:rPr>
                <w:sz w:val="18"/>
              </w:rPr>
              <w:t>COMPLETO com ressalva</w:t>
            </w:r>
          </w:p>
        </w:tc>
        <w:tc>
          <w:tcPr>
            <w:tcW w:type="dxa" w:w="3324"/>
          </w:tcPr>
          <w:p>
            <w:r>
              <w:rPr>
                <w:sz w:val="18"/>
              </w:rPr>
            </w:r>
            <w:r>
              <w:rPr>
                <w:sz w:val="18"/>
              </w:rPr>
              <w:t>Cronograma de desembolso coerente (US$ 20,00 milhões e US$ 5,00 milhões); campo de valor em dólar inconsistente; anuência sem arquivo</w:t>
            </w:r>
          </w:p>
        </w:tc>
      </w:tr>
      <w:tr>
        <w:tc>
          <w:tcPr>
            <w:tcW w:type="dxa" w:w="3324"/>
          </w:tcPr>
          <w:p>
            <w:r>
              <w:rPr>
                <w:sz w:val="18"/>
              </w:rPr>
            </w:r>
            <w:r>
              <w:rPr>
                <w:sz w:val="18"/>
              </w:rPr>
              <w:t>VI. Ações preparatórias</w:t>
            </w:r>
          </w:p>
        </w:tc>
        <w:tc>
          <w:tcPr>
            <w:tcW w:type="dxa" w:w="3324"/>
          </w:tcPr>
          <w:p>
            <w:r>
              <w:rPr>
                <w:sz w:val="18"/>
              </w:rPr>
            </w:r>
            <w:r>
              <w:rPr>
                <w:sz w:val="18"/>
              </w:rPr>
              <w:t>COMPLETO</w:t>
            </w:r>
          </w:p>
        </w:tc>
        <w:tc>
          <w:tcPr>
            <w:tcW w:type="dxa" w:w="3324"/>
          </w:tcPr>
          <w:p>
            <w:r>
              <w:rPr>
                <w:sz w:val="18"/>
              </w:rPr>
            </w:r>
            <w:r>
              <w:rPr>
                <w:sz w:val="18"/>
              </w:rPr>
              <w:t>Etapas realizadas por produto, incluindo protótipo do núcleo de geoprocessamento desde 2023</w:t>
            </w:r>
          </w:p>
        </w:tc>
      </w:tr>
      <w:tr>
        <w:tc>
          <w:tcPr>
            <w:tcW w:type="dxa" w:w="3324"/>
          </w:tcPr>
          <w:p>
            <w:r>
              <w:rPr>
                <w:sz w:val="18"/>
              </w:rPr>
            </w:r>
            <w:r>
              <w:rPr>
                <w:sz w:val="18"/>
              </w:rPr>
              <w:t>VII. Contatos</w:t>
            </w:r>
          </w:p>
        </w:tc>
        <w:tc>
          <w:tcPr>
            <w:tcW w:type="dxa" w:w="3324"/>
          </w:tcPr>
          <w:p>
            <w:r>
              <w:rPr>
                <w:sz w:val="18"/>
              </w:rPr>
            </w:r>
            <w:r>
              <w:rPr>
                <w:sz w:val="18"/>
              </w:rPr>
              <w:t>AUSENTE no texto disponível</w:t>
            </w:r>
          </w:p>
        </w:tc>
        <w:tc>
          <w:tcPr>
            <w:tcW w:type="dxa" w:w="3324"/>
          </w:tcPr>
          <w:p>
            <w:r>
              <w:rPr>
                <w:sz w:val="18"/>
              </w:rPr>
            </w:r>
            <w:r>
              <w:rPr>
                <w:sz w:val="18"/>
              </w:rPr>
              <w:t>Seção não aparece na versão analisada; confirmar no Portal</w:t>
            </w:r>
          </w:p>
        </w:tc>
      </w:tr>
    </w:tbl>
    <w:p/>
    <w:p>
      <w:r>
        <w:rPr>
          <w:b/>
        </w:rPr>
        <w:t>Filtros do Art. 28, I (Fase 4)</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864"/>
          </w:tcPr>
          <w:p>
            <w:r>
              <w:rPr>
                <w:sz w:val="18"/>
              </w:rPr>
            </w:r>
            <w:r>
              <w:rPr>
                <w:b/>
                <w:color w:val="FFFFFF"/>
                <w:sz w:val="18"/>
              </w:rPr>
              <w:t>Filtro</w:t>
            </w:r>
          </w:p>
        </w:tc>
        <w:tc>
          <w:tcPr>
            <w:tcW w:type="dxa" w:w="3324"/>
            <w:shd w:val="clear" w:color="auto" w:fill="1F3864"/>
          </w:tcPr>
          <w:p>
            <w:r>
              <w:rPr>
                <w:sz w:val="18"/>
              </w:rPr>
            </w:r>
            <w:r>
              <w:rPr>
                <w:b/>
                <w:color w:val="FFFFFF"/>
                <w:sz w:val="18"/>
              </w:rPr>
              <w:t>Resultado</w:t>
            </w:r>
          </w:p>
        </w:tc>
        <w:tc>
          <w:tcPr>
            <w:tcW w:type="dxa" w:w="3324"/>
            <w:shd w:val="clear" w:color="auto" w:fill="1F3864"/>
          </w:tcPr>
          <w:p>
            <w:r>
              <w:rPr>
                <w:sz w:val="18"/>
              </w:rPr>
            </w:r>
            <w:r>
              <w:rPr>
                <w:b/>
                <w:color w:val="FFFFFF"/>
                <w:sz w:val="18"/>
              </w:rPr>
              <w:t>Fundamento</w:t>
            </w:r>
          </w:p>
        </w:tc>
      </w:tr>
      <w:tr>
        <w:tc>
          <w:tcPr>
            <w:tcW w:type="dxa" w:w="3324"/>
          </w:tcPr>
          <w:p>
            <w:r>
              <w:rPr>
                <w:sz w:val="18"/>
              </w:rPr>
            </w:r>
            <w:r>
              <w:rPr>
                <w:sz w:val="18"/>
              </w:rPr>
              <w:t>(a) Anexo I rejeitado</w:t>
            </w:r>
          </w:p>
        </w:tc>
        <w:tc>
          <w:tcPr>
            <w:tcW w:type="dxa" w:w="3324"/>
          </w:tcPr>
          <w:p>
            <w:r>
              <w:rPr>
                <w:sz w:val="18"/>
              </w:rPr>
            </w:r>
            <w:r>
              <w:rPr>
                <w:sz w:val="18"/>
              </w:rPr>
              <w:t>Não — condicional</w:t>
            </w:r>
          </w:p>
        </w:tc>
        <w:tc>
          <w:tcPr>
            <w:tcW w:type="dxa" w:w="3324"/>
          </w:tcPr>
          <w:p>
            <w:r>
              <w:rPr>
                <w:sz w:val="18"/>
              </w:rPr>
            </w:r>
            <w:r>
              <w:rPr>
                <w:sz w:val="18"/>
              </w:rPr>
              <w:t>Seções essenciais completas; confirmar contatos e anuência</w:t>
            </w:r>
          </w:p>
        </w:tc>
      </w:tr>
      <w:tr>
        <w:tc>
          <w:tcPr>
            <w:tcW w:type="dxa" w:w="3324"/>
          </w:tcPr>
          <w:p>
            <w:r>
              <w:rPr>
                <w:sz w:val="18"/>
              </w:rPr>
            </w:r>
            <w:r>
              <w:rPr>
                <w:sz w:val="18"/>
              </w:rPr>
              <w:t>(b) Nota de Área Estratégica abaixo de 3,0</w:t>
            </w:r>
          </w:p>
        </w:tc>
        <w:tc>
          <w:tcPr>
            <w:tcW w:type="dxa" w:w="3324"/>
          </w:tcPr>
          <w:p>
            <w:r>
              <w:rPr>
                <w:sz w:val="18"/>
              </w:rPr>
            </w:r>
            <w:r>
              <w:rPr>
                <w:sz w:val="18"/>
              </w:rPr>
              <w:t>Não</w:t>
            </w:r>
          </w:p>
        </w:tc>
        <w:tc>
          <w:tcPr>
            <w:tcW w:type="dxa" w:w="3324"/>
          </w:tcPr>
          <w:p>
            <w:r>
              <w:rPr>
                <w:sz w:val="18"/>
              </w:rPr>
            </w:r>
            <w:r>
              <w:rPr>
                <w:sz w:val="18"/>
              </w:rPr>
              <w:t>Mínimo simulado da Nota de Área Estratégica = 3,50</w:t>
            </w:r>
          </w:p>
        </w:tc>
      </w:tr>
      <w:tr>
        <w:tc>
          <w:tcPr>
            <w:tcW w:type="dxa" w:w="3324"/>
          </w:tcPr>
          <w:p>
            <w:r>
              <w:rPr>
                <w:sz w:val="18"/>
              </w:rPr>
            </w:r>
            <w:r>
              <w:rPr>
                <w:sz w:val="18"/>
              </w:rPr>
              <w:t>(c) Capacidade de Pagamento D</w:t>
            </w:r>
          </w:p>
        </w:tc>
        <w:tc>
          <w:tcPr>
            <w:tcW w:type="dxa" w:w="3324"/>
          </w:tcPr>
          <w:p>
            <w:r>
              <w:rPr>
                <w:sz w:val="18"/>
              </w:rPr>
            </w:r>
            <w:r>
              <w:rPr>
                <w:sz w:val="18"/>
              </w:rPr>
              <w:t>Não</w:t>
            </w:r>
          </w:p>
        </w:tc>
        <w:tc>
          <w:tcPr>
            <w:tcW w:type="dxa" w:w="3324"/>
          </w:tcPr>
          <w:p>
            <w:r>
              <w:rPr>
                <w:sz w:val="18"/>
              </w:rPr>
            </w:r>
            <w:r>
              <w:rPr>
                <w:sz w:val="18"/>
              </w:rPr>
              <w:t>B+ na planilha empacotada (ciclo a confirmar)</w:t>
            </w:r>
          </w:p>
        </w:tc>
      </w:tr>
      <w:tr>
        <w:tc>
          <w:tcPr>
            <w:tcW w:type="dxa" w:w="3324"/>
          </w:tcPr>
          <w:p>
            <w:r>
              <w:rPr>
                <w:sz w:val="18"/>
              </w:rPr>
            </w:r>
            <w:r>
              <w:rPr>
                <w:sz w:val="18"/>
              </w:rPr>
              <w:t>(d) Bloqueio judicial</w:t>
            </w:r>
          </w:p>
        </w:tc>
        <w:tc>
          <w:tcPr>
            <w:tcW w:type="dxa" w:w="3324"/>
          </w:tcPr>
          <w:p>
            <w:r>
              <w:rPr>
                <w:sz w:val="18"/>
              </w:rPr>
            </w:r>
            <w:r>
              <w:rPr>
                <w:sz w:val="18"/>
              </w:rPr>
              <w:t>Sem evidência</w:t>
            </w:r>
          </w:p>
        </w:tc>
        <w:tc>
          <w:tcPr>
            <w:tcW w:type="dxa" w:w="3324"/>
          </w:tcPr>
          <w:p>
            <w:r>
              <w:rPr>
                <w:sz w:val="18"/>
              </w:rPr>
            </w:r>
            <w:r>
              <w:rPr>
                <w:sz w:val="18"/>
              </w:rPr>
              <w:t>Não informado na carta</w:t>
            </w:r>
          </w:p>
        </w:tc>
      </w:tr>
      <w:tr>
        <w:tc>
          <w:tcPr>
            <w:tcW w:type="dxa" w:w="3324"/>
          </w:tcPr>
          <w:p>
            <w:r>
              <w:rPr>
                <w:sz w:val="18"/>
              </w:rPr>
            </w:r>
            <w:r>
              <w:rPr>
                <w:sz w:val="18"/>
              </w:rPr>
              <w:t>(e) Sem parecer do Tesouro</w:t>
            </w:r>
          </w:p>
        </w:tc>
        <w:tc>
          <w:tcPr>
            <w:tcW w:type="dxa" w:w="3324"/>
          </w:tcPr>
          <w:p>
            <w:r>
              <w:rPr>
                <w:sz w:val="18"/>
              </w:rPr>
            </w:r>
            <w:r>
              <w:rPr>
                <w:sz w:val="18"/>
              </w:rPr>
              <w:t>Risco</w:t>
            </w:r>
          </w:p>
        </w:tc>
        <w:tc>
          <w:tcPr>
            <w:tcW w:type="dxa" w:w="3324"/>
          </w:tcPr>
          <w:p>
            <w:r>
              <w:rPr>
                <w:sz w:val="18"/>
              </w:rPr>
            </w:r>
            <w:r>
              <w:rPr>
                <w:sz w:val="18"/>
              </w:rPr>
              <w:t>Espaço fiscal do Estado em 2025 aparece esgotado na planilha</w:t>
            </w:r>
          </w:p>
        </w:tc>
      </w:tr>
      <w:tr>
        <w:tc>
          <w:tcPr>
            <w:tcW w:type="dxa" w:w="3324"/>
          </w:tcPr>
          <w:p>
            <w:r>
              <w:rPr>
                <w:sz w:val="18"/>
              </w:rPr>
            </w:r>
            <w:r>
              <w:rPr>
                <w:sz w:val="18"/>
              </w:rPr>
              <w:t>(f) Atrasos ou honra de garantia</w:t>
            </w:r>
          </w:p>
        </w:tc>
        <w:tc>
          <w:tcPr>
            <w:tcW w:type="dxa" w:w="3324"/>
          </w:tcPr>
          <w:p>
            <w:r>
              <w:rPr>
                <w:sz w:val="18"/>
              </w:rPr>
            </w:r>
            <w:r>
              <w:rPr>
                <w:sz w:val="18"/>
              </w:rPr>
              <w:t>Sem evidência</w:t>
            </w:r>
          </w:p>
        </w:tc>
        <w:tc>
          <w:tcPr>
            <w:tcW w:type="dxa" w:w="3324"/>
          </w:tcPr>
          <w:p>
            <w:r>
              <w:rPr>
                <w:sz w:val="18"/>
              </w:rPr>
            </w:r>
            <w:r>
              <w:rPr>
                <w:sz w:val="18"/>
              </w:rPr>
              <w:t>Não informado</w:t>
            </w:r>
          </w:p>
        </w:tc>
      </w:tr>
      <w:tr>
        <w:tc>
          <w:tcPr>
            <w:tcW w:type="dxa" w:w="3324"/>
          </w:tcPr>
          <w:p>
            <w:r>
              <w:rPr>
                <w:sz w:val="18"/>
              </w:rPr>
            </w:r>
            <w:r>
              <w:rPr>
                <w:sz w:val="18"/>
              </w:rPr>
              <w:t>(g) Violação contratual</w:t>
            </w:r>
          </w:p>
        </w:tc>
        <w:tc>
          <w:tcPr>
            <w:tcW w:type="dxa" w:w="3324"/>
          </w:tcPr>
          <w:p>
            <w:r>
              <w:rPr>
                <w:sz w:val="18"/>
              </w:rPr>
            </w:r>
            <w:r>
              <w:rPr>
                <w:sz w:val="18"/>
              </w:rPr>
              <w:t>Sem evidência</w:t>
            </w:r>
          </w:p>
        </w:tc>
        <w:tc>
          <w:tcPr>
            <w:tcW w:type="dxa" w:w="3324"/>
          </w:tcPr>
          <w:p>
            <w:r>
              <w:rPr>
                <w:sz w:val="18"/>
              </w:rPr>
            </w:r>
            <w:r>
              <w:rPr>
                <w:sz w:val="18"/>
              </w:rPr>
              <w:t>Não informado</w:t>
            </w:r>
          </w:p>
        </w:tc>
      </w:tr>
      <w:tr>
        <w:tc>
          <w:tcPr>
            <w:tcW w:type="dxa" w:w="3324"/>
          </w:tcPr>
          <w:p>
            <w:r>
              <w:rPr>
                <w:sz w:val="18"/>
              </w:rPr>
            </w:r>
            <w:r>
              <w:rPr>
                <w:sz w:val="18"/>
              </w:rPr>
              <w:t>(h) Revisão sem resposta</w:t>
            </w:r>
          </w:p>
        </w:tc>
        <w:tc>
          <w:tcPr>
            <w:tcW w:type="dxa" w:w="3324"/>
          </w:tcPr>
          <w:p>
            <w:r>
              <w:rPr>
                <w:sz w:val="18"/>
              </w:rPr>
            </w:r>
            <w:r>
              <w:rPr>
                <w:sz w:val="18"/>
              </w:rPr>
              <w:t>Sem evidência</w:t>
            </w:r>
          </w:p>
        </w:tc>
        <w:tc>
          <w:tcPr>
            <w:tcW w:type="dxa" w:w="3324"/>
          </w:tcPr>
          <w:p>
            <w:r>
              <w:rPr>
                <w:sz w:val="18"/>
              </w:rPr>
            </w:r>
            <w:r>
              <w:rPr>
                <w:sz w:val="18"/>
              </w:rPr>
              <w:t>Não informado</w:t>
            </w:r>
          </w:p>
        </w:tc>
      </w:tr>
      <w:tr>
        <w:tc>
          <w:tcPr>
            <w:tcW w:type="dxa" w:w="3324"/>
          </w:tcPr>
          <w:p>
            <w:r>
              <w:rPr>
                <w:sz w:val="18"/>
              </w:rPr>
            </w:r>
            <w:r>
              <w:rPr>
                <w:sz w:val="18"/>
              </w:rPr>
              <w:t>Contrapartida mínima de 20%</w:t>
            </w:r>
          </w:p>
        </w:tc>
        <w:tc>
          <w:tcPr>
            <w:tcW w:type="dxa" w:w="3324"/>
          </w:tcPr>
          <w:p>
            <w:r>
              <w:rPr>
                <w:sz w:val="18"/>
              </w:rPr>
            </w:r>
            <w:r>
              <w:rPr>
                <w:sz w:val="18"/>
              </w:rPr>
              <w:t>Atende</w:t>
            </w:r>
          </w:p>
        </w:tc>
        <w:tc>
          <w:tcPr>
            <w:tcW w:type="dxa" w:w="3324"/>
          </w:tcPr>
          <w:p>
            <w:r>
              <w:rPr>
                <w:sz w:val="18"/>
              </w:rPr>
            </w:r>
            <w:r>
              <w:rPr>
                <w:sz w:val="18"/>
              </w:rPr>
              <w:t>US$ 5,00 milhões de US$ 25,00 milhões = 20,0%</w:t>
            </w:r>
          </w:p>
        </w:tc>
      </w:tr>
    </w:tbl>
    <w:p/>
    <w:p>
      <w:r>
        <w:t>Resultado geral: APROVADO CONDICIONAL. Nenhum filtro eliminatório é acionado pelo texto; a condição é documental (contatos, anuência) e fiscal (espaço no Programa de Acompanhamento Fiscal e ciclo da Capacidade de Pagamento).</w:t>
      </w:r>
    </w:p>
    <w:p>
      <w:pPr>
        <w:pStyle w:val="Heading1"/>
      </w:pPr>
      <w:r>
        <w:t>4. Detalhamento da Nota de Área Estratégica</w:t>
      </w:r>
    </w:p>
    <w:p>
      <w:r>
        <w:rPr>
          <w:i/>
          <w:sz w:val="18"/>
        </w:rPr>
        <w:t>Todos os números desta seção são Nota de Área Estratégica (componente, teto 10, bônus incluído), nunca Nota Geral. Pesos do Anexo II: A=5, B=3, C=2, D=1, E=0,5. Percentuais calculados sobre o valor total de US$ 25,00 milhões.</w:t>
      </w:r>
    </w:p>
    <w:p>
      <w:r>
        <w:rPr>
          <w:b/>
        </w:rPr>
        <w:t>Nota de Área Estratégica por área declarada</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Pr>
                <w:sz w:val="18"/>
              </w:rPr>
            </w:r>
            <w:r>
              <w:rPr>
                <w:b/>
                <w:color w:val="FFFFFF"/>
                <w:sz w:val="18"/>
              </w:rPr>
              <w:t>Área (código PPA)</w:t>
            </w:r>
          </w:p>
        </w:tc>
        <w:tc>
          <w:tcPr>
            <w:tcW w:type="dxa" w:w="1662"/>
            <w:shd w:val="clear" w:color="auto" w:fill="1F3864"/>
          </w:tcPr>
          <w:p>
            <w:r>
              <w:rPr>
                <w:sz w:val="18"/>
              </w:rPr>
            </w:r>
            <w:r>
              <w:rPr>
                <w:b/>
                <w:color w:val="FFFFFF"/>
                <w:sz w:val="18"/>
              </w:rPr>
              <w:t>% do orçamento</w:t>
            </w:r>
          </w:p>
        </w:tc>
        <w:tc>
          <w:tcPr>
            <w:tcW w:type="dxa" w:w="1662"/>
            <w:shd w:val="clear" w:color="auto" w:fill="1F3864"/>
          </w:tcPr>
          <w:p>
            <w:r>
              <w:rPr>
                <w:sz w:val="18"/>
              </w:rPr>
            </w:r>
            <w:r>
              <w:rPr>
                <w:b/>
                <w:color w:val="FFFFFF"/>
                <w:sz w:val="18"/>
              </w:rPr>
              <w:t>Indicadores próprios</w:t>
            </w:r>
          </w:p>
        </w:tc>
        <w:tc>
          <w:tcPr>
            <w:tcW w:type="dxa" w:w="1662"/>
            <w:shd w:val="clear" w:color="auto" w:fill="1F3864"/>
          </w:tcPr>
          <w:p>
            <w:r>
              <w:rPr>
                <w:sz w:val="18"/>
              </w:rPr>
            </w:r>
            <w:r>
              <w:rPr>
                <w:b/>
                <w:color w:val="FFFFFF"/>
                <w:sz w:val="18"/>
              </w:rPr>
              <w:t>Nível mín./esp./máx.</w:t>
            </w:r>
          </w:p>
        </w:tc>
        <w:tc>
          <w:tcPr>
            <w:tcW w:type="dxa" w:w="1662"/>
            <w:shd w:val="clear" w:color="auto" w:fill="1F3864"/>
          </w:tcPr>
          <w:p>
            <w:r>
              <w:rPr>
                <w:sz w:val="18"/>
              </w:rPr>
            </w:r>
            <w:r>
              <w:rPr>
                <w:b/>
                <w:color w:val="FFFFFF"/>
                <w:sz w:val="18"/>
              </w:rPr>
              <w:t>Pontos de Área Estratégica mín./esp./máx.</w:t>
            </w:r>
          </w:p>
        </w:tc>
        <w:tc>
          <w:tcPr>
            <w:tcW w:type="dxa" w:w="1662"/>
            <w:shd w:val="clear" w:color="auto" w:fill="1F3864"/>
          </w:tcPr>
          <w:p>
            <w:r>
              <w:rPr>
                <w:sz w:val="18"/>
              </w:rPr>
            </w:r>
            <w:r>
              <w:rPr>
                <w:b/>
                <w:color w:val="FFFFFF"/>
                <w:sz w:val="18"/>
              </w:rPr>
              <w:t>Fundamento</w:t>
            </w:r>
          </w:p>
        </w:tc>
      </w:tr>
      <w:tr>
        <w:tc>
          <w:tcPr>
            <w:tcW w:type="dxa" w:w="1662"/>
          </w:tcPr>
          <w:p>
            <w:r>
              <w:rPr>
                <w:sz w:val="18"/>
              </w:rPr>
            </w:r>
            <w:r>
              <w:rPr>
                <w:sz w:val="18"/>
              </w:rPr>
              <w:t>112 Segurança pública</w:t>
            </w:r>
          </w:p>
        </w:tc>
        <w:tc>
          <w:tcPr>
            <w:tcW w:type="dxa" w:w="1662"/>
          </w:tcPr>
          <w:p>
            <w:r>
              <w:rPr>
                <w:sz w:val="18"/>
              </w:rPr>
            </w:r>
            <w:r>
              <w:rPr>
                <w:sz w:val="18"/>
              </w:rPr>
              <w:t>50,1% (US$ 12,53 milhões)</w:t>
            </w:r>
          </w:p>
        </w:tc>
        <w:tc>
          <w:tcPr>
            <w:tcW w:type="dxa" w:w="1662"/>
          </w:tcPr>
          <w:p>
            <w:r>
              <w:rPr>
                <w:sz w:val="18"/>
              </w:rPr>
            </w:r>
            <w:r>
              <w:rPr>
                <w:sz w:val="18"/>
              </w:rPr>
              <w:t>3 de resultado: atenção à persecução patrimonial (0% para 75%), patrimônio ilícito identificado (mediana de R$ 1,6 milhão, +59%), patrimônio constrito (8,21% para 45%)</w:t>
            </w:r>
          </w:p>
        </w:tc>
        <w:tc>
          <w:tcPr>
            <w:tcW w:type="dxa" w:w="1662"/>
          </w:tcPr>
          <w:p>
            <w:r>
              <w:rPr>
                <w:sz w:val="18"/>
              </w:rPr>
            </w:r>
            <w:r>
              <w:rPr>
                <w:sz w:val="18"/>
              </w:rPr>
              <w:t>C / B / A</w:t>
            </w:r>
          </w:p>
        </w:tc>
        <w:tc>
          <w:tcPr>
            <w:tcW w:type="dxa" w:w="1662"/>
          </w:tcPr>
          <w:p>
            <w:r>
              <w:rPr>
                <w:sz w:val="18"/>
              </w:rPr>
            </w:r>
            <w:r>
              <w:rPr>
                <w:sz w:val="18"/>
              </w:rPr>
              <w:t>2,00 / 3,00 / 5,00</w:t>
            </w:r>
          </w:p>
        </w:tc>
        <w:tc>
          <w:tcPr>
            <w:tcW w:type="dxa" w:w="1662"/>
          </w:tcPr>
          <w:p>
            <w:r>
              <w:rPr>
                <w:sz w:val="18"/>
              </w:rPr>
            </w:r>
            <w:r>
              <w:rPr>
                <w:sz w:val="18"/>
              </w:rPr>
              <w:t>Objetivo geral diretamente ligado; recursos significativos (perto do limiar de maioria); indicadores de resultado inovadores com linha de base medida; replicabilidade nacional argumentada. Falta impacto 'excepcional' quantificado e recursos de 68% ou mais para A.</w:t>
            </w:r>
          </w:p>
        </w:tc>
      </w:tr>
      <w:tr>
        <w:tc>
          <w:tcPr>
            <w:tcW w:type="dxa" w:w="1662"/>
          </w:tcPr>
          <w:p>
            <w:r>
              <w:rPr>
                <w:sz w:val="18"/>
              </w:rPr>
            </w:r>
            <w:r>
              <w:rPr>
                <w:sz w:val="18"/>
              </w:rPr>
              <w:t>303 Transformação digital do governo</w:t>
            </w:r>
          </w:p>
        </w:tc>
        <w:tc>
          <w:tcPr>
            <w:tcW w:type="dxa" w:w="1662"/>
          </w:tcPr>
          <w:p>
            <w:r>
              <w:rPr>
                <w:sz w:val="18"/>
              </w:rPr>
            </w:r>
            <w:r>
              <w:rPr>
                <w:sz w:val="18"/>
              </w:rPr>
              <w:t>25,4% (US$ 6,34 milhões)</w:t>
            </w:r>
          </w:p>
        </w:tc>
        <w:tc>
          <w:tcPr>
            <w:tcW w:type="dxa" w:w="1662"/>
          </w:tcPr>
          <w:p>
            <w:r>
              <w:rPr>
                <w:sz w:val="18"/>
              </w:rPr>
            </w:r>
            <w:r>
              <w:rPr>
                <w:sz w:val="18"/>
              </w:rPr>
              <w:t>1: tempo médio de cruzamento de dados complexos (30 para 3 dias)</w:t>
            </w:r>
          </w:p>
        </w:tc>
        <w:tc>
          <w:tcPr>
            <w:tcW w:type="dxa" w:w="1662"/>
          </w:tcPr>
          <w:p>
            <w:r>
              <w:rPr>
                <w:sz w:val="18"/>
              </w:rPr>
            </w:r>
            <w:r>
              <w:rPr>
                <w:sz w:val="18"/>
              </w:rPr>
              <w:t>D / C / B</w:t>
            </w:r>
          </w:p>
        </w:tc>
        <w:tc>
          <w:tcPr>
            <w:tcW w:type="dxa" w:w="1662"/>
          </w:tcPr>
          <w:p>
            <w:r>
              <w:rPr>
                <w:sz w:val="18"/>
              </w:rPr>
            </w:r>
            <w:r>
              <w:rPr>
                <w:sz w:val="18"/>
              </w:rPr>
              <w:t>1,00 / 2,00 / 3,00</w:t>
            </w:r>
          </w:p>
        </w:tc>
        <w:tc>
          <w:tcPr>
            <w:tcW w:type="dxa" w:w="1662"/>
          </w:tcPr>
          <w:p>
            <w:r>
              <w:rPr>
                <w:sz w:val="18"/>
              </w:rPr>
            </w:r>
            <w:r>
              <w:rPr>
                <w:sz w:val="18"/>
              </w:rPr>
              <w:t>Objetivo relevante; abaixo do limiar de 30% para B; transformação interna ao órgão, sem serviço digital ao cidadão.</w:t>
            </w:r>
          </w:p>
        </w:tc>
      </w:tr>
      <w:tr>
        <w:tc>
          <w:tcPr>
            <w:tcW w:type="dxa" w:w="1662"/>
          </w:tcPr>
          <w:p>
            <w:r>
              <w:rPr>
                <w:sz w:val="18"/>
              </w:rPr>
            </w:r>
            <w:r>
              <w:rPr>
                <w:sz w:val="18"/>
              </w:rPr>
              <w:t>307 Sistema de justiça</w:t>
            </w:r>
          </w:p>
        </w:tc>
        <w:tc>
          <w:tcPr>
            <w:tcW w:type="dxa" w:w="1662"/>
          </w:tcPr>
          <w:p>
            <w:r>
              <w:rPr>
                <w:sz w:val="18"/>
              </w:rPr>
            </w:r>
            <w:r>
              <w:rPr>
                <w:sz w:val="18"/>
              </w:rPr>
              <w:t>11,2% (US$ 2,81 milhões)</w:t>
            </w:r>
          </w:p>
        </w:tc>
        <w:tc>
          <w:tcPr>
            <w:tcW w:type="dxa" w:w="1662"/>
          </w:tcPr>
          <w:p>
            <w:r>
              <w:rPr>
                <w:sz w:val="18"/>
              </w:rPr>
            </w:r>
            <w:r>
              <w:rPr>
                <w:sz w:val="18"/>
              </w:rPr>
              <w:t>2 de contagem: fontes externas integradas (0 para 7), procedimentos proativos (0 para 10)</w:t>
            </w:r>
          </w:p>
        </w:tc>
        <w:tc>
          <w:tcPr>
            <w:tcW w:type="dxa" w:w="1662"/>
          </w:tcPr>
          <w:p>
            <w:r>
              <w:rPr>
                <w:sz w:val="18"/>
              </w:rPr>
            </w:r>
            <w:r>
              <w:rPr>
                <w:sz w:val="18"/>
              </w:rPr>
              <w:t>0 / D / C</w:t>
            </w:r>
          </w:p>
        </w:tc>
        <w:tc>
          <w:tcPr>
            <w:tcW w:type="dxa" w:w="1662"/>
          </w:tcPr>
          <w:p>
            <w:r>
              <w:rPr>
                <w:sz w:val="18"/>
              </w:rPr>
            </w:r>
            <w:r>
              <w:rPr>
                <w:sz w:val="18"/>
              </w:rPr>
              <w:t>0,00 / 1,00 / 2,00</w:t>
            </w:r>
          </w:p>
        </w:tc>
        <w:tc>
          <w:tcPr>
            <w:tcW w:type="dxa" w:w="1662"/>
          </w:tcPr>
          <w:p>
            <w:r>
              <w:rPr>
                <w:sz w:val="18"/>
              </w:rPr>
            </w:r>
            <w:r>
              <w:rPr>
                <w:sz w:val="18"/>
              </w:rPr>
              <w:t>Produto próprio (plataforma integrada de dados), mas indicadores de execução e relação indireta com acesso a direitos; meta de 10 procedimentos é baixa diante de 182.650 processos criminais recebidos em 2024.</w:t>
            </w:r>
          </w:p>
        </w:tc>
      </w:tr>
      <w:tr>
        <w:tc>
          <w:tcPr>
            <w:tcW w:type="dxa" w:w="1662"/>
          </w:tcPr>
          <w:p>
            <w:r>
              <w:rPr>
                <w:sz w:val="18"/>
              </w:rPr>
            </w:r>
            <w:r>
              <w:rPr>
                <w:sz w:val="18"/>
              </w:rPr>
              <w:t>201 Meio ambiente</w:t>
            </w:r>
          </w:p>
        </w:tc>
        <w:tc>
          <w:tcPr>
            <w:tcW w:type="dxa" w:w="1662"/>
          </w:tcPr>
          <w:p>
            <w:r>
              <w:rPr>
                <w:sz w:val="18"/>
              </w:rPr>
            </w:r>
            <w:r>
              <w:rPr>
                <w:sz w:val="18"/>
              </w:rPr>
              <w:t>10,0% (US$ 2,50 milhões)</w:t>
            </w:r>
          </w:p>
        </w:tc>
        <w:tc>
          <w:tcPr>
            <w:tcW w:type="dxa" w:w="1662"/>
          </w:tcPr>
          <w:p>
            <w:r>
              <w:rPr>
                <w:sz w:val="18"/>
              </w:rPr>
            </w:r>
            <w:r>
              <w:rPr>
                <w:sz w:val="18"/>
              </w:rPr>
              <w:t>3 de produto/cobertura: área monitorada (0% para 35%), relatórios geoespaciais (0 para 80), antigos lixões monitorados (0% para 80%)</w:t>
            </w:r>
          </w:p>
        </w:tc>
        <w:tc>
          <w:tcPr>
            <w:tcW w:type="dxa" w:w="1662"/>
          </w:tcPr>
          <w:p>
            <w:r>
              <w:rPr>
                <w:sz w:val="18"/>
              </w:rPr>
            </w:r>
            <w:r>
              <w:rPr>
                <w:sz w:val="18"/>
              </w:rPr>
              <w:t>E / D / C</w:t>
            </w:r>
          </w:p>
        </w:tc>
        <w:tc>
          <w:tcPr>
            <w:tcW w:type="dxa" w:w="1662"/>
          </w:tcPr>
          <w:p>
            <w:r>
              <w:rPr>
                <w:sz w:val="18"/>
              </w:rPr>
            </w:r>
            <w:r>
              <w:rPr>
                <w:sz w:val="18"/>
              </w:rPr>
              <w:t>0,50 / 1,00 / 2,00</w:t>
            </w:r>
          </w:p>
        </w:tc>
        <w:tc>
          <w:tcPr>
            <w:tcW w:type="dxa" w:w="1662"/>
          </w:tcPr>
          <w:p>
            <w:r>
              <w:rPr>
                <w:sz w:val="18"/>
              </w:rPr>
            </w:r>
            <w:r>
              <w:rPr>
                <w:sz w:val="18"/>
              </w:rPr>
              <w:t>Objetivo específico, produto e custo próprios; impacto ambiental não medido (hectares, responsabilização); padrão conservador para área ambiental sem obras.</w:t>
            </w:r>
          </w:p>
        </w:tc>
      </w:tr>
      <w:tr>
        <w:tc>
          <w:tcPr>
            <w:tcW w:type="dxa" w:w="1662"/>
          </w:tcPr>
          <w:p>
            <w:r>
              <w:rPr>
                <w:sz w:val="18"/>
              </w:rPr>
            </w:r>
            <w:r>
              <w:rPr>
                <w:sz w:val="18"/>
              </w:rPr>
              <w:t>Soma das áreas</w:t>
            </w:r>
          </w:p>
        </w:tc>
        <w:tc>
          <w:tcPr>
            <w:tcW w:type="dxa" w:w="1662"/>
          </w:tcPr>
          <w:p>
            <w:r>
              <w:rPr>
                <w:sz w:val="18"/>
              </w:rPr>
            </w:r>
            <w:r>
              <w:rPr>
                <w:sz w:val="18"/>
              </w:rPr>
              <w:t>96,7% alocados</w:t>
            </w:r>
          </w:p>
        </w:tc>
        <w:tc>
          <w:tcPr>
            <w:tcW w:type="dxa" w:w="1662"/>
          </w:tcPr>
          <w:p>
            <w:r>
              <w:rPr>
                <w:sz w:val="18"/>
              </w:rPr>
            </w:r>
            <w:r>
              <w:rPr>
                <w:sz w:val="18"/>
              </w:rPr>
              <w:t>9 indicadores</w:t>
            </w:r>
          </w:p>
        </w:tc>
        <w:tc>
          <w:tcPr>
            <w:tcW w:type="dxa" w:w="1662"/>
          </w:tcPr>
          <w:p>
            <w:r>
              <w:rPr>
                <w:sz w:val="18"/>
              </w:rPr>
            </w:r>
            <w:r>
              <w:rPr>
                <w:sz w:val="18"/>
              </w:rPr>
              <w:t>—</w:t>
            </w:r>
          </w:p>
        </w:tc>
        <w:tc>
          <w:tcPr>
            <w:tcW w:type="dxa" w:w="1662"/>
          </w:tcPr>
          <w:p>
            <w:r>
              <w:rPr>
                <w:sz w:val="18"/>
              </w:rPr>
            </w:r>
            <w:r>
              <w:rPr>
                <w:sz w:val="18"/>
              </w:rPr>
              <w:t>3,50 / 7,00 / 12,00 (teto 10,00)</w:t>
            </w:r>
          </w:p>
        </w:tc>
        <w:tc>
          <w:tcPr>
            <w:tcW w:type="dxa" w:w="1662"/>
          </w:tcPr>
          <w:p>
            <w:r>
              <w:rPr>
                <w:sz w:val="18"/>
              </w:rPr>
            </w:r>
            <w:r>
              <w:rPr>
                <w:sz w:val="18"/>
              </w:rPr>
              <w:t>Subtotal da Nota de Área Estratégica sem bônus</w:t>
            </w:r>
          </w:p>
        </w:tc>
      </w:tr>
      <w:tr>
        <w:tc>
          <w:tcPr>
            <w:tcW w:type="dxa" w:w="1662"/>
          </w:tcPr>
          <w:p>
            <w:r>
              <w:rPr>
                <w:sz w:val="18"/>
              </w:rPr>
            </w:r>
            <w:r>
              <w:rPr>
                <w:sz w:val="18"/>
              </w:rPr>
              <w:t>Bônus prioridade do PPA (§3º)</w:t>
            </w:r>
          </w:p>
        </w:tc>
        <w:tc>
          <w:tcPr>
            <w:tcW w:type="dxa" w:w="1662"/>
          </w:tcPr>
          <w:p>
            <w:r>
              <w:rPr>
                <w:sz w:val="18"/>
              </w:rPr>
            </w:r>
            <w:r>
              <w:rPr>
                <w:sz w:val="18"/>
              </w:rPr>
              <w:t>—</w:t>
            </w:r>
          </w:p>
        </w:tc>
        <w:tc>
          <w:tcPr>
            <w:tcW w:type="dxa" w:w="1662"/>
          </w:tcPr>
          <w:p>
            <w:r>
              <w:rPr>
                <w:sz w:val="18"/>
              </w:rPr>
            </w:r>
            <w:r>
              <w:rPr>
                <w:sz w:val="18"/>
              </w:rPr>
              <w:t>—</w:t>
            </w:r>
          </w:p>
        </w:tc>
        <w:tc>
          <w:tcPr>
            <w:tcW w:type="dxa" w:w="1662"/>
          </w:tcPr>
          <w:p>
            <w:r>
              <w:rPr>
                <w:sz w:val="18"/>
              </w:rPr>
            </w:r>
            <w:r>
              <w:rPr>
                <w:sz w:val="18"/>
              </w:rPr>
              <w:t>—</w:t>
            </w:r>
          </w:p>
        </w:tc>
        <w:tc>
          <w:tcPr>
            <w:tcW w:type="dxa" w:w="1662"/>
          </w:tcPr>
          <w:p>
            <w:r>
              <w:rPr>
                <w:sz w:val="18"/>
              </w:rPr>
            </w:r>
            <w:r>
              <w:rPr>
                <w:sz w:val="18"/>
              </w:rPr>
              <w:t>0,00 / 0,00 / 0,00</w:t>
            </w:r>
          </w:p>
        </w:tc>
        <w:tc>
          <w:tcPr>
            <w:tcW w:type="dxa" w:w="1662"/>
          </w:tcPr>
          <w:p>
            <w:r>
              <w:rPr>
                <w:sz w:val="18"/>
              </w:rPr>
            </w:r>
            <w:r>
              <w:rPr>
                <w:sz w:val="18"/>
              </w:rPr>
              <w:t>Só 10% dos recursos estão em prioridade elegível (201); não foi pedido; operação híbrida não se qualifica</w:t>
            </w:r>
          </w:p>
        </w:tc>
      </w:tr>
      <w:tr>
        <w:tc>
          <w:tcPr>
            <w:tcW w:type="dxa" w:w="1662"/>
          </w:tcPr>
          <w:p>
            <w:r>
              <w:rPr>
                <w:sz w:val="18"/>
              </w:rPr>
            </w:r>
            <w:r>
              <w:rPr>
                <w:sz w:val="18"/>
              </w:rPr>
              <w:t>Bônus integração regional (§4º)</w:t>
            </w:r>
          </w:p>
        </w:tc>
        <w:tc>
          <w:tcPr>
            <w:tcW w:type="dxa" w:w="1662"/>
          </w:tcPr>
          <w:p>
            <w:r>
              <w:rPr>
                <w:sz w:val="18"/>
              </w:rPr>
            </w:r>
            <w:r>
              <w:rPr>
                <w:sz w:val="18"/>
              </w:rPr>
              <w:t>—</w:t>
            </w:r>
          </w:p>
        </w:tc>
        <w:tc>
          <w:tcPr>
            <w:tcW w:type="dxa" w:w="1662"/>
          </w:tcPr>
          <w:p>
            <w:r>
              <w:rPr>
                <w:sz w:val="18"/>
              </w:rPr>
            </w:r>
            <w:r>
              <w:rPr>
                <w:sz w:val="18"/>
              </w:rPr>
              <w:t>—</w:t>
            </w:r>
          </w:p>
        </w:tc>
        <w:tc>
          <w:tcPr>
            <w:tcW w:type="dxa" w:w="1662"/>
          </w:tcPr>
          <w:p>
            <w:r>
              <w:rPr>
                <w:sz w:val="18"/>
              </w:rPr>
            </w:r>
            <w:r>
              <w:rPr>
                <w:sz w:val="18"/>
              </w:rPr>
              <w:t>—</w:t>
            </w:r>
          </w:p>
        </w:tc>
        <w:tc>
          <w:tcPr>
            <w:tcW w:type="dxa" w:w="1662"/>
          </w:tcPr>
          <w:p>
            <w:r>
              <w:rPr>
                <w:sz w:val="18"/>
              </w:rPr>
            </w:r>
            <w:r>
              <w:rPr>
                <w:sz w:val="18"/>
              </w:rPr>
              <w:t>0,00 / 0,00 / 0,00</w:t>
            </w:r>
          </w:p>
        </w:tc>
        <w:tc>
          <w:tcPr>
            <w:tcW w:type="dxa" w:w="1662"/>
          </w:tcPr>
          <w:p>
            <w:r>
              <w:rPr>
                <w:sz w:val="18"/>
              </w:rPr>
            </w:r>
            <w:r>
              <w:rPr>
                <w:sz w:val="18"/>
              </w:rPr>
              <w:t>Estado sem fronteira internacional</w:t>
            </w:r>
          </w:p>
        </w:tc>
      </w:tr>
      <w:tr>
        <w:tc>
          <w:tcPr>
            <w:tcW w:type="dxa" w:w="1662"/>
          </w:tcPr>
          <w:p>
            <w:r>
              <w:rPr>
                <w:sz w:val="18"/>
              </w:rPr>
            </w:r>
            <w:r>
              <w:rPr>
                <w:sz w:val="18"/>
              </w:rPr>
              <w:t>Nota de Área Estratégica</w:t>
            </w:r>
          </w:p>
        </w:tc>
        <w:tc>
          <w:tcPr>
            <w:tcW w:type="dxa" w:w="1662"/>
          </w:tcPr>
          <w:p>
            <w:r>
              <w:rPr>
                <w:sz w:val="18"/>
              </w:rPr>
            </w:r>
            <w:r>
              <w:rPr>
                <w:sz w:val="18"/>
              </w:rPr>
              <w:t>—</w:t>
            </w:r>
          </w:p>
        </w:tc>
        <w:tc>
          <w:tcPr>
            <w:tcW w:type="dxa" w:w="1662"/>
          </w:tcPr>
          <w:p>
            <w:r>
              <w:rPr>
                <w:sz w:val="18"/>
              </w:rPr>
            </w:r>
            <w:r>
              <w:rPr>
                <w:sz w:val="18"/>
              </w:rPr>
              <w:t>—</w:t>
            </w:r>
          </w:p>
        </w:tc>
        <w:tc>
          <w:tcPr>
            <w:tcW w:type="dxa" w:w="1662"/>
          </w:tcPr>
          <w:p>
            <w:r>
              <w:rPr>
                <w:sz w:val="18"/>
              </w:rPr>
            </w:r>
            <w:r>
              <w:rPr>
                <w:sz w:val="18"/>
              </w:rPr>
              <w:t>—</w:t>
            </w:r>
          </w:p>
        </w:tc>
        <w:tc>
          <w:tcPr>
            <w:tcW w:type="dxa" w:w="1662"/>
          </w:tcPr>
          <w:p>
            <w:r>
              <w:rPr>
                <w:sz w:val="18"/>
              </w:rPr>
            </w:r>
            <w:r>
              <w:rPr>
                <w:sz w:val="18"/>
              </w:rPr>
              <w:t>3,50 / 7,00 / 10,00</w:t>
            </w:r>
          </w:p>
        </w:tc>
        <w:tc>
          <w:tcPr>
            <w:tcW w:type="dxa" w:w="1662"/>
          </w:tcPr>
          <w:p>
            <w:r>
              <w:rPr>
                <w:sz w:val="18"/>
              </w:rPr>
            </w:r>
            <w:r>
              <w:rPr>
                <w:sz w:val="18"/>
              </w:rPr>
              <w:t>Faixa final do componente</w:t>
            </w:r>
          </w:p>
        </w:tc>
      </w:tr>
    </w:tbl>
    <w:p/>
    <w:p>
      <w:r>
        <w:t>Setor dominante (pergunta 23 do Grupo Técnico): pelos indicadores e custos, a operação é de justiça/segurança — 50% do orçamento e 3 de 9 indicadores em persecução patrimonial — com modernização digital como meio. O rótulo ambiental do título responde por 10% dos recursos.</w:t>
      </w:r>
    </w:p>
    <w:p>
      <w:r>
        <w:t>Salvaguarda de regressão à mediana: o esperado (7,00) fica na banda mediana empírica de 6,0 a 7,5 para investimento subnacional. Um valor acima disso (até cerca de 8,0) só se justificaria pelo perfil 'justiça com indicadores de resultado inovadores de recuperação de ativos', que aparece aqui; como rodadas cegas tendem a sair cerca de 0,6 ponto acima da nota oficial, manteve-se 7,00 e deixou-se 8,00 como cenário favorável (Área 307 em C).</w:t>
      </w:r>
    </w:p>
    <w:p>
      <w:pPr>
        <w:pStyle w:val="Heading1"/>
      </w:pPr>
      <w:r>
        <w:t>5. Notas dos Componentes</w:t>
      </w:r>
    </w:p>
    <w:p>
      <w:r>
        <w:rPr>
          <w:i/>
          <w:sz w:val="18"/>
        </w:rPr>
        <w:t>Itens de Dados Objetivos, distintos da Nota de Área Estratégica.</w:t>
      </w:r>
    </w:p>
    <w:p>
      <w:r>
        <w:rPr>
          <w:b/>
        </w:rPr>
        <w:t>Dados Objetivos — cenários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864"/>
          </w:tcPr>
          <w:p>
            <w:r>
              <w:rPr>
                <w:sz w:val="18"/>
              </w:rPr>
            </w:r>
            <w:r>
              <w:rPr>
                <w:b/>
                <w:color w:val="FFFFFF"/>
                <w:sz w:val="18"/>
              </w:rPr>
              <w:t>Item de Dados Objetivos</w:t>
            </w:r>
          </w:p>
        </w:tc>
        <w:tc>
          <w:tcPr>
            <w:tcW w:type="dxa" w:w="1994"/>
            <w:shd w:val="clear" w:color="auto" w:fill="1F3864"/>
          </w:tcPr>
          <w:p>
            <w:r>
              <w:rPr>
                <w:sz w:val="18"/>
              </w:rPr>
            </w:r>
            <w:r>
              <w:rPr>
                <w:b/>
                <w:color w:val="FFFFFF"/>
                <w:sz w:val="18"/>
              </w:rPr>
              <w:t>Mínimo</w:t>
            </w:r>
          </w:p>
        </w:tc>
        <w:tc>
          <w:tcPr>
            <w:tcW w:type="dxa" w:w="1994"/>
            <w:shd w:val="clear" w:color="auto" w:fill="1F3864"/>
          </w:tcPr>
          <w:p>
            <w:r>
              <w:rPr>
                <w:sz w:val="18"/>
              </w:rPr>
            </w:r>
            <w:r>
              <w:rPr>
                <w:b/>
                <w:color w:val="FFFFFF"/>
                <w:sz w:val="18"/>
              </w:rPr>
              <w:t>Esperado</w:t>
            </w:r>
          </w:p>
        </w:tc>
        <w:tc>
          <w:tcPr>
            <w:tcW w:type="dxa" w:w="1994"/>
            <w:shd w:val="clear" w:color="auto" w:fill="1F3864"/>
          </w:tcPr>
          <w:p>
            <w:r>
              <w:rPr>
                <w:sz w:val="18"/>
              </w:rPr>
            </w:r>
            <w:r>
              <w:rPr>
                <w:b/>
                <w:color w:val="FFFFFF"/>
                <w:sz w:val="18"/>
              </w:rPr>
              <w:t>Máximo</w:t>
            </w:r>
          </w:p>
        </w:tc>
        <w:tc>
          <w:tcPr>
            <w:tcW w:type="dxa" w:w="1994"/>
            <w:shd w:val="clear" w:color="auto" w:fill="1F3864"/>
          </w:tcPr>
          <w:p>
            <w:r>
              <w:rPr>
                <w:sz w:val="18"/>
              </w:rPr>
            </w:r>
            <w:r>
              <w:rPr>
                <w:b/>
                <w:color w:val="FFFFFF"/>
                <w:sz w:val="18"/>
              </w:rPr>
              <w:t>Premissa</w:t>
            </w:r>
          </w:p>
        </w:tc>
      </w:tr>
      <w:tr>
        <w:tc>
          <w:tcPr>
            <w:tcW w:type="dxa" w:w="1994"/>
          </w:tcPr>
          <w:p>
            <w:r>
              <w:rPr>
                <w:sz w:val="18"/>
              </w:rPr>
            </w:r>
            <w:r>
              <w:rPr>
                <w:sz w:val="18"/>
              </w:rPr>
              <w:t>Nota do Índice de Desenvolvimento Humano (teto 2,00)</w:t>
            </w:r>
          </w:p>
        </w:tc>
        <w:tc>
          <w:tcPr>
            <w:tcW w:type="dxa" w:w="1994"/>
          </w:tcPr>
          <w:p>
            <w:r>
              <w:rPr>
                <w:sz w:val="18"/>
              </w:rPr>
            </w:r>
            <w:r>
              <w:rPr>
                <w:sz w:val="18"/>
              </w:rPr>
              <w:t>1,31</w:t>
            </w:r>
          </w:p>
        </w:tc>
        <w:tc>
          <w:tcPr>
            <w:tcW w:type="dxa" w:w="1994"/>
          </w:tcPr>
          <w:p>
            <w:r>
              <w:rPr>
                <w:sz w:val="18"/>
              </w:rPr>
            </w:r>
            <w:r>
              <w:rPr>
                <w:sz w:val="18"/>
              </w:rPr>
              <w:t>1,63</w:t>
            </w:r>
          </w:p>
        </w:tc>
        <w:tc>
          <w:tcPr>
            <w:tcW w:type="dxa" w:w="1994"/>
          </w:tcPr>
          <w:p>
            <w:r>
              <w:rPr>
                <w:sz w:val="18"/>
              </w:rPr>
            </w:r>
            <w:r>
              <w:rPr>
                <w:sz w:val="18"/>
              </w:rPr>
              <w:t>1,79</w:t>
            </w:r>
          </w:p>
        </w:tc>
        <w:tc>
          <w:tcPr>
            <w:tcW w:type="dxa" w:w="1994"/>
          </w:tcPr>
          <w:p>
            <w:r>
              <w:rPr>
                <w:sz w:val="18"/>
              </w:rPr>
            </w:r>
            <w:r>
              <w:rPr>
                <w:sz w:val="18"/>
              </w:rPr>
              <w:t>Fórmula 2 × (1 − 0,719) / (1 − menor Índice da reunião). Menor Índice assumido: 0,572 (pauta com município de índice baixo), 0,655 (pauta estadual, extremo pessimista recomendado pelo viés de subestimação), 0,686 (pauta sem estado de índice muito baixo)</w:t>
            </w:r>
          </w:p>
        </w:tc>
      </w:tr>
      <w:tr>
        <w:tc>
          <w:tcPr>
            <w:tcW w:type="dxa" w:w="1994"/>
          </w:tcPr>
          <w:p>
            <w:r>
              <w:rPr>
                <w:sz w:val="18"/>
              </w:rPr>
            </w:r>
            <w:r>
              <w:rPr>
                <w:sz w:val="18"/>
              </w:rPr>
              <w:t>Classificação de Capacidade de Pagamento (teto 2,00)</w:t>
            </w:r>
          </w:p>
        </w:tc>
        <w:tc>
          <w:tcPr>
            <w:tcW w:type="dxa" w:w="1994"/>
          </w:tcPr>
          <w:p>
            <w:r>
              <w:rPr>
                <w:sz w:val="18"/>
              </w:rPr>
            </w:r>
            <w:r>
              <w:rPr>
                <w:sz w:val="18"/>
              </w:rPr>
              <w:t>0,50</w:t>
            </w:r>
          </w:p>
        </w:tc>
        <w:tc>
          <w:tcPr>
            <w:tcW w:type="dxa" w:w="1994"/>
          </w:tcPr>
          <w:p>
            <w:r>
              <w:rPr>
                <w:sz w:val="18"/>
              </w:rPr>
            </w:r>
            <w:r>
              <w:rPr>
                <w:sz w:val="18"/>
              </w:rPr>
              <w:t>1,00</w:t>
            </w:r>
          </w:p>
        </w:tc>
        <w:tc>
          <w:tcPr>
            <w:tcW w:type="dxa" w:w="1994"/>
          </w:tcPr>
          <w:p>
            <w:r>
              <w:rPr>
                <w:sz w:val="18"/>
              </w:rPr>
            </w:r>
            <w:r>
              <w:rPr>
                <w:sz w:val="18"/>
              </w:rPr>
              <w:t>1,50</w:t>
            </w:r>
          </w:p>
        </w:tc>
        <w:tc>
          <w:tcPr>
            <w:tcW w:type="dxa" w:w="1994"/>
          </w:tcPr>
          <w:p>
            <w:r>
              <w:rPr>
                <w:sz w:val="18"/>
              </w:rPr>
            </w:r>
            <w:r>
              <w:rPr>
                <w:sz w:val="18"/>
              </w:rPr>
              <w:t>B+ = 1,00 pela tabela fixa; faixa de um nível (B a A) porque o ciclo da classificação não está confirmado para a data da reunião</w:t>
            </w:r>
          </w:p>
        </w:tc>
      </w:tr>
      <w:tr>
        <w:tc>
          <w:tcPr>
            <w:tcW w:type="dxa" w:w="1994"/>
          </w:tcPr>
          <w:p>
            <w:r>
              <w:rPr>
                <w:sz w:val="18"/>
              </w:rPr>
            </w:r>
            <w:r>
              <w:rPr>
                <w:sz w:val="18"/>
              </w:rPr>
              <w:t>Nota de Tendência da Dívida (teto 1,00)</w:t>
            </w:r>
          </w:p>
        </w:tc>
        <w:tc>
          <w:tcPr>
            <w:tcW w:type="dxa" w:w="1994"/>
          </w:tcPr>
          <w:p>
            <w:r>
              <w:rPr>
                <w:sz w:val="18"/>
              </w:rPr>
            </w:r>
            <w:r>
              <w:rPr>
                <w:sz w:val="18"/>
              </w:rPr>
              <w:t>0,50</w:t>
            </w:r>
          </w:p>
        </w:tc>
        <w:tc>
          <w:tcPr>
            <w:tcW w:type="dxa" w:w="1994"/>
          </w:tcPr>
          <w:p>
            <w:r>
              <w:rPr>
                <w:sz w:val="18"/>
              </w:rPr>
            </w:r>
            <w:r>
              <w:rPr>
                <w:sz w:val="18"/>
              </w:rPr>
              <w:t>0,75</w:t>
            </w:r>
          </w:p>
        </w:tc>
        <w:tc>
          <w:tcPr>
            <w:tcW w:type="dxa" w:w="1994"/>
          </w:tcPr>
          <w:p>
            <w:r>
              <w:rPr>
                <w:sz w:val="18"/>
              </w:rPr>
            </w:r>
            <w:r>
              <w:rPr>
                <w:sz w:val="18"/>
              </w:rPr>
              <w:t>1,00</w:t>
            </w:r>
          </w:p>
        </w:tc>
        <w:tc>
          <w:tcPr>
            <w:tcW w:type="dxa" w:w="1994"/>
          </w:tcPr>
          <w:p>
            <w:r>
              <w:rPr>
                <w:sz w:val="18"/>
              </w:rPr>
            </w:r>
            <w:r>
              <w:rPr>
                <w:sz w:val="18"/>
              </w:rPr>
              <w:t>Sem Dívida Consolidada/Receita Corrente Líquida disponível; esperado de 'crescente, dentro dos limites' (0,75); o esgotamento do espaço fiscal em 2025 desaconselha supor 1,00</w:t>
            </w:r>
          </w:p>
        </w:tc>
      </w:tr>
      <w:tr>
        <w:tc>
          <w:tcPr>
            <w:tcW w:type="dxa" w:w="1994"/>
          </w:tcPr>
          <w:p>
            <w:r>
              <w:rPr>
                <w:sz w:val="18"/>
              </w:rPr>
            </w:r>
            <w:r>
              <w:rPr>
                <w:sz w:val="18"/>
              </w:rPr>
              <w:t>Subtotal de Dados Objetivos (teto 5,00)</w:t>
            </w:r>
          </w:p>
        </w:tc>
        <w:tc>
          <w:tcPr>
            <w:tcW w:type="dxa" w:w="1994"/>
          </w:tcPr>
          <w:p>
            <w:r>
              <w:rPr>
                <w:sz w:val="18"/>
              </w:rPr>
            </w:r>
            <w:r>
              <w:rPr>
                <w:sz w:val="18"/>
              </w:rPr>
              <w:t>2,31</w:t>
            </w:r>
          </w:p>
        </w:tc>
        <w:tc>
          <w:tcPr>
            <w:tcW w:type="dxa" w:w="1994"/>
          </w:tcPr>
          <w:p>
            <w:r>
              <w:rPr>
                <w:sz w:val="18"/>
              </w:rPr>
            </w:r>
            <w:r>
              <w:rPr>
                <w:sz w:val="18"/>
              </w:rPr>
              <w:t>3,38</w:t>
            </w:r>
          </w:p>
        </w:tc>
        <w:tc>
          <w:tcPr>
            <w:tcW w:type="dxa" w:w="1994"/>
          </w:tcPr>
          <w:p>
            <w:r>
              <w:rPr>
                <w:sz w:val="18"/>
              </w:rPr>
            </w:r>
            <w:r>
              <w:rPr>
                <w:sz w:val="18"/>
              </w:rPr>
              <w:t>4,29</w:t>
            </w:r>
          </w:p>
        </w:tc>
        <w:tc>
          <w:tcPr>
            <w:tcW w:type="dxa" w:w="1994"/>
          </w:tcPr>
          <w:p>
            <w:r>
              <w:rPr>
                <w:sz w:val="18"/>
              </w:rPr>
            </w:r>
            <w:r>
              <w:rPr>
                <w:sz w:val="18"/>
              </w:rPr>
              <w:t>Soma dos três itens</w:t>
            </w:r>
          </w:p>
        </w:tc>
      </w:tr>
    </w:tbl>
    <w:p/>
    <w:p>
      <w:pPr>
        <w:pStyle w:val="Heading1"/>
      </w:pPr>
      <w:r>
        <w:t>6. Nota Final</w:t>
      </w:r>
    </w:p>
    <w:p>
      <w:r>
        <w:t>Nota Geral = Dados Objetivos + Nota de Área Estratégica (teto 15,00).</w:t>
      </w:r>
    </w:p>
    <w:p>
      <w:r>
        <w:rPr>
          <w:b/>
        </w:rPr>
        <w:t>Composição da Nota Geral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864"/>
          </w:tcPr>
          <w:p>
            <w:r>
              <w:rPr>
                <w:sz w:val="18"/>
              </w:rPr>
            </w:r>
            <w:r>
              <w:rPr>
                <w:b/>
                <w:color w:val="FFFFFF"/>
                <w:sz w:val="18"/>
              </w:rPr>
              <w:t>Cenário</w:t>
            </w:r>
          </w:p>
        </w:tc>
        <w:tc>
          <w:tcPr>
            <w:tcW w:type="dxa" w:w="2493"/>
            <w:shd w:val="clear" w:color="auto" w:fill="1F3864"/>
          </w:tcPr>
          <w:p>
            <w:r>
              <w:rPr>
                <w:sz w:val="18"/>
              </w:rPr>
            </w:r>
            <w:r>
              <w:rPr>
                <w:b/>
                <w:color w:val="FFFFFF"/>
                <w:sz w:val="18"/>
              </w:rPr>
              <w:t>Dados Objetivos</w:t>
            </w:r>
          </w:p>
        </w:tc>
        <w:tc>
          <w:tcPr>
            <w:tcW w:type="dxa" w:w="2493"/>
            <w:shd w:val="clear" w:color="auto" w:fill="1F3864"/>
          </w:tcPr>
          <w:p>
            <w:r>
              <w:rPr>
                <w:sz w:val="18"/>
              </w:rPr>
            </w:r>
            <w:r>
              <w:rPr>
                <w:b/>
                <w:color w:val="FFFFFF"/>
                <w:sz w:val="18"/>
              </w:rPr>
              <w:t>Nota de Área Estratégica</w:t>
            </w:r>
          </w:p>
        </w:tc>
        <w:tc>
          <w:tcPr>
            <w:tcW w:type="dxa" w:w="2493"/>
            <w:shd w:val="clear" w:color="auto" w:fill="1F3864"/>
          </w:tcPr>
          <w:p>
            <w:r>
              <w:rPr>
                <w:sz w:val="18"/>
              </w:rPr>
            </w:r>
            <w:r>
              <w:rPr>
                <w:b/>
                <w:color w:val="FFFFFF"/>
                <w:sz w:val="18"/>
              </w:rPr>
              <w:t>Nota Geral</w:t>
            </w:r>
          </w:p>
        </w:tc>
      </w:tr>
      <w:tr>
        <w:tc>
          <w:tcPr>
            <w:tcW w:type="dxa" w:w="2493"/>
          </w:tcPr>
          <w:p>
            <w:r>
              <w:rPr>
                <w:sz w:val="18"/>
              </w:rPr>
            </w:r>
            <w:r>
              <w:rPr>
                <w:sz w:val="18"/>
              </w:rPr>
              <w:t>Mínimo</w:t>
            </w:r>
          </w:p>
        </w:tc>
        <w:tc>
          <w:tcPr>
            <w:tcW w:type="dxa" w:w="2493"/>
          </w:tcPr>
          <w:p>
            <w:r>
              <w:rPr>
                <w:sz w:val="18"/>
              </w:rPr>
            </w:r>
            <w:r>
              <w:rPr>
                <w:sz w:val="18"/>
              </w:rPr>
              <w:t>2,31</w:t>
            </w:r>
          </w:p>
        </w:tc>
        <w:tc>
          <w:tcPr>
            <w:tcW w:type="dxa" w:w="2493"/>
          </w:tcPr>
          <w:p>
            <w:r>
              <w:rPr>
                <w:sz w:val="18"/>
              </w:rPr>
            </w:r>
            <w:r>
              <w:rPr>
                <w:sz w:val="18"/>
              </w:rPr>
              <w:t>3,50</w:t>
            </w:r>
          </w:p>
        </w:tc>
        <w:tc>
          <w:tcPr>
            <w:tcW w:type="dxa" w:w="2493"/>
          </w:tcPr>
          <w:p>
            <w:r>
              <w:rPr>
                <w:sz w:val="18"/>
              </w:rPr>
            </w:r>
            <w:r>
              <w:rPr>
                <w:sz w:val="18"/>
              </w:rPr>
              <w:t>5,81</w:t>
            </w:r>
          </w:p>
        </w:tc>
      </w:tr>
      <w:tr>
        <w:tc>
          <w:tcPr>
            <w:tcW w:type="dxa" w:w="2493"/>
          </w:tcPr>
          <w:p>
            <w:r>
              <w:rPr>
                <w:sz w:val="18"/>
              </w:rPr>
            </w:r>
            <w:r>
              <w:rPr>
                <w:sz w:val="18"/>
              </w:rPr>
              <w:t>Esperado</w:t>
            </w:r>
          </w:p>
        </w:tc>
        <w:tc>
          <w:tcPr>
            <w:tcW w:type="dxa" w:w="2493"/>
          </w:tcPr>
          <w:p>
            <w:r>
              <w:rPr>
                <w:sz w:val="18"/>
              </w:rPr>
            </w:r>
            <w:r>
              <w:rPr>
                <w:sz w:val="18"/>
              </w:rPr>
              <w:t>3,38</w:t>
            </w:r>
          </w:p>
        </w:tc>
        <w:tc>
          <w:tcPr>
            <w:tcW w:type="dxa" w:w="2493"/>
          </w:tcPr>
          <w:p>
            <w:r>
              <w:rPr>
                <w:sz w:val="18"/>
              </w:rPr>
            </w:r>
            <w:r>
              <w:rPr>
                <w:sz w:val="18"/>
              </w:rPr>
              <w:t>7,00</w:t>
            </w:r>
          </w:p>
        </w:tc>
        <w:tc>
          <w:tcPr>
            <w:tcW w:type="dxa" w:w="2493"/>
          </w:tcPr>
          <w:p>
            <w:r>
              <w:rPr>
                <w:sz w:val="18"/>
              </w:rPr>
            </w:r>
            <w:r>
              <w:rPr>
                <w:sz w:val="18"/>
              </w:rPr>
              <w:t>10,38</w:t>
            </w:r>
          </w:p>
        </w:tc>
      </w:tr>
      <w:tr>
        <w:tc>
          <w:tcPr>
            <w:tcW w:type="dxa" w:w="2493"/>
          </w:tcPr>
          <w:p>
            <w:r>
              <w:rPr>
                <w:sz w:val="18"/>
              </w:rPr>
            </w:r>
            <w:r>
              <w:rPr>
                <w:sz w:val="18"/>
              </w:rPr>
              <w:t>Máximo</w:t>
            </w:r>
          </w:p>
        </w:tc>
        <w:tc>
          <w:tcPr>
            <w:tcW w:type="dxa" w:w="2493"/>
          </w:tcPr>
          <w:p>
            <w:r>
              <w:rPr>
                <w:sz w:val="18"/>
              </w:rPr>
            </w:r>
            <w:r>
              <w:rPr>
                <w:sz w:val="18"/>
              </w:rPr>
              <w:t>4,29</w:t>
            </w:r>
          </w:p>
        </w:tc>
        <w:tc>
          <w:tcPr>
            <w:tcW w:type="dxa" w:w="2493"/>
          </w:tcPr>
          <w:p>
            <w:r>
              <w:rPr>
                <w:sz w:val="18"/>
              </w:rPr>
            </w:r>
            <w:r>
              <w:rPr>
                <w:sz w:val="18"/>
              </w:rPr>
              <w:t>10,00</w:t>
            </w:r>
          </w:p>
        </w:tc>
        <w:tc>
          <w:tcPr>
            <w:tcW w:type="dxa" w:w="2493"/>
          </w:tcPr>
          <w:p>
            <w:r>
              <w:rPr>
                <w:sz w:val="18"/>
              </w:rPr>
            </w:r>
            <w:r>
              <w:rPr>
                <w:sz w:val="18"/>
              </w:rPr>
              <w:t>14,29</w:t>
            </w:r>
          </w:p>
        </w:tc>
      </w:tr>
    </w:tbl>
    <w:p/>
    <w:p>
      <w:r>
        <w:t>Nota Geral estimada: [Mínimo 5,81 — Esperado 10,38 — Máximo 14,29]. Cenário favorável plausível, sem mudar a carta: Área 307 em C, Nota de Área Estratégica 8,00 e Nota Geral cerca de 11,4.</w:t>
      </w:r>
    </w:p>
    <w:p>
      <w:r>
        <w:t>Base de calibração: n=5 linhas comparáveis (regime Resolução Normativa 1/2024; setores justiça e segurança, com governo digital como secundário), apenas 4 pleitos distintos; relaxado: credor, faixa de valor e subtipo; dados fracos: duplicidade de pleito e amostra setorial pequena; ancoragem: nenhuma (estimativa da rubrica entre a mediana setorial de 8,0 e a mediana do controle subnacional abaixo de US$ 50 milhões, 6,25 com n=20).</w:t>
      </w:r>
    </w:p>
    <w:p>
      <w:r>
        <w:rPr>
          <w:i/>
          <w:sz w:val="18"/>
        </w:rPr>
        <w:t>Uma nota alta é condição necessária, nunca suficiente: na validação com retenção de amostra, a Nota Geral média prevista foi praticamente igual entre pleitos aprovados e não aprovados. Ver a seção 10.</w:t>
      </w:r>
    </w:p>
    <w:p>
      <w:pPr>
        <w:pStyle w:val="Heading1"/>
      </w:pPr>
      <w:r>
        <w:t>7. Simulação das Perguntas do Grupo Técnico</w:t>
      </w:r>
    </w:p>
    <w:p>
      <w:r>
        <w:rPr>
          <w:b/>
        </w:rPr>
        <w:t>Perguntas aplicáveis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Pr>
                <w:sz w:val="18"/>
              </w:rPr>
            </w:r>
            <w:r>
              <w:rPr>
                <w:b/>
                <w:color w:val="FFFFFF"/>
                <w:sz w:val="18"/>
              </w:rPr>
              <w:t>#</w:t>
            </w:r>
          </w:p>
        </w:tc>
        <w:tc>
          <w:tcPr>
            <w:tcW w:type="dxa" w:w="1425"/>
            <w:shd w:val="clear" w:color="auto" w:fill="1F3864"/>
          </w:tcPr>
          <w:p>
            <w:r>
              <w:rPr>
                <w:sz w:val="18"/>
              </w:rPr>
            </w:r>
            <w:r>
              <w:rPr>
                <w:b/>
                <w:color w:val="FFFFFF"/>
                <w:sz w:val="18"/>
              </w:rPr>
              <w:t>Pergunta</w:t>
            </w:r>
          </w:p>
        </w:tc>
        <w:tc>
          <w:tcPr>
            <w:tcW w:type="dxa" w:w="1425"/>
            <w:shd w:val="clear" w:color="auto" w:fill="1F3864"/>
          </w:tcPr>
          <w:p>
            <w:r>
              <w:rPr>
                <w:sz w:val="18"/>
              </w:rPr>
            </w:r>
            <w:r>
              <w:rPr>
                <w:b/>
                <w:color w:val="FFFFFF"/>
                <w:sz w:val="18"/>
              </w:rPr>
              <w:t>Prioridade</w:t>
            </w:r>
          </w:p>
        </w:tc>
        <w:tc>
          <w:tcPr>
            <w:tcW w:type="dxa" w:w="1425"/>
            <w:shd w:val="clear" w:color="auto" w:fill="1F3864"/>
          </w:tcPr>
          <w:p>
            <w:r>
              <w:rPr>
                <w:sz w:val="18"/>
              </w:rPr>
            </w:r>
            <w:r>
              <w:rPr>
                <w:b/>
                <w:color w:val="FFFFFF"/>
                <w:sz w:val="18"/>
              </w:rPr>
              <w:t>Aplica?</w:t>
            </w:r>
          </w:p>
        </w:tc>
        <w:tc>
          <w:tcPr>
            <w:tcW w:type="dxa" w:w="1425"/>
            <w:shd w:val="clear" w:color="auto" w:fill="1F3864"/>
          </w:tcPr>
          <w:p>
            <w:r>
              <w:rPr>
                <w:sz w:val="18"/>
              </w:rPr>
            </w:r>
            <w:r>
              <w:rPr>
                <w:b/>
                <w:color w:val="FFFFFF"/>
                <w:sz w:val="18"/>
              </w:rPr>
              <w:t>Resposta na carta-consulta</w:t>
            </w:r>
          </w:p>
        </w:tc>
        <w:tc>
          <w:tcPr>
            <w:tcW w:type="dxa" w:w="1425"/>
            <w:shd w:val="clear" w:color="auto" w:fill="1F3864"/>
          </w:tcPr>
          <w:p>
            <w:r>
              <w:rPr>
                <w:sz w:val="18"/>
              </w:rPr>
            </w:r>
            <w:r>
              <w:rPr>
                <w:b/>
                <w:color w:val="FFFFFF"/>
                <w:sz w:val="18"/>
              </w:rPr>
              <w:t>Situação</w:t>
            </w:r>
          </w:p>
        </w:tc>
        <w:tc>
          <w:tcPr>
            <w:tcW w:type="dxa" w:w="1425"/>
            <w:shd w:val="clear" w:color="auto" w:fill="1F3864"/>
          </w:tcPr>
          <w:p>
            <w:r>
              <w:rPr>
                <w:sz w:val="18"/>
              </w:rPr>
            </w:r>
            <w:r>
              <w:rPr>
                <w:b/>
                <w:color w:val="FFFFFF"/>
                <w:sz w:val="18"/>
              </w:rPr>
              <w:t>Lacuna / Ação</w:t>
            </w:r>
          </w:p>
        </w:tc>
      </w:tr>
      <w:tr>
        <w:tc>
          <w:tcPr>
            <w:tcW w:type="dxa" w:w="1425"/>
          </w:tcPr>
          <w:p>
            <w:r>
              <w:rPr>
                <w:sz w:val="18"/>
              </w:rPr>
            </w:r>
            <w:r>
              <w:rPr>
                <w:sz w:val="18"/>
              </w:rPr>
              <w:t>1</w:t>
            </w:r>
          </w:p>
        </w:tc>
        <w:tc>
          <w:tcPr>
            <w:tcW w:type="dxa" w:w="1425"/>
          </w:tcPr>
          <w:p>
            <w:r>
              <w:rPr>
                <w:sz w:val="18"/>
              </w:rPr>
            </w:r>
            <w:r>
              <w:rPr>
                <w:sz w:val="18"/>
              </w:rPr>
              <w:t>Sustentabilidade pós-projeto</w:t>
            </w:r>
          </w:p>
        </w:tc>
        <w:tc>
          <w:tcPr>
            <w:tcW w:type="dxa" w:w="1425"/>
          </w:tcPr>
          <w:p>
            <w:r>
              <w:rPr>
                <w:sz w:val="18"/>
              </w:rPr>
            </w:r>
            <w:r>
              <w:rPr>
                <w:sz w:val="18"/>
              </w:rPr>
              <w:t>Alta</w:t>
            </w:r>
          </w:p>
        </w:tc>
        <w:tc>
          <w:tcPr>
            <w:tcW w:type="dxa" w:w="1425"/>
          </w:tcPr>
          <w:p>
            <w:r>
              <w:rPr>
                <w:sz w:val="18"/>
              </w:rPr>
            </w:r>
            <w:r>
              <w:rPr>
                <w:sz w:val="18"/>
              </w:rPr>
              <w:t>Sim</w:t>
            </w:r>
          </w:p>
        </w:tc>
        <w:tc>
          <w:tcPr>
            <w:tcW w:type="dxa" w:w="1425"/>
          </w:tcPr>
          <w:p>
            <w:r>
              <w:rPr>
                <w:sz w:val="18"/>
              </w:rPr>
            </w:r>
            <w:r>
              <w:rPr>
                <w:sz w:val="18"/>
              </w:rPr>
              <w:t>Seção 3.2: orçamento de R$ 988 milhões, R$ 30 milhões/ano em custeio de tecnologia, 'plena sustentabilidade'</w:t>
            </w:r>
          </w:p>
        </w:tc>
        <w:tc>
          <w:tcPr>
            <w:tcW w:type="dxa" w:w="1425"/>
          </w:tcPr>
          <w:p>
            <w:r>
              <w:rPr>
                <w:sz w:val="18"/>
              </w:rPr>
            </w:r>
            <w:r>
              <w:rPr>
                <w:sz w:val="18"/>
              </w:rPr>
              <w:t>PARCIAL</w:t>
            </w:r>
          </w:p>
        </w:tc>
        <w:tc>
          <w:tcPr>
            <w:tcW w:type="dxa" w:w="1425"/>
          </w:tcPr>
          <w:p>
            <w:r>
              <w:rPr>
                <w:sz w:val="18"/>
              </w:rPr>
            </w:r>
            <w:r>
              <w:rPr>
                <w:sz w:val="18"/>
              </w:rPr>
              <w:t>Tabela em reais por ano (licenças, centro de dados contêiner, local de contingência, energia, pessoal) por 5 anos e linha orçamentária</w:t>
            </w:r>
          </w:p>
        </w:tc>
      </w:tr>
      <w:tr>
        <w:tc>
          <w:tcPr>
            <w:tcW w:type="dxa" w:w="1425"/>
          </w:tcPr>
          <w:p>
            <w:r>
              <w:rPr>
                <w:sz w:val="18"/>
              </w:rPr>
            </w:r>
            <w:r>
              <w:rPr>
                <w:sz w:val="18"/>
              </w:rPr>
              <w:t>2</w:t>
            </w:r>
          </w:p>
        </w:tc>
        <w:tc>
          <w:tcPr>
            <w:tcW w:type="dxa" w:w="1425"/>
          </w:tcPr>
          <w:p>
            <w:r>
              <w:rPr>
                <w:sz w:val="18"/>
              </w:rPr>
            </w:r>
            <w:r>
              <w:rPr>
                <w:sz w:val="18"/>
              </w:rPr>
              <w:t>Transferência de conhecimento versus dependência de fornecedor</w:t>
            </w:r>
          </w:p>
        </w:tc>
        <w:tc>
          <w:tcPr>
            <w:tcW w:type="dxa" w:w="1425"/>
          </w:tcPr>
          <w:p>
            <w:r>
              <w:rPr>
                <w:sz w:val="18"/>
              </w:rPr>
            </w:r>
            <w:r>
              <w:rPr>
                <w:sz w:val="18"/>
              </w:rPr>
              <w:t>Alta</w:t>
            </w:r>
          </w:p>
        </w:tc>
        <w:tc>
          <w:tcPr>
            <w:tcW w:type="dxa" w:w="1425"/>
          </w:tcPr>
          <w:p>
            <w:r>
              <w:rPr>
                <w:sz w:val="18"/>
              </w:rPr>
            </w:r>
            <w:r>
              <w:rPr>
                <w:sz w:val="18"/>
              </w:rPr>
              <w:t>Sim</w:t>
            </w:r>
          </w:p>
        </w:tc>
        <w:tc>
          <w:tcPr>
            <w:tcW w:type="dxa" w:w="1425"/>
          </w:tcPr>
          <w:p>
            <w:r>
              <w:rPr>
                <w:sz w:val="18"/>
              </w:rPr>
            </w:r>
            <w:r>
              <w:rPr>
                <w:sz w:val="18"/>
              </w:rPr>
              <w:t>Ano 5 com operação assistida e transferência; núcleo de competência; trilhas de capacitação</w:t>
            </w:r>
          </w:p>
        </w:tc>
        <w:tc>
          <w:tcPr>
            <w:tcW w:type="dxa" w:w="1425"/>
          </w:tcPr>
          <w:p>
            <w:r>
              <w:rPr>
                <w:sz w:val="18"/>
              </w:rPr>
            </w:r>
            <w:r>
              <w:rPr>
                <w:sz w:val="18"/>
              </w:rPr>
              <w:t>PARCIAL</w:t>
            </w:r>
          </w:p>
        </w:tc>
        <w:tc>
          <w:tcPr>
            <w:tcW w:type="dxa" w:w="1425"/>
          </w:tcPr>
          <w:p>
            <w:r>
              <w:rPr>
                <w:sz w:val="18"/>
              </w:rPr>
            </w:r>
            <w:r>
              <w:rPr>
                <w:sz w:val="18"/>
              </w:rPr>
              <w:t>Titularidade de código e dados, cláusulas contratuais e estratégia de saída das licenças proprietárias citadas</w:t>
            </w:r>
          </w:p>
        </w:tc>
      </w:tr>
      <w:tr>
        <w:tc>
          <w:tcPr>
            <w:tcW w:type="dxa" w:w="1425"/>
          </w:tcPr>
          <w:p>
            <w:r>
              <w:rPr>
                <w:sz w:val="18"/>
              </w:rPr>
            </w:r>
            <w:r>
              <w:rPr>
                <w:sz w:val="18"/>
              </w:rPr>
              <w:t>3</w:t>
            </w:r>
          </w:p>
        </w:tc>
        <w:tc>
          <w:tcPr>
            <w:tcW w:type="dxa" w:w="1425"/>
          </w:tcPr>
          <w:p>
            <w:r>
              <w:rPr>
                <w:sz w:val="18"/>
              </w:rPr>
            </w:r>
            <w:r>
              <w:rPr>
                <w:sz w:val="18"/>
              </w:rPr>
              <w:t>Custo por beneficiário versus operações comparáveis na América Latina e Caribe</w:t>
            </w:r>
          </w:p>
        </w:tc>
        <w:tc>
          <w:tcPr>
            <w:tcW w:type="dxa" w:w="1425"/>
          </w:tcPr>
          <w:p>
            <w:r>
              <w:rPr>
                <w:sz w:val="18"/>
              </w:rPr>
            </w:r>
            <w:r>
              <w:rPr>
                <w:sz w:val="18"/>
              </w:rPr>
              <w:t>Alta</w:t>
            </w:r>
          </w:p>
        </w:tc>
        <w:tc>
          <w:tcPr>
            <w:tcW w:type="dxa" w:w="1425"/>
          </w:tcPr>
          <w:p>
            <w:r>
              <w:rPr>
                <w:sz w:val="18"/>
              </w:rPr>
            </w:r>
            <w:r>
              <w:rPr>
                <w:sz w:val="18"/>
              </w:rPr>
              <w:t>Sim</w:t>
            </w:r>
          </w:p>
        </w:tc>
        <w:tc>
          <w:tcPr>
            <w:tcW w:type="dxa" w:w="1425"/>
          </w:tcPr>
          <w:p>
            <w:r>
              <w:rPr>
                <w:sz w:val="18"/>
              </w:rPr>
            </w:r>
            <w:r>
              <w:rPr>
                <w:sz w:val="18"/>
              </w:rPr>
              <w:t>Ausente; cita apenas um projeto de transformação digital da justiça financiado pelo mesmo credor</w:t>
            </w:r>
          </w:p>
        </w:tc>
        <w:tc>
          <w:tcPr>
            <w:tcW w:type="dxa" w:w="1425"/>
          </w:tcPr>
          <w:p>
            <w:r>
              <w:rPr>
                <w:sz w:val="18"/>
              </w:rPr>
            </w:r>
            <w:r>
              <w:rPr>
                <w:sz w:val="18"/>
              </w:rPr>
              <w:t>AUSENTE</w:t>
            </w:r>
          </w:p>
        </w:tc>
        <w:tc>
          <w:tcPr>
            <w:tcW w:type="dxa" w:w="1425"/>
          </w:tcPr>
          <w:p>
            <w:r>
              <w:rPr>
                <w:sz w:val="18"/>
              </w:rPr>
            </w:r>
            <w:r>
              <w:rPr>
                <w:sz w:val="18"/>
              </w:rPr>
              <w:t>Custo por membro/servidor atendido ou por procedimento, com 2 a 3 referências do BID</w:t>
            </w:r>
          </w:p>
        </w:tc>
      </w:tr>
      <w:tr>
        <w:tc>
          <w:tcPr>
            <w:tcW w:type="dxa" w:w="1425"/>
          </w:tcPr>
          <w:p>
            <w:r>
              <w:rPr>
                <w:sz w:val="18"/>
              </w:rPr>
            </w:r>
            <w:r>
              <w:rPr>
                <w:sz w:val="18"/>
              </w:rPr>
              <w:t>9</w:t>
            </w:r>
          </w:p>
        </w:tc>
        <w:tc>
          <w:tcPr>
            <w:tcW w:type="dxa" w:w="1425"/>
          </w:tcPr>
          <w:p>
            <w:r>
              <w:rPr>
                <w:sz w:val="18"/>
              </w:rPr>
            </w:r>
            <w:r>
              <w:rPr>
                <w:sz w:val="18"/>
              </w:rPr>
              <w:t>Tensão entre autonomia do órgão e unidade gestora / Executivo</w:t>
            </w:r>
          </w:p>
        </w:tc>
        <w:tc>
          <w:tcPr>
            <w:tcW w:type="dxa" w:w="1425"/>
          </w:tcPr>
          <w:p>
            <w:r>
              <w:rPr>
                <w:sz w:val="18"/>
              </w:rPr>
            </w:r>
            <w:r>
              <w:rPr>
                <w:sz w:val="18"/>
              </w:rPr>
              <w:t>Alta</w:t>
            </w:r>
          </w:p>
        </w:tc>
        <w:tc>
          <w:tcPr>
            <w:tcW w:type="dxa" w:w="1425"/>
          </w:tcPr>
          <w:p>
            <w:r>
              <w:rPr>
                <w:sz w:val="18"/>
              </w:rPr>
            </w:r>
            <w:r>
              <w:rPr>
                <w:sz w:val="18"/>
              </w:rPr>
              <w:t>Sim</w:t>
            </w:r>
          </w:p>
        </w:tc>
        <w:tc>
          <w:tcPr>
            <w:tcW w:type="dxa" w:w="1425"/>
          </w:tcPr>
          <w:p>
            <w:r>
              <w:rPr>
                <w:sz w:val="18"/>
              </w:rPr>
            </w:r>
            <w:r>
              <w:rPr>
                <w:sz w:val="18"/>
              </w:rPr>
              <w:t>Procurador-Geral como instância maior por delegação da Governadora; unidade gestora no Ministério Público</w:t>
            </w:r>
          </w:p>
        </w:tc>
        <w:tc>
          <w:tcPr>
            <w:tcW w:type="dxa" w:w="1425"/>
          </w:tcPr>
          <w:p>
            <w:r>
              <w:rPr>
                <w:sz w:val="18"/>
              </w:rPr>
            </w:r>
            <w:r>
              <w:rPr>
                <w:sz w:val="18"/>
              </w:rPr>
              <w:t>PARCIAL</w:t>
            </w:r>
          </w:p>
        </w:tc>
        <w:tc>
          <w:tcPr>
            <w:tcW w:type="dxa" w:w="1425"/>
          </w:tcPr>
          <w:p>
            <w:r>
              <w:rPr>
                <w:sz w:val="18"/>
              </w:rPr>
            </w:r>
            <w:r>
              <w:rPr>
                <w:sz w:val="18"/>
              </w:rPr>
              <w:t>Instrumento formal (convênio ou decreto) que defina papéis do Estado (mutuário, contragarantia, serviço da dívida) e do órgão autônomo (executor)</w:t>
            </w:r>
          </w:p>
        </w:tc>
      </w:tr>
      <w:tr>
        <w:tc>
          <w:tcPr>
            <w:tcW w:type="dxa" w:w="1425"/>
          </w:tcPr>
          <w:p>
            <w:r>
              <w:rPr>
                <w:sz w:val="18"/>
              </w:rPr>
            </w:r>
            <w:r>
              <w:rPr>
                <w:sz w:val="18"/>
              </w:rPr>
              <w:t>4</w:t>
            </w:r>
          </w:p>
        </w:tc>
        <w:tc>
          <w:tcPr>
            <w:tcW w:type="dxa" w:w="1425"/>
          </w:tcPr>
          <w:p>
            <w:r>
              <w:rPr>
                <w:sz w:val="18"/>
              </w:rPr>
            </w:r>
            <w:r>
              <w:rPr>
                <w:sz w:val="18"/>
              </w:rPr>
              <w:t>Cibersegurança e Lei Geral de Proteção de Dados</w:t>
            </w:r>
          </w:p>
        </w:tc>
        <w:tc>
          <w:tcPr>
            <w:tcW w:type="dxa" w:w="1425"/>
          </w:tcPr>
          <w:p>
            <w:r>
              <w:rPr>
                <w:sz w:val="18"/>
              </w:rPr>
            </w:r>
            <w:r>
              <w:rPr>
                <w:sz w:val="18"/>
              </w:rPr>
              <w:t>Média</w:t>
            </w:r>
          </w:p>
        </w:tc>
        <w:tc>
          <w:tcPr>
            <w:tcW w:type="dxa" w:w="1425"/>
          </w:tcPr>
          <w:p>
            <w:r>
              <w:rPr>
                <w:sz w:val="18"/>
              </w:rPr>
            </w:r>
            <w:r>
              <w:rPr>
                <w:sz w:val="18"/>
              </w:rPr>
              <w:t>Sim</w:t>
            </w:r>
          </w:p>
        </w:tc>
        <w:tc>
          <w:tcPr>
            <w:tcW w:type="dxa" w:w="1425"/>
          </w:tcPr>
          <w:p>
            <w:r>
              <w:rPr>
                <w:sz w:val="18"/>
              </w:rPr>
            </w:r>
            <w:r>
              <w:rPr>
                <w:sz w:val="18"/>
              </w:rPr>
              <w:t>Risco 7 reconhecido; mitigação 'investimentos em segurança da informação'</w:t>
            </w:r>
          </w:p>
        </w:tc>
        <w:tc>
          <w:tcPr>
            <w:tcW w:type="dxa" w:w="1425"/>
          </w:tcPr>
          <w:p>
            <w:r>
              <w:rPr>
                <w:sz w:val="18"/>
              </w:rPr>
            </w:r>
            <w:r>
              <w:rPr>
                <w:sz w:val="18"/>
              </w:rPr>
              <w:t>PARCIAL</w:t>
            </w:r>
          </w:p>
        </w:tc>
        <w:tc>
          <w:tcPr>
            <w:tcW w:type="dxa" w:w="1425"/>
          </w:tcPr>
          <w:p>
            <w:r>
              <w:rPr>
                <w:sz w:val="18"/>
              </w:rPr>
            </w:r>
            <w:r>
              <w:rPr>
                <w:sz w:val="18"/>
              </w:rPr>
              <w:t>Encarregado de dados, base legal para compartilhamento com órgãos de inteligência financeira e fiscal, orçamento recorrente de segurança</w:t>
            </w:r>
          </w:p>
        </w:tc>
      </w:tr>
      <w:tr>
        <w:tc>
          <w:tcPr>
            <w:tcW w:type="dxa" w:w="1425"/>
          </w:tcPr>
          <w:p>
            <w:r>
              <w:rPr>
                <w:sz w:val="18"/>
              </w:rPr>
            </w:r>
            <w:r>
              <w:rPr>
                <w:sz w:val="18"/>
              </w:rPr>
              <w:t>5</w:t>
            </w:r>
          </w:p>
        </w:tc>
        <w:tc>
          <w:tcPr>
            <w:tcW w:type="dxa" w:w="1425"/>
          </w:tcPr>
          <w:p>
            <w:r>
              <w:rPr>
                <w:sz w:val="18"/>
              </w:rPr>
            </w:r>
            <w:r>
              <w:rPr>
                <w:sz w:val="18"/>
              </w:rPr>
              <w:t>Coordenação interinstitucional</w:t>
            </w:r>
          </w:p>
        </w:tc>
        <w:tc>
          <w:tcPr>
            <w:tcW w:type="dxa" w:w="1425"/>
          </w:tcPr>
          <w:p>
            <w:r>
              <w:rPr>
                <w:sz w:val="18"/>
              </w:rPr>
            </w:r>
            <w:r>
              <w:rPr>
                <w:sz w:val="18"/>
              </w:rPr>
              <w:t>Média</w:t>
            </w:r>
          </w:p>
        </w:tc>
        <w:tc>
          <w:tcPr>
            <w:tcW w:type="dxa" w:w="1425"/>
          </w:tcPr>
          <w:p>
            <w:r>
              <w:rPr>
                <w:sz w:val="18"/>
              </w:rPr>
            </w:r>
            <w:r>
              <w:rPr>
                <w:sz w:val="18"/>
              </w:rPr>
              <w:t>Sim</w:t>
            </w:r>
          </w:p>
        </w:tc>
        <w:tc>
          <w:tcPr>
            <w:tcW w:type="dxa" w:w="1425"/>
          </w:tcPr>
          <w:p>
            <w:r>
              <w:rPr>
                <w:sz w:val="18"/>
              </w:rPr>
            </w:r>
            <w:r>
              <w:rPr>
                <w:sz w:val="18"/>
              </w:rPr>
              <w:t>Acordos de cooperação com oito órgãos a firmar (risco 1)</w:t>
            </w:r>
          </w:p>
        </w:tc>
        <w:tc>
          <w:tcPr>
            <w:tcW w:type="dxa" w:w="1425"/>
          </w:tcPr>
          <w:p>
            <w:r>
              <w:rPr>
                <w:sz w:val="18"/>
              </w:rPr>
            </w:r>
            <w:r>
              <w:rPr>
                <w:sz w:val="18"/>
              </w:rPr>
              <w:t>PARCIAL</w:t>
            </w:r>
          </w:p>
        </w:tc>
        <w:tc>
          <w:tcPr>
            <w:tcW w:type="dxa" w:w="1425"/>
          </w:tcPr>
          <w:p>
            <w:r>
              <w:rPr>
                <w:sz w:val="18"/>
              </w:rPr>
            </w:r>
            <w:r>
              <w:rPr>
                <w:sz w:val="18"/>
              </w:rPr>
              <w:t>Ao menos um acordo assinado ou cronograma datado por parceiro; comitê formal</w:t>
            </w:r>
          </w:p>
        </w:tc>
      </w:tr>
      <w:tr>
        <w:tc>
          <w:tcPr>
            <w:tcW w:type="dxa" w:w="1425"/>
          </w:tcPr>
          <w:p>
            <w:r>
              <w:rPr>
                <w:sz w:val="18"/>
              </w:rPr>
            </w:r>
            <w:r>
              <w:rPr>
                <w:sz w:val="18"/>
              </w:rPr>
              <w:t>6</w:t>
            </w:r>
          </w:p>
        </w:tc>
        <w:tc>
          <w:tcPr>
            <w:tcW w:type="dxa" w:w="1425"/>
          </w:tcPr>
          <w:p>
            <w:r>
              <w:rPr>
                <w:sz w:val="18"/>
              </w:rPr>
            </w:r>
            <w:r>
              <w:rPr>
                <w:sz w:val="18"/>
              </w:rPr>
              <w:t>Contrapartida assegurada legislativamente</w:t>
            </w:r>
          </w:p>
        </w:tc>
        <w:tc>
          <w:tcPr>
            <w:tcW w:type="dxa" w:w="1425"/>
          </w:tcPr>
          <w:p>
            <w:r>
              <w:rPr>
                <w:sz w:val="18"/>
              </w:rPr>
            </w:r>
            <w:r>
              <w:rPr>
                <w:sz w:val="18"/>
              </w:rPr>
              <w:t>Média</w:t>
            </w:r>
          </w:p>
        </w:tc>
        <w:tc>
          <w:tcPr>
            <w:tcW w:type="dxa" w:w="1425"/>
          </w:tcPr>
          <w:p>
            <w:r>
              <w:rPr>
                <w:sz w:val="18"/>
              </w:rPr>
            </w:r>
            <w:r>
              <w:rPr>
                <w:sz w:val="18"/>
              </w:rPr>
              <w:t>Sim</w:t>
            </w:r>
          </w:p>
        </w:tc>
        <w:tc>
          <w:tcPr>
            <w:tcW w:type="dxa" w:w="1425"/>
          </w:tcPr>
          <w:p>
            <w:r>
              <w:rPr>
                <w:sz w:val="18"/>
              </w:rPr>
            </w:r>
            <w:r>
              <w:rPr>
                <w:sz w:val="18"/>
              </w:rPr>
              <w:t>US$ 1 milhão por ano; menção ao capítulo do órgão no PPA estadual</w:t>
            </w:r>
          </w:p>
        </w:tc>
        <w:tc>
          <w:tcPr>
            <w:tcW w:type="dxa" w:w="1425"/>
          </w:tcPr>
          <w:p>
            <w:r>
              <w:rPr>
                <w:sz w:val="18"/>
              </w:rPr>
            </w:r>
            <w:r>
              <w:rPr>
                <w:sz w:val="18"/>
              </w:rPr>
              <w:t>PARCIAL</w:t>
            </w:r>
          </w:p>
        </w:tc>
        <w:tc>
          <w:tcPr>
            <w:tcW w:type="dxa" w:w="1425"/>
          </w:tcPr>
          <w:p>
            <w:r>
              <w:rPr>
                <w:sz w:val="18"/>
              </w:rPr>
            </w:r>
            <w:r>
              <w:rPr>
                <w:sz w:val="18"/>
              </w:rPr>
              <w:t>Linha da lei orçamentária e lei autorizativa da operação</w:t>
            </w:r>
          </w:p>
        </w:tc>
      </w:tr>
      <w:tr>
        <w:tc>
          <w:tcPr>
            <w:tcW w:type="dxa" w:w="1425"/>
          </w:tcPr>
          <w:p>
            <w:r>
              <w:rPr>
                <w:sz w:val="18"/>
              </w:rPr>
            </w:r>
            <w:r>
              <w:rPr>
                <w:sz w:val="18"/>
              </w:rPr>
              <w:t>10</w:t>
            </w:r>
          </w:p>
        </w:tc>
        <w:tc>
          <w:tcPr>
            <w:tcW w:type="dxa" w:w="1425"/>
          </w:tcPr>
          <w:p>
            <w:r>
              <w:rPr>
                <w:sz w:val="18"/>
              </w:rPr>
            </w:r>
            <w:r>
              <w:rPr>
                <w:sz w:val="18"/>
              </w:rPr>
              <w:t>Metas do Conselho Nacional de Justiça / Conselho Nacional do Ministério Público vinculantes</w:t>
            </w:r>
          </w:p>
        </w:tc>
        <w:tc>
          <w:tcPr>
            <w:tcW w:type="dxa" w:w="1425"/>
          </w:tcPr>
          <w:p>
            <w:r>
              <w:rPr>
                <w:sz w:val="18"/>
              </w:rPr>
            </w:r>
            <w:r>
              <w:rPr>
                <w:sz w:val="18"/>
              </w:rPr>
              <w:t>Média</w:t>
            </w:r>
          </w:p>
        </w:tc>
        <w:tc>
          <w:tcPr>
            <w:tcW w:type="dxa" w:w="1425"/>
          </w:tcPr>
          <w:p>
            <w:r>
              <w:rPr>
                <w:sz w:val="18"/>
              </w:rPr>
            </w:r>
            <w:r>
              <w:rPr>
                <w:sz w:val="18"/>
              </w:rPr>
              <w:t>Sim</w:t>
            </w:r>
          </w:p>
        </w:tc>
        <w:tc>
          <w:tcPr>
            <w:tcW w:type="dxa" w:w="1425"/>
          </w:tcPr>
          <w:p>
            <w:r>
              <w:rPr>
                <w:sz w:val="18"/>
              </w:rPr>
            </w:r>
            <w:r>
              <w:rPr>
                <w:sz w:val="18"/>
              </w:rPr>
              <w:t>Adesão ao planejamento estratégico nacional do Ministério Público citada; nenhum indicador nacional usado</w:t>
            </w:r>
          </w:p>
        </w:tc>
        <w:tc>
          <w:tcPr>
            <w:tcW w:type="dxa" w:w="1425"/>
          </w:tcPr>
          <w:p>
            <w:r>
              <w:rPr>
                <w:sz w:val="18"/>
              </w:rPr>
            </w:r>
            <w:r>
              <w:rPr>
                <w:sz w:val="18"/>
              </w:rPr>
              <w:t>AUSENTE</w:t>
            </w:r>
          </w:p>
        </w:tc>
        <w:tc>
          <w:tcPr>
            <w:tcW w:type="dxa" w:w="1425"/>
          </w:tcPr>
          <w:p>
            <w:r>
              <w:rPr>
                <w:sz w:val="18"/>
              </w:rPr>
            </w:r>
            <w:r>
              <w:rPr>
                <w:sz w:val="18"/>
              </w:rPr>
              <w:t>Usar ao menos um indicador nacional de referência com linha de base do órgão</w:t>
            </w:r>
          </w:p>
        </w:tc>
      </w:tr>
      <w:tr>
        <w:tc>
          <w:tcPr>
            <w:tcW w:type="dxa" w:w="1425"/>
          </w:tcPr>
          <w:p>
            <w:r>
              <w:rPr>
                <w:sz w:val="18"/>
              </w:rPr>
            </w:r>
            <w:r>
              <w:rPr>
                <w:sz w:val="18"/>
              </w:rPr>
              <w:t>29</w:t>
            </w:r>
          </w:p>
        </w:tc>
        <w:tc>
          <w:tcPr>
            <w:tcW w:type="dxa" w:w="1425"/>
          </w:tcPr>
          <w:p>
            <w:r>
              <w:rPr>
                <w:sz w:val="18"/>
              </w:rPr>
            </w:r>
            <w:r>
              <w:rPr>
                <w:sz w:val="18"/>
              </w:rPr>
              <w:t>Faixa ampla de meta</w:t>
            </w:r>
          </w:p>
        </w:tc>
        <w:tc>
          <w:tcPr>
            <w:tcW w:type="dxa" w:w="1425"/>
          </w:tcPr>
          <w:p>
            <w:r>
              <w:rPr>
                <w:sz w:val="18"/>
              </w:rPr>
            </w:r>
            <w:r>
              <w:rPr>
                <w:sz w:val="18"/>
              </w:rPr>
              <w:t>Média</w:t>
            </w:r>
          </w:p>
        </w:tc>
        <w:tc>
          <w:tcPr>
            <w:tcW w:type="dxa" w:w="1425"/>
          </w:tcPr>
          <w:p>
            <w:r>
              <w:rPr>
                <w:sz w:val="18"/>
              </w:rPr>
            </w:r>
            <w:r>
              <w:rPr>
                <w:sz w:val="18"/>
              </w:rPr>
              <w:t>Sim</w:t>
            </w:r>
          </w:p>
        </w:tc>
        <w:tc>
          <w:tcPr>
            <w:tcW w:type="dxa" w:w="1425"/>
          </w:tcPr>
          <w:p>
            <w:r>
              <w:rPr>
                <w:sz w:val="18"/>
              </w:rPr>
            </w:r>
            <w:r>
              <w:rPr>
                <w:sz w:val="18"/>
              </w:rPr>
              <w:t>Metas pontuais em todos os indicadores</w:t>
            </w:r>
          </w:p>
        </w:tc>
        <w:tc>
          <w:tcPr>
            <w:tcW w:type="dxa" w:w="1425"/>
          </w:tcPr>
          <w:p>
            <w:r>
              <w:rPr>
                <w:sz w:val="18"/>
              </w:rPr>
            </w:r>
            <w:r>
              <w:rPr>
                <w:sz w:val="18"/>
              </w:rPr>
              <w:t>RESPONDIDA</w:t>
            </w:r>
          </w:p>
        </w:tc>
        <w:tc>
          <w:tcPr>
            <w:tcW w:type="dxa" w:w="1425"/>
          </w:tcPr>
          <w:p>
            <w:r>
              <w:rPr>
                <w:sz w:val="18"/>
              </w:rPr>
            </w:r>
            <w:r>
              <w:rPr>
                <w:sz w:val="18"/>
              </w:rPr>
              <w:t>—</w:t>
            </w:r>
          </w:p>
        </w:tc>
      </w:tr>
      <w:tr>
        <w:tc>
          <w:tcPr>
            <w:tcW w:type="dxa" w:w="1425"/>
          </w:tcPr>
          <w:p>
            <w:r>
              <w:rPr>
                <w:sz w:val="18"/>
              </w:rPr>
            </w:r>
            <w:r>
              <w:rPr>
                <w:sz w:val="18"/>
              </w:rPr>
              <w:t>7</w:t>
            </w:r>
          </w:p>
        </w:tc>
        <w:tc>
          <w:tcPr>
            <w:tcW w:type="dxa" w:w="1425"/>
          </w:tcPr>
          <w:p>
            <w:r>
              <w:rPr>
                <w:sz w:val="18"/>
              </w:rPr>
            </w:r>
            <w:r>
              <w:rPr>
                <w:sz w:val="18"/>
              </w:rPr>
              <w:t>Licenciamento ambiental de componentes físicos</w:t>
            </w:r>
          </w:p>
        </w:tc>
        <w:tc>
          <w:tcPr>
            <w:tcW w:type="dxa" w:w="1425"/>
          </w:tcPr>
          <w:p>
            <w:r>
              <w:rPr>
                <w:sz w:val="18"/>
              </w:rPr>
            </w:r>
            <w:r>
              <w:rPr>
                <w:sz w:val="18"/>
              </w:rPr>
              <w:t>Baixa</w:t>
            </w:r>
          </w:p>
        </w:tc>
        <w:tc>
          <w:tcPr>
            <w:tcW w:type="dxa" w:w="1425"/>
          </w:tcPr>
          <w:p>
            <w:r>
              <w:rPr>
                <w:sz w:val="18"/>
              </w:rPr>
            </w:r>
            <w:r>
              <w:rPr>
                <w:sz w:val="18"/>
              </w:rPr>
              <w:t>Sim</w:t>
            </w:r>
          </w:p>
        </w:tc>
        <w:tc>
          <w:tcPr>
            <w:tcW w:type="dxa" w:w="1425"/>
          </w:tcPr>
          <w:p>
            <w:r>
              <w:rPr>
                <w:sz w:val="18"/>
              </w:rPr>
            </w:r>
            <w:r>
              <w:rPr>
                <w:sz w:val="18"/>
              </w:rPr>
              <w:t>Centro de dados contêiner, reformas e aquisição de imóvel sem situação de licenciamento</w:t>
            </w:r>
          </w:p>
        </w:tc>
        <w:tc>
          <w:tcPr>
            <w:tcW w:type="dxa" w:w="1425"/>
          </w:tcPr>
          <w:p>
            <w:r>
              <w:rPr>
                <w:sz w:val="18"/>
              </w:rPr>
            </w:r>
            <w:r>
              <w:rPr>
                <w:sz w:val="18"/>
              </w:rPr>
              <w:t>AUSENTE</w:t>
            </w:r>
          </w:p>
        </w:tc>
        <w:tc>
          <w:tcPr>
            <w:tcW w:type="dxa" w:w="1425"/>
          </w:tcPr>
          <w:p>
            <w:r>
              <w:rPr>
                <w:sz w:val="18"/>
              </w:rPr>
            </w:r>
            <w:r>
              <w:rPr>
                <w:sz w:val="18"/>
              </w:rPr>
              <w:t>Situação por obra e elegibilidade da compra de imóvel nas políticas do credor</w:t>
            </w:r>
          </w:p>
        </w:tc>
      </w:tr>
      <w:tr>
        <w:tc>
          <w:tcPr>
            <w:tcW w:type="dxa" w:w="1425"/>
          </w:tcPr>
          <w:p>
            <w:r>
              <w:rPr>
                <w:sz w:val="18"/>
              </w:rPr>
            </w:r>
            <w:r>
              <w:rPr>
                <w:sz w:val="18"/>
              </w:rPr>
              <w:t>8</w:t>
            </w:r>
          </w:p>
        </w:tc>
        <w:tc>
          <w:tcPr>
            <w:tcW w:type="dxa" w:w="1425"/>
          </w:tcPr>
          <w:p>
            <w:r>
              <w:rPr>
                <w:sz w:val="18"/>
              </w:rPr>
            </w:r>
            <w:r>
              <w:rPr>
                <w:sz w:val="18"/>
              </w:rPr>
              <w:t>Inclusão de populações vulneráveis</w:t>
            </w:r>
          </w:p>
        </w:tc>
        <w:tc>
          <w:tcPr>
            <w:tcW w:type="dxa" w:w="1425"/>
          </w:tcPr>
          <w:p>
            <w:r>
              <w:rPr>
                <w:sz w:val="18"/>
              </w:rPr>
            </w:r>
            <w:r>
              <w:rPr>
                <w:sz w:val="18"/>
              </w:rPr>
              <w:t>Baixa</w:t>
            </w:r>
          </w:p>
        </w:tc>
        <w:tc>
          <w:tcPr>
            <w:tcW w:type="dxa" w:w="1425"/>
          </w:tcPr>
          <w:p>
            <w:r>
              <w:rPr>
                <w:sz w:val="18"/>
              </w:rPr>
            </w:r>
            <w:r>
              <w:rPr>
                <w:sz w:val="18"/>
              </w:rPr>
              <w:t>Sim</w:t>
            </w:r>
          </w:p>
        </w:tc>
        <w:tc>
          <w:tcPr>
            <w:tcW w:type="dxa" w:w="1425"/>
          </w:tcPr>
          <w:p>
            <w:r>
              <w:rPr>
                <w:sz w:val="18"/>
              </w:rPr>
            </w:r>
            <w:r>
              <w:rPr>
                <w:sz w:val="18"/>
              </w:rPr>
              <w:t>Jovens periféricos e comunidades tradicionais citados como beneficiários</w:t>
            </w:r>
          </w:p>
        </w:tc>
        <w:tc>
          <w:tcPr>
            <w:tcW w:type="dxa" w:w="1425"/>
          </w:tcPr>
          <w:p>
            <w:r>
              <w:rPr>
                <w:sz w:val="18"/>
              </w:rPr>
            </w:r>
            <w:r>
              <w:rPr>
                <w:sz w:val="18"/>
              </w:rPr>
              <w:t>PARCIAL</w:t>
            </w:r>
          </w:p>
        </w:tc>
        <w:tc>
          <w:tcPr>
            <w:tcW w:type="dxa" w:w="1425"/>
          </w:tcPr>
          <w:p>
            <w:r>
              <w:rPr>
                <w:sz w:val="18"/>
              </w:rPr>
            </w:r>
            <w:r>
              <w:rPr>
                <w:sz w:val="18"/>
              </w:rPr>
              <w:t>Desagregar ao menos um indicador por território ou comunidade tradicional</w:t>
            </w:r>
          </w:p>
        </w:tc>
      </w:tr>
      <w:tr>
        <w:tc>
          <w:tcPr>
            <w:tcW w:type="dxa" w:w="1425"/>
          </w:tcPr>
          <w:p>
            <w:r>
              <w:rPr>
                <w:sz w:val="18"/>
              </w:rPr>
            </w:r>
            <w:r>
              <w:rPr>
                <w:sz w:val="18"/>
              </w:rPr>
              <w:t>11</w:t>
            </w:r>
          </w:p>
        </w:tc>
        <w:tc>
          <w:tcPr>
            <w:tcW w:type="dxa" w:w="1425"/>
          </w:tcPr>
          <w:p>
            <w:r>
              <w:rPr>
                <w:sz w:val="18"/>
              </w:rPr>
            </w:r>
            <w:r>
              <w:rPr>
                <w:sz w:val="18"/>
              </w:rPr>
              <w:t>Migração e interoperabilidade de sistemas legados</w:t>
            </w:r>
          </w:p>
        </w:tc>
        <w:tc>
          <w:tcPr>
            <w:tcW w:type="dxa" w:w="1425"/>
          </w:tcPr>
          <w:p>
            <w:r>
              <w:rPr>
                <w:sz w:val="18"/>
              </w:rPr>
            </w:r>
            <w:r>
              <w:rPr>
                <w:sz w:val="18"/>
              </w:rPr>
              <w:t>Baixa</w:t>
            </w:r>
          </w:p>
        </w:tc>
        <w:tc>
          <w:tcPr>
            <w:tcW w:type="dxa" w:w="1425"/>
          </w:tcPr>
          <w:p>
            <w:r>
              <w:rPr>
                <w:sz w:val="18"/>
              </w:rPr>
            </w:r>
            <w:r>
              <w:rPr>
                <w:sz w:val="18"/>
              </w:rPr>
              <w:t>Sim</w:t>
            </w:r>
          </w:p>
        </w:tc>
        <w:tc>
          <w:tcPr>
            <w:tcW w:type="dxa" w:w="1425"/>
          </w:tcPr>
          <w:p>
            <w:r>
              <w:rPr>
                <w:sz w:val="18"/>
              </w:rPr>
            </w:r>
            <w:r>
              <w:rPr>
                <w:sz w:val="18"/>
              </w:rPr>
              <w:t>Diagnóstico, roteiro de modernização, prova de conceito e integração com o processo judicial eletrônico do tribunal</w:t>
            </w:r>
          </w:p>
        </w:tc>
        <w:tc>
          <w:tcPr>
            <w:tcW w:type="dxa" w:w="1425"/>
          </w:tcPr>
          <w:p>
            <w:r>
              <w:rPr>
                <w:sz w:val="18"/>
              </w:rPr>
            </w:r>
            <w:r>
              <w:rPr>
                <w:sz w:val="18"/>
              </w:rPr>
              <w:t>RESPONDIDA</w:t>
            </w:r>
          </w:p>
        </w:tc>
        <w:tc>
          <w:tcPr>
            <w:tcW w:type="dxa" w:w="1425"/>
          </w:tcPr>
          <w:p>
            <w:r>
              <w:rPr>
                <w:sz w:val="18"/>
              </w:rPr>
            </w:r>
            <w:r>
              <w:rPr>
                <w:sz w:val="18"/>
              </w:rPr>
              <w:t>Inventário dos sistemas no anexo</w:t>
            </w:r>
          </w:p>
        </w:tc>
      </w:tr>
    </w:tbl>
    <w:p/>
    <w:p>
      <w:r>
        <w:t>Contagem: RESPONDIDAS 2 / APLICÁVEIS 12. Taxa de blindagem: 17% (mais 7 parciais e 3 ausentes). Não se aplicam: perguntas de repasse (12, 13, 20, 30), conectividade (14, 15), reestruturação de dívida (21), classificação como meta (22), garantia/PPP (24, 28), clusters de desastre e multi-tranche (25, 26), salvaguarda de violência de gênero (27), programa social (31). Perguntas de iteração (16 a 18): aplicáveis só se houver reenvio após reunião (status desconhecido).</w:t>
      </w:r>
    </w:p>
    <w:p>
      <w:pPr>
        <w:pStyle w:val="Heading1"/>
      </w:pPr>
      <w:r>
        <w:t>8. Revisão Sênior de Banco Multilateral de Desenvolvimento</w:t>
      </w:r>
    </w:p>
    <w:p>
      <w:r>
        <w:rPr>
          <w:b/>
        </w:rPr>
        <w:t>Itens A.1 a A.6</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864"/>
          </w:tcPr>
          <w:p>
            <w:r>
              <w:rPr>
                <w:sz w:val="18"/>
              </w:rPr>
            </w:r>
            <w:r>
              <w:rPr>
                <w:b/>
                <w:color w:val="FFFFFF"/>
                <w:sz w:val="18"/>
              </w:rPr>
              <w:t>Item</w:t>
            </w:r>
          </w:p>
        </w:tc>
        <w:tc>
          <w:tcPr>
            <w:tcW w:type="dxa" w:w="2493"/>
            <w:shd w:val="clear" w:color="auto" w:fill="1F3864"/>
          </w:tcPr>
          <w:p>
            <w:r>
              <w:rPr>
                <w:sz w:val="18"/>
              </w:rPr>
            </w:r>
            <w:r>
              <w:rPr>
                <w:b/>
                <w:color w:val="FFFFFF"/>
                <w:sz w:val="18"/>
              </w:rPr>
              <w:t>Classificação</w:t>
            </w:r>
          </w:p>
        </w:tc>
        <w:tc>
          <w:tcPr>
            <w:tcW w:type="dxa" w:w="2493"/>
            <w:shd w:val="clear" w:color="auto" w:fill="1F3864"/>
          </w:tcPr>
          <w:p>
            <w:r>
              <w:rPr>
                <w:sz w:val="18"/>
              </w:rPr>
            </w:r>
            <w:r>
              <w:rPr>
                <w:b/>
                <w:color w:val="FFFFFF"/>
                <w:sz w:val="18"/>
              </w:rPr>
              <w:t>Evidência</w:t>
            </w:r>
          </w:p>
        </w:tc>
        <w:tc>
          <w:tcPr>
            <w:tcW w:type="dxa" w:w="2493"/>
            <w:shd w:val="clear" w:color="auto" w:fill="1F3864"/>
          </w:tcPr>
          <w:p>
            <w:r>
              <w:rPr>
                <w:sz w:val="18"/>
              </w:rPr>
            </w:r>
            <w:r>
              <w:rPr>
                <w:b/>
                <w:color w:val="FFFFFF"/>
                <w:sz w:val="18"/>
              </w:rPr>
              <w:t>Lacuna principal</w:t>
            </w:r>
          </w:p>
        </w:tc>
      </w:tr>
      <w:tr>
        <w:tc>
          <w:tcPr>
            <w:tcW w:type="dxa" w:w="2493"/>
          </w:tcPr>
          <w:p>
            <w:r>
              <w:rPr>
                <w:sz w:val="18"/>
              </w:rPr>
            </w:r>
            <w:r>
              <w:rPr>
                <w:sz w:val="18"/>
              </w:rPr>
              <w:t>A.1 Teoria da Mudança</w:t>
            </w:r>
          </w:p>
        </w:tc>
        <w:tc>
          <w:tcPr>
            <w:tcW w:type="dxa" w:w="2493"/>
          </w:tcPr>
          <w:p>
            <w:r>
              <w:rPr>
                <w:sz w:val="18"/>
              </w:rPr>
            </w:r>
            <w:r>
              <w:rPr>
                <w:sz w:val="18"/>
              </w:rPr>
              <w:t>ADEQUADO</w:t>
            </w:r>
          </w:p>
        </w:tc>
        <w:tc>
          <w:tcPr>
            <w:tcW w:type="dxa" w:w="2493"/>
          </w:tcPr>
          <w:p>
            <w:r>
              <w:rPr>
                <w:sz w:val="18"/>
              </w:rPr>
            </w:r>
            <w:r>
              <w:rPr>
                <w:sz w:val="18"/>
              </w:rPr>
              <w:t>Problema geral (enfraquecimento do Estado de Direito) desdobrado em 4 problemas, 4 soluções, 4 objetivos específicos e indicadores vinculados a cada objetivo</w:t>
            </w:r>
          </w:p>
        </w:tc>
        <w:tc>
          <w:tcPr>
            <w:tcW w:type="dxa" w:w="2493"/>
          </w:tcPr>
          <w:p>
            <w:r>
              <w:rPr>
                <w:sz w:val="18"/>
              </w:rPr>
            </w:r>
            <w:r>
              <w:rPr>
                <w:sz w:val="18"/>
              </w:rPr>
              <w:t>Sem elo quantificado entre persecução patrimonial e redução de crimes; sem contrafactual nem premissas testáveis</w:t>
            </w:r>
          </w:p>
        </w:tc>
      </w:tr>
      <w:tr>
        <w:tc>
          <w:tcPr>
            <w:tcW w:type="dxa" w:w="2493"/>
          </w:tcPr>
          <w:p>
            <w:r>
              <w:rPr>
                <w:sz w:val="18"/>
              </w:rPr>
            </w:r>
            <w:r>
              <w:rPr>
                <w:sz w:val="18"/>
              </w:rPr>
              <w:t>A.2 Marco de Resultados</w:t>
            </w:r>
          </w:p>
        </w:tc>
        <w:tc>
          <w:tcPr>
            <w:tcW w:type="dxa" w:w="2493"/>
          </w:tcPr>
          <w:p>
            <w:r>
              <w:rPr>
                <w:sz w:val="18"/>
              </w:rPr>
            </w:r>
            <w:r>
              <w:rPr>
                <w:sz w:val="18"/>
              </w:rPr>
              <w:t>ADEQUADO</w:t>
            </w:r>
          </w:p>
        </w:tc>
        <w:tc>
          <w:tcPr>
            <w:tcW w:type="dxa" w:w="2493"/>
          </w:tcPr>
          <w:p>
            <w:r>
              <w:rPr>
                <w:sz w:val="18"/>
              </w:rPr>
            </w:r>
            <w:r>
              <w:rPr>
                <w:sz w:val="18"/>
              </w:rPr>
              <w:t>9 indicadores com fórmula, unidade, linha de base e metas anuais; 3 com linha de base medida (30 dias; R$ 1,6 milhão; 8,21%)</w:t>
            </w:r>
          </w:p>
        </w:tc>
        <w:tc>
          <w:tcPr>
            <w:tcW w:type="dxa" w:w="2493"/>
          </w:tcPr>
          <w:p>
            <w:r>
              <w:rPr>
                <w:sz w:val="18"/>
              </w:rPr>
            </w:r>
            <w:r>
              <w:rPr>
                <w:sz w:val="18"/>
              </w:rPr>
              <w:t>Sem fonte de verificação no texto; metas em 'Ano 2 a 5' em vez de anos civis; 6 de 9 com linha de base zero por construção; indicador 5 chamado de 'valor médio' na seção 2 e de 'mediana' na seção 1.4</w:t>
            </w:r>
          </w:p>
        </w:tc>
      </w:tr>
      <w:tr>
        <w:tc>
          <w:tcPr>
            <w:tcW w:type="dxa" w:w="2493"/>
          </w:tcPr>
          <w:p>
            <w:r>
              <w:rPr>
                <w:sz w:val="18"/>
              </w:rPr>
            </w:r>
            <w:r>
              <w:rPr>
                <w:sz w:val="18"/>
              </w:rPr>
              <w:t>A.3 Avaliação de Riscos</w:t>
            </w:r>
          </w:p>
        </w:tc>
        <w:tc>
          <w:tcPr>
            <w:tcW w:type="dxa" w:w="2493"/>
          </w:tcPr>
          <w:p>
            <w:r>
              <w:rPr>
                <w:sz w:val="18"/>
              </w:rPr>
            </w:r>
            <w:r>
              <w:rPr>
                <w:sz w:val="18"/>
              </w:rPr>
              <w:t>ADEQUADO</w:t>
            </w:r>
          </w:p>
        </w:tc>
        <w:tc>
          <w:tcPr>
            <w:tcW w:type="dxa" w:w="2493"/>
          </w:tcPr>
          <w:p>
            <w:r>
              <w:rPr>
                <w:sz w:val="18"/>
              </w:rPr>
            </w:r>
            <w:r>
              <w:rPr>
                <w:sz w:val="18"/>
              </w:rPr>
              <w:t>13 riscos com impacto, probabilidade e mitigação, incluindo cibersegurança, legado, adesão e obsolescência</w:t>
            </w:r>
          </w:p>
        </w:tc>
        <w:tc>
          <w:tcPr>
            <w:tcW w:type="dxa" w:w="2493"/>
          </w:tcPr>
          <w:p>
            <w:r>
              <w:rPr>
                <w:sz w:val="18"/>
              </w:rPr>
            </w:r>
            <w:r>
              <w:rPr>
                <w:sz w:val="18"/>
              </w:rPr>
              <w:t>Sem responsável e prazo; ausentes os riscos de autonomia do órgão versus Executivo, espaço fiscal e proteção de dados no compartilhamento com órgãos de inteligência</w:t>
            </w:r>
          </w:p>
        </w:tc>
      </w:tr>
      <w:tr>
        <w:tc>
          <w:tcPr>
            <w:tcW w:type="dxa" w:w="2493"/>
          </w:tcPr>
          <w:p>
            <w:r>
              <w:rPr>
                <w:sz w:val="18"/>
              </w:rPr>
            </w:r>
            <w:r>
              <w:rPr>
                <w:sz w:val="18"/>
              </w:rPr>
              <w:t>A.4 Arranjos de Implementação</w:t>
            </w:r>
          </w:p>
        </w:tc>
        <w:tc>
          <w:tcPr>
            <w:tcW w:type="dxa" w:w="2493"/>
          </w:tcPr>
          <w:p>
            <w:r>
              <w:rPr>
                <w:sz w:val="18"/>
              </w:rPr>
            </w:r>
            <w:r>
              <w:rPr>
                <w:sz w:val="18"/>
              </w:rPr>
              <w:t>ADEQUADO</w:t>
            </w:r>
          </w:p>
        </w:tc>
        <w:tc>
          <w:tcPr>
            <w:tcW w:type="dxa" w:w="2493"/>
          </w:tcPr>
          <w:p>
            <w:r>
              <w:rPr>
                <w:sz w:val="18"/>
              </w:rPr>
            </w:r>
            <w:r>
              <w:rPr>
                <w:sz w:val="18"/>
              </w:rPr>
              <w:t>Unidade gestora com coordenadorias definidas; coordenação de tecnologia com cerca de 61 profissionais; histórico de convênios e operação com a Caixa</w:t>
            </w:r>
          </w:p>
        </w:tc>
        <w:tc>
          <w:tcPr>
            <w:tcW w:type="dxa" w:w="2493"/>
          </w:tcPr>
          <w:p>
            <w:r>
              <w:rPr>
                <w:sz w:val="18"/>
              </w:rPr>
            </w:r>
            <w:r>
              <w:rPr>
                <w:sz w:val="18"/>
              </w:rPr>
              <w:t>Unidade gestora ainda a criar; sem experiência prévia do órgão com banco multilateral</w:t>
            </w:r>
          </w:p>
        </w:tc>
      </w:tr>
      <w:tr>
        <w:tc>
          <w:tcPr>
            <w:tcW w:type="dxa" w:w="2493"/>
          </w:tcPr>
          <w:p>
            <w:r>
              <w:rPr>
                <w:sz w:val="18"/>
              </w:rPr>
            </w:r>
            <w:r>
              <w:rPr>
                <w:sz w:val="18"/>
              </w:rPr>
              <w:t>A.5 Sustentabilidade Financeira</w:t>
            </w:r>
          </w:p>
        </w:tc>
        <w:tc>
          <w:tcPr>
            <w:tcW w:type="dxa" w:w="2493"/>
          </w:tcPr>
          <w:p>
            <w:r>
              <w:rPr>
                <w:sz w:val="18"/>
              </w:rPr>
            </w:r>
            <w:r>
              <w:rPr>
                <w:sz w:val="18"/>
              </w:rPr>
              <w:t>FRACO</w:t>
            </w:r>
          </w:p>
        </w:tc>
        <w:tc>
          <w:tcPr>
            <w:tcW w:type="dxa" w:w="2493"/>
          </w:tcPr>
          <w:p>
            <w:r>
              <w:rPr>
                <w:sz w:val="18"/>
              </w:rPr>
            </w:r>
            <w:r>
              <w:rPr>
                <w:sz w:val="18"/>
              </w:rPr>
              <w:t>Orçamento anual e custeio de tecnologia de R$ 30 milhões citados; afirmação de redução futura de licenças</w:t>
            </w:r>
          </w:p>
        </w:tc>
        <w:tc>
          <w:tcPr>
            <w:tcW w:type="dxa" w:w="2493"/>
          </w:tcPr>
          <w:p>
            <w:r>
              <w:rPr>
                <w:sz w:val="18"/>
              </w:rPr>
            </w:r>
            <w:r>
              <w:rPr>
                <w:sz w:val="18"/>
              </w:rPr>
              <w:t>Nenhum custo pós-projeto quantificado; centro de dados e local de contingência sem estimativa de custeio</w:t>
            </w:r>
          </w:p>
        </w:tc>
      </w:tr>
      <w:tr>
        <w:tc>
          <w:tcPr>
            <w:tcW w:type="dxa" w:w="2493"/>
          </w:tcPr>
          <w:p>
            <w:r>
              <w:rPr>
                <w:sz w:val="18"/>
              </w:rPr>
            </w:r>
            <w:r>
              <w:rPr>
                <w:sz w:val="18"/>
              </w:rPr>
              <w:t>A.6 Lente de Área Estratégica</w:t>
            </w:r>
          </w:p>
        </w:tc>
        <w:tc>
          <w:tcPr>
            <w:tcW w:type="dxa" w:w="2493"/>
          </w:tcPr>
          <w:p>
            <w:r>
              <w:rPr>
                <w:sz w:val="18"/>
              </w:rPr>
            </w:r>
            <w:r>
              <w:rPr>
                <w:sz w:val="18"/>
              </w:rPr>
              <w:t>B / C / D / D</w:t>
            </w:r>
          </w:p>
        </w:tc>
        <w:tc>
          <w:tcPr>
            <w:tcW w:type="dxa" w:w="2493"/>
          </w:tcPr>
          <w:p>
            <w:r>
              <w:rPr>
                <w:sz w:val="18"/>
              </w:rPr>
            </w:r>
            <w:r>
              <w:rPr>
                <w:sz w:val="18"/>
              </w:rPr>
              <w:t>Soma esperada 7,00 (Área 112 B; 303 C; 307 D; 201 D)</w:t>
            </w:r>
          </w:p>
        </w:tc>
        <w:tc>
          <w:tcPr>
            <w:tcW w:type="dxa" w:w="2493"/>
          </w:tcPr>
          <w:p>
            <w:r>
              <w:rPr>
                <w:sz w:val="18"/>
              </w:rPr>
            </w:r>
            <w:r>
              <w:rPr>
                <w:sz w:val="18"/>
              </w:rPr>
              <w:t>Área de maior alavanca: 112 de B para A (impacto excepcional quantificado e mais de dois terços dos recursos)</w:t>
            </w:r>
          </w:p>
        </w:tc>
      </w:tr>
    </w:tbl>
    <w:p/>
    <w:p>
      <w:r>
        <w:t>Prontidão geral para banco multilateral de desenvolvimento: CONDICIONALMENTE PRONTO.</w:t>
      </w:r>
    </w:p>
    <w:p>
      <w:r>
        <w:rPr>
          <w:b/>
        </w:rPr>
        <w:t>A.6 — Lente de pontuação da Área Estratégica (oito quesitos)</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color="auto" w:fill="1F3864"/>
          </w:tcPr>
          <w:p>
            <w:r>
              <w:rPr>
                <w:sz w:val="18"/>
              </w:rPr>
            </w:r>
            <w:r>
              <w:rPr>
                <w:b/>
                <w:color w:val="FFFFFF"/>
                <w:sz w:val="18"/>
              </w:rPr>
              <w:t>Área (código PPA)</w:t>
            </w:r>
          </w:p>
        </w:tc>
        <w:tc>
          <w:tcPr>
            <w:tcW w:type="dxa" w:w="997"/>
            <w:shd w:val="clear" w:color="auto" w:fill="1F3864"/>
          </w:tcPr>
          <w:p>
            <w:r>
              <w:rPr>
                <w:sz w:val="18"/>
              </w:rPr>
            </w:r>
            <w:r>
              <w:rPr>
                <w:b/>
                <w:color w:val="FFFFFF"/>
                <w:sz w:val="18"/>
              </w:rPr>
              <w:t>Objetivo geral</w:t>
            </w:r>
          </w:p>
        </w:tc>
        <w:tc>
          <w:tcPr>
            <w:tcW w:type="dxa" w:w="997"/>
            <w:shd w:val="clear" w:color="auto" w:fill="1F3864"/>
          </w:tcPr>
          <w:p>
            <w:r>
              <w:rPr>
                <w:sz w:val="18"/>
              </w:rPr>
            </w:r>
            <w:r>
              <w:rPr>
                <w:b/>
                <w:color w:val="FFFFFF"/>
                <w:sz w:val="18"/>
              </w:rPr>
              <w:t>Objetivo específico próprio</w:t>
            </w:r>
          </w:p>
        </w:tc>
        <w:tc>
          <w:tcPr>
            <w:tcW w:type="dxa" w:w="997"/>
            <w:shd w:val="clear" w:color="auto" w:fill="1F3864"/>
          </w:tcPr>
          <w:p>
            <w:r>
              <w:rPr>
                <w:sz w:val="18"/>
              </w:rPr>
            </w:r>
            <w:r>
              <w:rPr>
                <w:b/>
                <w:color w:val="FFFFFF"/>
                <w:sz w:val="18"/>
              </w:rPr>
              <w:t>Produto próprio</w:t>
            </w:r>
          </w:p>
        </w:tc>
        <w:tc>
          <w:tcPr>
            <w:tcW w:type="dxa" w:w="997"/>
            <w:shd w:val="clear" w:color="auto" w:fill="1F3864"/>
          </w:tcPr>
          <w:p>
            <w:r>
              <w:rPr>
                <w:sz w:val="18"/>
              </w:rPr>
            </w:r>
            <w:r>
              <w:rPr>
                <w:b/>
                <w:color w:val="FFFFFF"/>
                <w:sz w:val="18"/>
              </w:rPr>
              <w:t>Indicador de resultado com ano-meta</w:t>
            </w:r>
          </w:p>
        </w:tc>
        <w:tc>
          <w:tcPr>
            <w:tcW w:type="dxa" w:w="997"/>
            <w:shd w:val="clear" w:color="auto" w:fill="1F3864"/>
          </w:tcPr>
          <w:p>
            <w:r>
              <w:rPr>
                <w:sz w:val="18"/>
              </w:rPr>
            </w:r>
            <w:r>
              <w:rPr>
                <w:b/>
                <w:color w:val="FFFFFF"/>
                <w:sz w:val="18"/>
              </w:rPr>
              <w:t>% do orçamento</w:t>
            </w:r>
          </w:p>
        </w:tc>
        <w:tc>
          <w:tcPr>
            <w:tcW w:type="dxa" w:w="997"/>
            <w:shd w:val="clear" w:color="auto" w:fill="1F3864"/>
          </w:tcPr>
          <w:p>
            <w:r>
              <w:rPr>
                <w:sz w:val="18"/>
              </w:rPr>
            </w:r>
            <w:r>
              <w:rPr>
                <w:b/>
                <w:color w:val="FFFFFF"/>
                <w:sz w:val="18"/>
              </w:rPr>
              <w:t>Impacto</w:t>
            </w:r>
          </w:p>
        </w:tc>
        <w:tc>
          <w:tcPr>
            <w:tcW w:type="dxa" w:w="997"/>
            <w:shd w:val="clear" w:color="auto" w:fill="1F3864"/>
          </w:tcPr>
          <w:p>
            <w:r>
              <w:rPr>
                <w:sz w:val="18"/>
              </w:rPr>
            </w:r>
            <w:r>
              <w:rPr>
                <w:b/>
                <w:color w:val="FFFFFF"/>
                <w:sz w:val="18"/>
              </w:rPr>
              <w:t>Inovação</w:t>
            </w:r>
          </w:p>
        </w:tc>
        <w:tc>
          <w:tcPr>
            <w:tcW w:type="dxa" w:w="997"/>
            <w:shd w:val="clear" w:color="auto" w:fill="1F3864"/>
          </w:tcPr>
          <w:p>
            <w:r>
              <w:rPr>
                <w:sz w:val="18"/>
              </w:rPr>
            </w:r>
            <w:r>
              <w:rPr>
                <w:b/>
                <w:color w:val="FFFFFF"/>
                <w:sz w:val="18"/>
              </w:rPr>
              <w:t>Nível estimado</w:t>
            </w:r>
          </w:p>
        </w:tc>
        <w:tc>
          <w:tcPr>
            <w:tcW w:type="dxa" w:w="997"/>
            <w:shd w:val="clear" w:color="auto" w:fill="1F3864"/>
          </w:tcPr>
          <w:p>
            <w:r>
              <w:rPr>
                <w:sz w:val="18"/>
              </w:rPr>
            </w:r>
            <w:r>
              <w:rPr>
                <w:b/>
                <w:color w:val="FFFFFF"/>
                <w:sz w:val="18"/>
              </w:rPr>
              <w:t>Degrau que falta</w:t>
            </w:r>
          </w:p>
        </w:tc>
      </w:tr>
      <w:tr>
        <w:tc>
          <w:tcPr>
            <w:tcW w:type="dxa" w:w="997"/>
          </w:tcPr>
          <w:p>
            <w:r>
              <w:rPr>
                <w:sz w:val="18"/>
              </w:rPr>
            </w:r>
            <w:r>
              <w:rPr>
                <w:sz w:val="18"/>
              </w:rPr>
              <w:t>112</w:t>
            </w:r>
          </w:p>
        </w:tc>
        <w:tc>
          <w:tcPr>
            <w:tcW w:type="dxa" w:w="997"/>
          </w:tcPr>
          <w:p>
            <w:r>
              <w:rPr>
                <w:sz w:val="18"/>
              </w:rPr>
            </w:r>
            <w:r>
              <w:rPr>
                <w:sz w:val="18"/>
              </w:rPr>
              <w:t>direto</w:t>
            </w:r>
          </w:p>
        </w:tc>
        <w:tc>
          <w:tcPr>
            <w:tcW w:type="dxa" w:w="997"/>
          </w:tcPr>
          <w:p>
            <w:r>
              <w:rPr>
                <w:sz w:val="18"/>
              </w:rPr>
            </w:r>
            <w:r>
              <w:rPr>
                <w:sz w:val="18"/>
              </w:rPr>
              <w:t>sim (objetivo 3)</w:t>
            </w:r>
          </w:p>
        </w:tc>
        <w:tc>
          <w:tcPr>
            <w:tcW w:type="dxa" w:w="997"/>
          </w:tcPr>
          <w:p>
            <w:r>
              <w:rPr>
                <w:sz w:val="18"/>
              </w:rPr>
            </w:r>
            <w:r>
              <w:rPr>
                <w:sz w:val="18"/>
              </w:rPr>
              <w:t>sim (núcleos de persecução patrimonial)</w:t>
            </w:r>
          </w:p>
        </w:tc>
        <w:tc>
          <w:tcPr>
            <w:tcW w:type="dxa" w:w="997"/>
          </w:tcPr>
          <w:p>
            <w:r>
              <w:rPr>
                <w:sz w:val="18"/>
              </w:rPr>
            </w:r>
            <w:r>
              <w:rPr>
                <w:sz w:val="18"/>
              </w:rPr>
              <w:t>sim (3, em anos de projeto)</w:t>
            </w:r>
          </w:p>
        </w:tc>
        <w:tc>
          <w:tcPr>
            <w:tcW w:type="dxa" w:w="997"/>
          </w:tcPr>
          <w:p>
            <w:r>
              <w:rPr>
                <w:sz w:val="18"/>
              </w:rPr>
            </w:r>
            <w:r>
              <w:rPr>
                <w:sz w:val="18"/>
              </w:rPr>
              <w:t>50%</w:t>
            </w:r>
          </w:p>
        </w:tc>
        <w:tc>
          <w:tcPr>
            <w:tcW w:type="dxa" w:w="997"/>
          </w:tcPr>
          <w:p>
            <w:r>
              <w:rPr>
                <w:sz w:val="18"/>
              </w:rPr>
            </w:r>
            <w:r>
              <w:rPr>
                <w:sz w:val="18"/>
              </w:rPr>
              <w:t>alto</w:t>
            </w:r>
          </w:p>
        </w:tc>
        <w:tc>
          <w:tcPr>
            <w:tcW w:type="dxa" w:w="997"/>
          </w:tcPr>
          <w:p>
            <w:r>
              <w:rPr>
                <w:sz w:val="18"/>
              </w:rPr>
            </w:r>
            <w:r>
              <w:rPr>
                <w:sz w:val="18"/>
              </w:rPr>
              <w:t>sim</w:t>
            </w:r>
          </w:p>
        </w:tc>
        <w:tc>
          <w:tcPr>
            <w:tcW w:type="dxa" w:w="997"/>
          </w:tcPr>
          <w:p>
            <w:r>
              <w:rPr>
                <w:sz w:val="18"/>
              </w:rPr>
            </w:r>
            <w:r>
              <w:rPr>
                <w:sz w:val="18"/>
              </w:rPr>
              <w:t>B</w:t>
            </w:r>
          </w:p>
        </w:tc>
        <w:tc>
          <w:tcPr>
            <w:tcW w:type="dxa" w:w="997"/>
          </w:tcPr>
          <w:p>
            <w:r>
              <w:rPr>
                <w:sz w:val="18"/>
              </w:rPr>
            </w:r>
            <w:r>
              <w:rPr>
                <w:sz w:val="18"/>
              </w:rPr>
              <w:t>Para A: recursos acima de cerca de 67%, impacto 'excepcional' quantificado (valor devolvido ao erário, participação no total estadual) e inovação com referência de pioneirismo</w:t>
            </w:r>
          </w:p>
        </w:tc>
      </w:tr>
      <w:tr>
        <w:tc>
          <w:tcPr>
            <w:tcW w:type="dxa" w:w="997"/>
          </w:tcPr>
          <w:p>
            <w:r>
              <w:rPr>
                <w:sz w:val="18"/>
              </w:rPr>
            </w:r>
            <w:r>
              <w:rPr>
                <w:sz w:val="18"/>
              </w:rPr>
              <w:t>303</w:t>
            </w:r>
          </w:p>
        </w:tc>
        <w:tc>
          <w:tcPr>
            <w:tcW w:type="dxa" w:w="997"/>
          </w:tcPr>
          <w:p>
            <w:r>
              <w:rPr>
                <w:sz w:val="18"/>
              </w:rPr>
            </w:r>
            <w:r>
              <w:rPr>
                <w:sz w:val="18"/>
              </w:rPr>
              <w:t>relevante</w:t>
            </w:r>
          </w:p>
        </w:tc>
        <w:tc>
          <w:tcPr>
            <w:tcW w:type="dxa" w:w="997"/>
          </w:tcPr>
          <w:p>
            <w:r>
              <w:rPr>
                <w:sz w:val="18"/>
              </w:rPr>
            </w:r>
            <w:r>
              <w:rPr>
                <w:sz w:val="18"/>
              </w:rPr>
              <w:t>sim (objetivo 2)</w:t>
            </w:r>
          </w:p>
        </w:tc>
        <w:tc>
          <w:tcPr>
            <w:tcW w:type="dxa" w:w="997"/>
          </w:tcPr>
          <w:p>
            <w:r>
              <w:rPr>
                <w:sz w:val="18"/>
              </w:rPr>
            </w:r>
            <w:r>
              <w:rPr>
                <w:sz w:val="18"/>
              </w:rPr>
              <w:t>sim (modernização de sistemas e infraestrutura)</w:t>
            </w:r>
          </w:p>
        </w:tc>
        <w:tc>
          <w:tcPr>
            <w:tcW w:type="dxa" w:w="997"/>
          </w:tcPr>
          <w:p>
            <w:r>
              <w:rPr>
                <w:sz w:val="18"/>
              </w:rPr>
            </w:r>
            <w:r>
              <w:rPr>
                <w:sz w:val="18"/>
              </w:rPr>
              <w:t>sim (1)</w:t>
            </w:r>
          </w:p>
        </w:tc>
        <w:tc>
          <w:tcPr>
            <w:tcW w:type="dxa" w:w="997"/>
          </w:tcPr>
          <w:p>
            <w:r>
              <w:rPr>
                <w:sz w:val="18"/>
              </w:rPr>
            </w:r>
            <w:r>
              <w:rPr>
                <w:sz w:val="18"/>
              </w:rPr>
              <w:t>25%</w:t>
            </w:r>
          </w:p>
        </w:tc>
        <w:tc>
          <w:tcPr>
            <w:tcW w:type="dxa" w:w="997"/>
          </w:tcPr>
          <w:p>
            <w:r>
              <w:rPr>
                <w:sz w:val="18"/>
              </w:rPr>
            </w:r>
            <w:r>
              <w:rPr>
                <w:sz w:val="18"/>
              </w:rPr>
              <w:t>moderado</w:t>
            </w:r>
          </w:p>
        </w:tc>
        <w:tc>
          <w:tcPr>
            <w:tcW w:type="dxa" w:w="997"/>
          </w:tcPr>
          <w:p>
            <w:r>
              <w:rPr>
                <w:sz w:val="18"/>
              </w:rPr>
            </w:r>
            <w:r>
              <w:rPr>
                <w:sz w:val="18"/>
              </w:rPr>
              <w:t>não</w:t>
            </w:r>
          </w:p>
        </w:tc>
        <w:tc>
          <w:tcPr>
            <w:tcW w:type="dxa" w:w="997"/>
          </w:tcPr>
          <w:p>
            <w:r>
              <w:rPr>
                <w:sz w:val="18"/>
              </w:rPr>
            </w:r>
            <w:r>
              <w:rPr>
                <w:sz w:val="18"/>
              </w:rPr>
              <w:t>C</w:t>
            </w:r>
          </w:p>
        </w:tc>
        <w:tc>
          <w:tcPr>
            <w:tcW w:type="dxa" w:w="997"/>
          </w:tcPr>
          <w:p>
            <w:r>
              <w:rPr>
                <w:sz w:val="18"/>
              </w:rPr>
            </w:r>
            <w:r>
              <w:rPr>
                <w:sz w:val="18"/>
              </w:rPr>
              <w:t>Para B: passar de 30% do orçamento e medir efeito ao cidadão (tempo de tramitação)</w:t>
            </w:r>
          </w:p>
        </w:tc>
      </w:tr>
      <w:tr>
        <w:tc>
          <w:tcPr>
            <w:tcW w:type="dxa" w:w="997"/>
          </w:tcPr>
          <w:p>
            <w:r>
              <w:rPr>
                <w:sz w:val="18"/>
              </w:rPr>
            </w:r>
            <w:r>
              <w:rPr>
                <w:sz w:val="18"/>
              </w:rPr>
              <w:t>307</w:t>
            </w:r>
          </w:p>
        </w:tc>
        <w:tc>
          <w:tcPr>
            <w:tcW w:type="dxa" w:w="997"/>
          </w:tcPr>
          <w:p>
            <w:r>
              <w:rPr>
                <w:sz w:val="18"/>
              </w:rPr>
            </w:r>
            <w:r>
              <w:rPr>
                <w:sz w:val="18"/>
              </w:rPr>
              <w:t>indireto</w:t>
            </w:r>
          </w:p>
        </w:tc>
        <w:tc>
          <w:tcPr>
            <w:tcW w:type="dxa" w:w="997"/>
          </w:tcPr>
          <w:p>
            <w:r>
              <w:rPr>
                <w:sz w:val="18"/>
              </w:rPr>
            </w:r>
            <w:r>
              <w:rPr>
                <w:sz w:val="18"/>
              </w:rPr>
              <w:t>sim (objetivo 1)</w:t>
            </w:r>
          </w:p>
        </w:tc>
        <w:tc>
          <w:tcPr>
            <w:tcW w:type="dxa" w:w="997"/>
          </w:tcPr>
          <w:p>
            <w:r>
              <w:rPr>
                <w:sz w:val="18"/>
              </w:rPr>
            </w:r>
            <w:r>
              <w:rPr>
                <w:sz w:val="18"/>
              </w:rPr>
              <w:t>sim (plataforma integrada de dados)</w:t>
            </w:r>
          </w:p>
        </w:tc>
        <w:tc>
          <w:tcPr>
            <w:tcW w:type="dxa" w:w="997"/>
          </w:tcPr>
          <w:p>
            <w:r>
              <w:rPr>
                <w:sz w:val="18"/>
              </w:rPr>
            </w:r>
            <w:r>
              <w:rPr>
                <w:sz w:val="18"/>
              </w:rPr>
              <w:t>não (contagens)</w:t>
            </w:r>
          </w:p>
        </w:tc>
        <w:tc>
          <w:tcPr>
            <w:tcW w:type="dxa" w:w="997"/>
          </w:tcPr>
          <w:p>
            <w:r>
              <w:rPr>
                <w:sz w:val="18"/>
              </w:rPr>
            </w:r>
            <w:r>
              <w:rPr>
                <w:sz w:val="18"/>
              </w:rPr>
              <w:t>11%</w:t>
            </w:r>
          </w:p>
        </w:tc>
        <w:tc>
          <w:tcPr>
            <w:tcW w:type="dxa" w:w="997"/>
          </w:tcPr>
          <w:p>
            <w:r>
              <w:rPr>
                <w:sz w:val="18"/>
              </w:rPr>
            </w:r>
            <w:r>
              <w:rPr>
                <w:sz w:val="18"/>
              </w:rPr>
              <w:t>baixo/moderado</w:t>
            </w:r>
          </w:p>
        </w:tc>
        <w:tc>
          <w:tcPr>
            <w:tcW w:type="dxa" w:w="997"/>
          </w:tcPr>
          <w:p>
            <w:r>
              <w:rPr>
                <w:sz w:val="18"/>
              </w:rPr>
            </w:r>
            <w:r>
              <w:rPr>
                <w:sz w:val="18"/>
              </w:rPr>
              <w:t>parcial</w:t>
            </w:r>
          </w:p>
        </w:tc>
        <w:tc>
          <w:tcPr>
            <w:tcW w:type="dxa" w:w="997"/>
          </w:tcPr>
          <w:p>
            <w:r>
              <w:rPr>
                <w:sz w:val="18"/>
              </w:rPr>
            </w:r>
            <w:r>
              <w:rPr>
                <w:sz w:val="18"/>
              </w:rPr>
              <w:t>D</w:t>
            </w:r>
          </w:p>
        </w:tc>
        <w:tc>
          <w:tcPr>
            <w:tcW w:type="dxa" w:w="997"/>
          </w:tcPr>
          <w:p>
            <w:r>
              <w:rPr>
                <w:sz w:val="18"/>
              </w:rPr>
            </w:r>
            <w:r>
              <w:rPr>
                <w:sz w:val="18"/>
              </w:rPr>
              <w:t>Para C: indicador de resultado para o sistema de justiça (tempo entre notícia-crime e denúncia; taxa de resolução)</w:t>
            </w:r>
          </w:p>
        </w:tc>
      </w:tr>
      <w:tr>
        <w:tc>
          <w:tcPr>
            <w:tcW w:type="dxa" w:w="997"/>
          </w:tcPr>
          <w:p>
            <w:r>
              <w:rPr>
                <w:sz w:val="18"/>
              </w:rPr>
            </w:r>
            <w:r>
              <w:rPr>
                <w:sz w:val="18"/>
              </w:rPr>
              <w:t>201</w:t>
            </w:r>
          </w:p>
        </w:tc>
        <w:tc>
          <w:tcPr>
            <w:tcW w:type="dxa" w:w="997"/>
          </w:tcPr>
          <w:p>
            <w:r>
              <w:rPr>
                <w:sz w:val="18"/>
              </w:rPr>
            </w:r>
            <w:r>
              <w:rPr>
                <w:sz w:val="18"/>
              </w:rPr>
              <w:t>relevante (crime ambiental no objetivo geral)</w:t>
            </w:r>
          </w:p>
        </w:tc>
        <w:tc>
          <w:tcPr>
            <w:tcW w:type="dxa" w:w="997"/>
          </w:tcPr>
          <w:p>
            <w:r>
              <w:rPr>
                <w:sz w:val="18"/>
              </w:rPr>
            </w:r>
            <w:r>
              <w:rPr>
                <w:sz w:val="18"/>
              </w:rPr>
              <w:t>sim (objetivo 4)</w:t>
            </w:r>
          </w:p>
        </w:tc>
        <w:tc>
          <w:tcPr>
            <w:tcW w:type="dxa" w:w="997"/>
          </w:tcPr>
          <w:p>
            <w:r>
              <w:rPr>
                <w:sz w:val="18"/>
              </w:rPr>
            </w:r>
            <w:r>
              <w:rPr>
                <w:sz w:val="18"/>
              </w:rPr>
              <w:t>sim (núcleo de geoprocessamento)</w:t>
            </w:r>
          </w:p>
        </w:tc>
        <w:tc>
          <w:tcPr>
            <w:tcW w:type="dxa" w:w="997"/>
          </w:tcPr>
          <w:p>
            <w:r>
              <w:rPr>
                <w:sz w:val="18"/>
              </w:rPr>
            </w:r>
            <w:r>
              <w:rPr>
                <w:sz w:val="18"/>
              </w:rPr>
              <w:t>não (cobertura e contagem)</w:t>
            </w:r>
          </w:p>
        </w:tc>
        <w:tc>
          <w:tcPr>
            <w:tcW w:type="dxa" w:w="997"/>
          </w:tcPr>
          <w:p>
            <w:r>
              <w:rPr>
                <w:sz w:val="18"/>
              </w:rPr>
            </w:r>
            <w:r>
              <w:rPr>
                <w:sz w:val="18"/>
              </w:rPr>
              <w:t>10%</w:t>
            </w:r>
          </w:p>
        </w:tc>
        <w:tc>
          <w:tcPr>
            <w:tcW w:type="dxa" w:w="997"/>
          </w:tcPr>
          <w:p>
            <w:r>
              <w:rPr>
                <w:sz w:val="18"/>
              </w:rPr>
            </w:r>
            <w:r>
              <w:rPr>
                <w:sz w:val="18"/>
              </w:rPr>
              <w:t>baixo/moderado</w:t>
            </w:r>
          </w:p>
        </w:tc>
        <w:tc>
          <w:tcPr>
            <w:tcW w:type="dxa" w:w="997"/>
          </w:tcPr>
          <w:p>
            <w:r>
              <w:rPr>
                <w:sz w:val="18"/>
              </w:rPr>
            </w:r>
            <w:r>
              <w:rPr>
                <w:sz w:val="18"/>
              </w:rPr>
              <w:t>não</w:t>
            </w:r>
          </w:p>
        </w:tc>
        <w:tc>
          <w:tcPr>
            <w:tcW w:type="dxa" w:w="997"/>
          </w:tcPr>
          <w:p>
            <w:r>
              <w:rPr>
                <w:sz w:val="18"/>
              </w:rPr>
            </w:r>
            <w:r>
              <w:rPr>
                <w:sz w:val="18"/>
              </w:rPr>
              <w:t>D</w:t>
            </w:r>
          </w:p>
        </w:tc>
        <w:tc>
          <w:tcPr>
            <w:tcW w:type="dxa" w:w="997"/>
          </w:tcPr>
          <w:p>
            <w:r>
              <w:rPr>
                <w:sz w:val="18"/>
              </w:rPr>
            </w:r>
            <w:r>
              <w:rPr>
                <w:sz w:val="18"/>
              </w:rPr>
              <w:t>Para C: indicador ambiental de resultado (hectares com ação de responsabilização; área recuperada em acordos) e mais recursos</w:t>
            </w:r>
          </w:p>
        </w:tc>
      </w:tr>
    </w:tbl>
    <w:p/>
    <w:p>
      <w:pPr>
        <w:pStyle w:val="Heading1"/>
      </w:pPr>
      <w:r>
        <w:t>9. Plano de Correção</w:t>
      </w:r>
    </w:p>
    <w:p>
      <w:r>
        <w:rPr>
          <w:b/>
        </w:rPr>
        <w:t>Plano priorizado</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color="auto" w:fill="1F3864"/>
          </w:tcPr>
          <w:p>
            <w:r>
              <w:rPr>
                <w:sz w:val="18"/>
              </w:rPr>
            </w:r>
            <w:r>
              <w:rPr>
                <w:b/>
                <w:color w:val="FFFFFF"/>
                <w:sz w:val="18"/>
              </w:rPr>
              <w:t>#</w:t>
            </w:r>
          </w:p>
        </w:tc>
        <w:tc>
          <w:tcPr>
            <w:tcW w:type="dxa" w:w="997"/>
            <w:shd w:val="clear" w:color="auto" w:fill="1F3864"/>
          </w:tcPr>
          <w:p>
            <w:r>
              <w:rPr>
                <w:sz w:val="18"/>
              </w:rPr>
            </w:r>
            <w:r>
              <w:rPr>
                <w:b/>
                <w:color w:val="FFFFFF"/>
                <w:sz w:val="18"/>
              </w:rPr>
              <w:t>Item</w:t>
            </w:r>
          </w:p>
        </w:tc>
        <w:tc>
          <w:tcPr>
            <w:tcW w:type="dxa" w:w="997"/>
            <w:shd w:val="clear" w:color="auto" w:fill="1F3864"/>
          </w:tcPr>
          <w:p>
            <w:r>
              <w:rPr>
                <w:sz w:val="18"/>
              </w:rPr>
            </w:r>
            <w:r>
              <w:rPr>
                <w:b/>
                <w:color w:val="FFFFFF"/>
                <w:sz w:val="18"/>
              </w:rPr>
              <w:t>Fase</w:t>
            </w:r>
          </w:p>
        </w:tc>
        <w:tc>
          <w:tcPr>
            <w:tcW w:type="dxa" w:w="997"/>
            <w:shd w:val="clear" w:color="auto" w:fill="1F3864"/>
          </w:tcPr>
          <w:p>
            <w:r>
              <w:rPr>
                <w:sz w:val="18"/>
              </w:rPr>
            </w:r>
            <w:r>
              <w:rPr>
                <w:b/>
                <w:color w:val="FFFFFF"/>
                <w:sz w:val="18"/>
              </w:rPr>
              <w:t>Prioridade</w:t>
            </w:r>
          </w:p>
        </w:tc>
        <w:tc>
          <w:tcPr>
            <w:tcW w:type="dxa" w:w="997"/>
            <w:shd w:val="clear" w:color="auto" w:fill="1F3864"/>
          </w:tcPr>
          <w:p>
            <w:r>
              <w:rPr>
                <w:sz w:val="18"/>
              </w:rPr>
            </w:r>
            <w:r>
              <w:rPr>
                <w:b/>
                <w:color w:val="FFFFFF"/>
                <w:sz w:val="18"/>
              </w:rPr>
              <w:t>Atual</w:t>
            </w:r>
          </w:p>
        </w:tc>
        <w:tc>
          <w:tcPr>
            <w:tcW w:type="dxa" w:w="997"/>
            <w:shd w:val="clear" w:color="auto" w:fill="1F3864"/>
          </w:tcPr>
          <w:p>
            <w:r>
              <w:rPr>
                <w:sz w:val="18"/>
              </w:rPr>
            </w:r>
            <w:r>
              <w:rPr>
                <w:b/>
                <w:color w:val="FFFFFF"/>
                <w:sz w:val="18"/>
              </w:rPr>
              <w:t>Meta</w:t>
            </w:r>
          </w:p>
        </w:tc>
        <w:tc>
          <w:tcPr>
            <w:tcW w:type="dxa" w:w="997"/>
            <w:shd w:val="clear" w:color="auto" w:fill="1F3864"/>
          </w:tcPr>
          <w:p>
            <w:r>
              <w:rPr>
                <w:sz w:val="18"/>
              </w:rPr>
            </w:r>
            <w:r>
              <w:rPr>
                <w:b/>
                <w:color w:val="FFFFFF"/>
                <w:sz w:val="18"/>
              </w:rPr>
              <w:t>Variação na Nota de Área Estratégica</w:t>
            </w:r>
          </w:p>
        </w:tc>
        <w:tc>
          <w:tcPr>
            <w:tcW w:type="dxa" w:w="997"/>
            <w:shd w:val="clear" w:color="auto" w:fill="1F3864"/>
          </w:tcPr>
          <w:p>
            <w:r>
              <w:rPr>
                <w:sz w:val="18"/>
              </w:rPr>
            </w:r>
            <w:r>
              <w:rPr>
                <w:b/>
                <w:color w:val="FFFFFF"/>
                <w:sz w:val="18"/>
              </w:rPr>
              <w:t>Ação</w:t>
            </w:r>
          </w:p>
        </w:tc>
        <w:tc>
          <w:tcPr>
            <w:tcW w:type="dxa" w:w="997"/>
            <w:shd w:val="clear" w:color="auto" w:fill="1F3864"/>
          </w:tcPr>
          <w:p>
            <w:r>
              <w:rPr>
                <w:sz w:val="18"/>
              </w:rPr>
            </w:r>
            <w:r>
              <w:rPr>
                <w:b/>
                <w:color w:val="FFFFFF"/>
                <w:sz w:val="18"/>
              </w:rPr>
              <w:t>Responsável</w:t>
            </w:r>
          </w:p>
        </w:tc>
        <w:tc>
          <w:tcPr>
            <w:tcW w:type="dxa" w:w="997"/>
            <w:shd w:val="clear" w:color="auto" w:fill="1F3864"/>
          </w:tcPr>
          <w:p>
            <w:r>
              <w:rPr>
                <w:sz w:val="18"/>
              </w:rPr>
            </w:r>
            <w:r>
              <w:rPr>
                <w:b/>
                <w:color w:val="FFFFFF"/>
                <w:sz w:val="18"/>
              </w:rPr>
              <w:t>Prazo</w:t>
            </w:r>
          </w:p>
        </w:tc>
      </w:tr>
      <w:tr>
        <w:tc>
          <w:tcPr>
            <w:tcW w:type="dxa" w:w="997"/>
          </w:tcPr>
          <w:p>
            <w:r>
              <w:rPr>
                <w:sz w:val="18"/>
              </w:rPr>
            </w:r>
            <w:r>
              <w:rPr>
                <w:sz w:val="18"/>
              </w:rPr>
              <w:t>1</w:t>
            </w:r>
          </w:p>
        </w:tc>
        <w:tc>
          <w:tcPr>
            <w:tcW w:type="dxa" w:w="997"/>
          </w:tcPr>
          <w:p>
            <w:r>
              <w:rPr>
                <w:sz w:val="18"/>
              </w:rPr>
            </w:r>
            <w:r>
              <w:rPr>
                <w:sz w:val="18"/>
              </w:rPr>
              <w:t>Espaço fiscal no Programa de Acompanhamento Fiscal</w:t>
            </w:r>
          </w:p>
        </w:tc>
        <w:tc>
          <w:tcPr>
            <w:tcW w:type="dxa" w:w="997"/>
          </w:tcPr>
          <w:p>
            <w:r>
              <w:rPr>
                <w:sz w:val="18"/>
              </w:rPr>
            </w:r>
            <w:r>
              <w:rPr>
                <w:sz w:val="18"/>
              </w:rPr>
              <w:t>Fase 1.6 / Art. 28</w:t>
            </w:r>
          </w:p>
        </w:tc>
        <w:tc>
          <w:tcPr>
            <w:tcW w:type="dxa" w:w="997"/>
          </w:tcPr>
          <w:p>
            <w:r>
              <w:rPr>
                <w:sz w:val="18"/>
              </w:rPr>
            </w:r>
            <w:r>
              <w:rPr>
                <w:sz w:val="18"/>
              </w:rPr>
              <w:t>P0</w:t>
            </w:r>
          </w:p>
        </w:tc>
        <w:tc>
          <w:tcPr>
            <w:tcW w:type="dxa" w:w="997"/>
          </w:tcPr>
          <w:p>
            <w:r>
              <w:rPr>
                <w:sz w:val="18"/>
              </w:rPr>
            </w:r>
            <w:r>
              <w:rPr>
                <w:sz w:val="18"/>
              </w:rPr>
              <w:t>Planilha indica R$ 0 disponível em 2025</w:t>
            </w:r>
          </w:p>
        </w:tc>
        <w:tc>
          <w:tcPr>
            <w:tcW w:type="dxa" w:w="997"/>
          </w:tcPr>
          <w:p>
            <w:r>
              <w:rPr>
                <w:sz w:val="18"/>
              </w:rPr>
            </w:r>
            <w:r>
              <w:rPr>
                <w:sz w:val="18"/>
              </w:rPr>
              <w:t>Espaço confirmado para US$ 20 milhões</w:t>
            </w:r>
          </w:p>
        </w:tc>
        <w:tc>
          <w:tcPr>
            <w:tcW w:type="dxa" w:w="997"/>
          </w:tcPr>
          <w:p>
            <w:r>
              <w:rPr>
                <w:sz w:val="18"/>
              </w:rPr>
            </w:r>
            <w:r>
              <w:rPr>
                <w:sz w:val="18"/>
              </w:rPr>
              <w:t>0 (viabilidade)</w:t>
            </w:r>
          </w:p>
        </w:tc>
        <w:tc>
          <w:tcPr>
            <w:tcW w:type="dxa" w:w="997"/>
          </w:tcPr>
          <w:p>
            <w:r>
              <w:rPr>
                <w:sz w:val="18"/>
              </w:rPr>
            </w:r>
            <w:r>
              <w:rPr>
                <w:sz w:val="18"/>
              </w:rPr>
              <w:t>Obter manifestação do Tesouro sobre o espaço do Estado ou ajustar o ano de contratação</w:t>
            </w:r>
          </w:p>
        </w:tc>
        <w:tc>
          <w:tcPr>
            <w:tcW w:type="dxa" w:w="997"/>
          </w:tcPr>
          <w:p>
            <w:r>
              <w:rPr>
                <w:sz w:val="18"/>
              </w:rPr>
            </w:r>
            <w:r>
              <w:rPr>
                <w:sz w:val="18"/>
              </w:rPr>
              <w:t>Proponente</w:t>
            </w:r>
          </w:p>
        </w:tc>
        <w:tc>
          <w:tcPr>
            <w:tcW w:type="dxa" w:w="997"/>
          </w:tcPr>
          <w:p>
            <w:r>
              <w:rPr>
                <w:sz w:val="18"/>
              </w:rPr>
            </w:r>
            <w:r>
              <w:rPr>
                <w:sz w:val="18"/>
              </w:rPr>
              <w:t>Antes da pauta</w:t>
            </w:r>
          </w:p>
        </w:tc>
      </w:tr>
      <w:tr>
        <w:tc>
          <w:tcPr>
            <w:tcW w:type="dxa" w:w="997"/>
          </w:tcPr>
          <w:p>
            <w:r>
              <w:rPr>
                <w:sz w:val="18"/>
              </w:rPr>
            </w:r>
            <w:r>
              <w:rPr>
                <w:sz w:val="18"/>
              </w:rPr>
              <w:t>2</w:t>
            </w:r>
          </w:p>
        </w:tc>
        <w:tc>
          <w:tcPr>
            <w:tcW w:type="dxa" w:w="997"/>
          </w:tcPr>
          <w:p>
            <w:r>
              <w:rPr>
                <w:sz w:val="18"/>
              </w:rPr>
            </w:r>
            <w:r>
              <w:rPr>
                <w:sz w:val="18"/>
              </w:rPr>
              <w:t>Capacidade de Pagamento e Dívida com metadado</w:t>
            </w:r>
          </w:p>
        </w:tc>
        <w:tc>
          <w:tcPr>
            <w:tcW w:type="dxa" w:w="997"/>
          </w:tcPr>
          <w:p>
            <w:r>
              <w:rPr>
                <w:sz w:val="18"/>
              </w:rPr>
            </w:r>
            <w:r>
              <w:rPr>
                <w:sz w:val="18"/>
              </w:rPr>
              <w:t>Fase 1.6</w:t>
            </w:r>
          </w:p>
        </w:tc>
        <w:tc>
          <w:tcPr>
            <w:tcW w:type="dxa" w:w="997"/>
          </w:tcPr>
          <w:p>
            <w:r>
              <w:rPr>
                <w:sz w:val="18"/>
              </w:rPr>
            </w:r>
            <w:r>
              <w:rPr>
                <w:sz w:val="18"/>
              </w:rPr>
              <w:t>P0</w:t>
            </w:r>
          </w:p>
        </w:tc>
        <w:tc>
          <w:tcPr>
            <w:tcW w:type="dxa" w:w="997"/>
          </w:tcPr>
          <w:p>
            <w:r>
              <w:rPr>
                <w:sz w:val="18"/>
              </w:rPr>
            </w:r>
            <w:r>
              <w:rPr>
                <w:sz w:val="18"/>
              </w:rPr>
              <w:t>Sem data e fonte; dívida ausente</w:t>
            </w:r>
          </w:p>
        </w:tc>
        <w:tc>
          <w:tcPr>
            <w:tcW w:type="dxa" w:w="997"/>
          </w:tcPr>
          <w:p>
            <w:r>
              <w:rPr>
                <w:sz w:val="18"/>
              </w:rPr>
            </w:r>
            <w:r>
              <w:rPr>
                <w:sz w:val="18"/>
              </w:rPr>
              <w:t>Boletim do Tesouro do ciclo vigente</w:t>
            </w:r>
          </w:p>
        </w:tc>
        <w:tc>
          <w:tcPr>
            <w:tcW w:type="dxa" w:w="997"/>
          </w:tcPr>
          <w:p>
            <w:r>
              <w:rPr>
                <w:sz w:val="18"/>
              </w:rPr>
            </w:r>
            <w:r>
              <w:rPr>
                <w:sz w:val="18"/>
              </w:rPr>
              <w:t>0 (valida até 2,50 pontos de Dados Objetivos)</w:t>
            </w:r>
          </w:p>
        </w:tc>
        <w:tc>
          <w:tcPr>
            <w:tcW w:type="dxa" w:w="997"/>
          </w:tcPr>
          <w:p>
            <w:r>
              <w:rPr>
                <w:sz w:val="18"/>
              </w:rPr>
            </w:r>
            <w:r>
              <w:rPr>
                <w:sz w:val="18"/>
              </w:rPr>
              <w:t>Anexar classificação e Dívida Consolidada/Receita Corrente Líquida com data</w:t>
            </w:r>
          </w:p>
        </w:tc>
        <w:tc>
          <w:tcPr>
            <w:tcW w:type="dxa" w:w="997"/>
          </w:tcPr>
          <w:p>
            <w:r>
              <w:rPr>
                <w:sz w:val="18"/>
              </w:rPr>
            </w:r>
            <w:r>
              <w:rPr>
                <w:sz w:val="18"/>
              </w:rPr>
              <w:t>Proponente</w:t>
            </w:r>
          </w:p>
        </w:tc>
        <w:tc>
          <w:tcPr>
            <w:tcW w:type="dxa" w:w="997"/>
          </w:tcPr>
          <w:p>
            <w:r>
              <w:rPr>
                <w:sz w:val="18"/>
              </w:rPr>
            </w:r>
            <w:r>
              <w:rPr>
                <w:sz w:val="18"/>
              </w:rPr>
              <w:t>Antes da pauta</w:t>
            </w:r>
          </w:p>
        </w:tc>
      </w:tr>
      <w:tr>
        <w:tc>
          <w:tcPr>
            <w:tcW w:type="dxa" w:w="997"/>
          </w:tcPr>
          <w:p>
            <w:r>
              <w:rPr>
                <w:sz w:val="18"/>
              </w:rPr>
            </w:r>
            <w:r>
              <w:rPr>
                <w:sz w:val="18"/>
              </w:rPr>
              <w:t>3</w:t>
            </w:r>
          </w:p>
        </w:tc>
        <w:tc>
          <w:tcPr>
            <w:tcW w:type="dxa" w:w="997"/>
          </w:tcPr>
          <w:p>
            <w:r>
              <w:rPr>
                <w:sz w:val="18"/>
              </w:rPr>
            </w:r>
            <w:r>
              <w:rPr>
                <w:sz w:val="18"/>
              </w:rPr>
              <w:t>Seção de contatos e anuência do credor</w:t>
            </w:r>
          </w:p>
        </w:tc>
        <w:tc>
          <w:tcPr>
            <w:tcW w:type="dxa" w:w="997"/>
          </w:tcPr>
          <w:p>
            <w:r>
              <w:rPr>
                <w:sz w:val="18"/>
              </w:rPr>
            </w:r>
            <w:r>
              <w:rPr>
                <w:sz w:val="18"/>
              </w:rPr>
              <w:t>Fase 3</w:t>
            </w:r>
          </w:p>
        </w:tc>
        <w:tc>
          <w:tcPr>
            <w:tcW w:type="dxa" w:w="997"/>
          </w:tcPr>
          <w:p>
            <w:r>
              <w:rPr>
                <w:sz w:val="18"/>
              </w:rPr>
            </w:r>
            <w:r>
              <w:rPr>
                <w:sz w:val="18"/>
              </w:rPr>
              <w:t>P0</w:t>
            </w:r>
          </w:p>
        </w:tc>
        <w:tc>
          <w:tcPr>
            <w:tcW w:type="dxa" w:w="997"/>
          </w:tcPr>
          <w:p>
            <w:r>
              <w:rPr>
                <w:sz w:val="18"/>
              </w:rPr>
            </w:r>
            <w:r>
              <w:rPr>
                <w:sz w:val="18"/>
              </w:rPr>
              <w:t>Ausentes no texto</w:t>
            </w:r>
          </w:p>
        </w:tc>
        <w:tc>
          <w:tcPr>
            <w:tcW w:type="dxa" w:w="997"/>
          </w:tcPr>
          <w:p>
            <w:r>
              <w:rPr>
                <w:sz w:val="18"/>
              </w:rPr>
            </w:r>
            <w:r>
              <w:rPr>
                <w:sz w:val="18"/>
              </w:rPr>
              <w:t>Completas</w:t>
            </w:r>
          </w:p>
        </w:tc>
        <w:tc>
          <w:tcPr>
            <w:tcW w:type="dxa" w:w="997"/>
          </w:tcPr>
          <w:p>
            <w:r>
              <w:rPr>
                <w:sz w:val="18"/>
              </w:rPr>
            </w:r>
            <w:r>
              <w:rPr>
                <w:sz w:val="18"/>
              </w:rPr>
              <w:t>0</w:t>
            </w:r>
          </w:p>
        </w:tc>
        <w:tc>
          <w:tcPr>
            <w:tcW w:type="dxa" w:w="997"/>
          </w:tcPr>
          <w:p>
            <w:r>
              <w:rPr>
                <w:sz w:val="18"/>
              </w:rPr>
            </w:r>
            <w:r>
              <w:rPr>
                <w:sz w:val="18"/>
              </w:rPr>
              <w:t>Preencher no Portal</w:t>
            </w:r>
          </w:p>
        </w:tc>
        <w:tc>
          <w:tcPr>
            <w:tcW w:type="dxa" w:w="997"/>
          </w:tcPr>
          <w:p>
            <w:r>
              <w:rPr>
                <w:sz w:val="18"/>
              </w:rPr>
            </w:r>
            <w:r>
              <w:rPr>
                <w:sz w:val="18"/>
              </w:rPr>
              <w:t>Proponente</w:t>
            </w:r>
          </w:p>
        </w:tc>
        <w:tc>
          <w:tcPr>
            <w:tcW w:type="dxa" w:w="997"/>
          </w:tcPr>
          <w:p>
            <w:r>
              <w:rPr>
                <w:sz w:val="18"/>
              </w:rPr>
            </w:r>
            <w:r>
              <w:rPr>
                <w:sz w:val="18"/>
              </w:rPr>
              <w:t>Imediato</w:t>
            </w:r>
          </w:p>
        </w:tc>
      </w:tr>
      <w:tr>
        <w:tc>
          <w:tcPr>
            <w:tcW w:type="dxa" w:w="997"/>
          </w:tcPr>
          <w:p>
            <w:r>
              <w:rPr>
                <w:sz w:val="18"/>
              </w:rPr>
            </w:r>
            <w:r>
              <w:rPr>
                <w:sz w:val="18"/>
              </w:rPr>
              <w:t>4</w:t>
            </w:r>
          </w:p>
        </w:tc>
        <w:tc>
          <w:tcPr>
            <w:tcW w:type="dxa" w:w="997"/>
          </w:tcPr>
          <w:p>
            <w:r>
              <w:rPr>
                <w:sz w:val="18"/>
              </w:rPr>
            </w:r>
            <w:r>
              <w:rPr>
                <w:sz w:val="18"/>
              </w:rPr>
              <w:t>Sustentabilidade pós-projeto quantificada</w:t>
            </w:r>
          </w:p>
        </w:tc>
        <w:tc>
          <w:tcPr>
            <w:tcW w:type="dxa" w:w="997"/>
          </w:tcPr>
          <w:p>
            <w:r>
              <w:rPr>
                <w:sz w:val="18"/>
              </w:rPr>
            </w:r>
            <w:r>
              <w:rPr>
                <w:sz w:val="18"/>
              </w:rPr>
              <w:t>Fase 11 (A.5) / pergunta 1</w:t>
            </w:r>
          </w:p>
        </w:tc>
        <w:tc>
          <w:tcPr>
            <w:tcW w:type="dxa" w:w="997"/>
          </w:tcPr>
          <w:p>
            <w:r>
              <w:rPr>
                <w:sz w:val="18"/>
              </w:rPr>
            </w:r>
            <w:r>
              <w:rPr>
                <w:sz w:val="18"/>
              </w:rPr>
              <w:t>P1</w:t>
            </w:r>
          </w:p>
        </w:tc>
        <w:tc>
          <w:tcPr>
            <w:tcW w:type="dxa" w:w="997"/>
          </w:tcPr>
          <w:p>
            <w:r>
              <w:rPr>
                <w:sz w:val="18"/>
              </w:rPr>
            </w:r>
            <w:r>
              <w:rPr>
                <w:sz w:val="18"/>
              </w:rPr>
              <w:t>FRACO</w:t>
            </w:r>
          </w:p>
        </w:tc>
        <w:tc>
          <w:tcPr>
            <w:tcW w:type="dxa" w:w="997"/>
          </w:tcPr>
          <w:p>
            <w:r>
              <w:rPr>
                <w:sz w:val="18"/>
              </w:rPr>
            </w:r>
            <w:r>
              <w:rPr>
                <w:sz w:val="18"/>
              </w:rPr>
              <w:t>FORTE</w:t>
            </w:r>
          </w:p>
        </w:tc>
        <w:tc>
          <w:tcPr>
            <w:tcW w:type="dxa" w:w="997"/>
          </w:tcPr>
          <w:p>
            <w:r>
              <w:rPr>
                <w:sz w:val="18"/>
              </w:rPr>
            </w:r>
            <w:r>
              <w:rPr>
                <w:sz w:val="18"/>
              </w:rPr>
              <w:t>+0,5 a +1,0</w:t>
            </w:r>
          </w:p>
        </w:tc>
        <w:tc>
          <w:tcPr>
            <w:tcW w:type="dxa" w:w="997"/>
          </w:tcPr>
          <w:p>
            <w:r>
              <w:rPr>
                <w:sz w:val="18"/>
              </w:rPr>
            </w:r>
            <w:r>
              <w:rPr>
                <w:sz w:val="18"/>
              </w:rPr>
              <w:t>Tabela de custeio por 5 anos com fonte orçamentária nomeada</w:t>
            </w:r>
          </w:p>
        </w:tc>
        <w:tc>
          <w:tcPr>
            <w:tcW w:type="dxa" w:w="997"/>
          </w:tcPr>
          <w:p>
            <w:r>
              <w:rPr>
                <w:sz w:val="18"/>
              </w:rPr>
            </w:r>
            <w:r>
              <w:rPr>
                <w:sz w:val="18"/>
              </w:rPr>
              <w:t>Proponente</w:t>
            </w:r>
          </w:p>
        </w:tc>
        <w:tc>
          <w:tcPr>
            <w:tcW w:type="dxa" w:w="997"/>
          </w:tcPr>
          <w:p>
            <w:r>
              <w:rPr>
                <w:sz w:val="18"/>
              </w:rPr>
            </w:r>
            <w:r>
              <w:rPr>
                <w:sz w:val="18"/>
              </w:rPr>
              <w:t>30 dias</w:t>
            </w:r>
          </w:p>
        </w:tc>
      </w:tr>
      <w:tr>
        <w:tc>
          <w:tcPr>
            <w:tcW w:type="dxa" w:w="997"/>
          </w:tcPr>
          <w:p>
            <w:r>
              <w:rPr>
                <w:sz w:val="18"/>
              </w:rPr>
            </w:r>
            <w:r>
              <w:rPr>
                <w:sz w:val="18"/>
              </w:rPr>
              <w:t>5</w:t>
            </w:r>
          </w:p>
        </w:tc>
        <w:tc>
          <w:tcPr>
            <w:tcW w:type="dxa" w:w="997"/>
          </w:tcPr>
          <w:p>
            <w:r>
              <w:rPr>
                <w:sz w:val="18"/>
              </w:rPr>
            </w:r>
            <w:r>
              <w:rPr>
                <w:sz w:val="18"/>
              </w:rPr>
              <w:t>Indicador de impacto da Área 112</w:t>
            </w:r>
          </w:p>
        </w:tc>
        <w:tc>
          <w:tcPr>
            <w:tcW w:type="dxa" w:w="997"/>
          </w:tcPr>
          <w:p>
            <w:r>
              <w:rPr>
                <w:sz w:val="18"/>
              </w:rPr>
            </w:r>
            <w:r>
              <w:rPr>
                <w:sz w:val="18"/>
              </w:rPr>
              <w:t>Fase 5</w:t>
            </w:r>
          </w:p>
        </w:tc>
        <w:tc>
          <w:tcPr>
            <w:tcW w:type="dxa" w:w="997"/>
          </w:tcPr>
          <w:p>
            <w:r>
              <w:rPr>
                <w:sz w:val="18"/>
              </w:rPr>
            </w:r>
            <w:r>
              <w:rPr>
                <w:sz w:val="18"/>
              </w:rPr>
              <w:t>P1</w:t>
            </w:r>
          </w:p>
        </w:tc>
        <w:tc>
          <w:tcPr>
            <w:tcW w:type="dxa" w:w="997"/>
          </w:tcPr>
          <w:p>
            <w:r>
              <w:rPr>
                <w:sz w:val="18"/>
              </w:rPr>
            </w:r>
            <w:r>
              <w:rPr>
                <w:sz w:val="18"/>
              </w:rPr>
              <w:t>B</w:t>
            </w:r>
          </w:p>
        </w:tc>
        <w:tc>
          <w:tcPr>
            <w:tcW w:type="dxa" w:w="997"/>
          </w:tcPr>
          <w:p>
            <w:r>
              <w:rPr>
                <w:sz w:val="18"/>
              </w:rPr>
            </w:r>
            <w:r>
              <w:rPr>
                <w:sz w:val="18"/>
              </w:rPr>
              <w:t>A</w:t>
            </w:r>
          </w:p>
        </w:tc>
        <w:tc>
          <w:tcPr>
            <w:tcW w:type="dxa" w:w="997"/>
          </w:tcPr>
          <w:p>
            <w:r>
              <w:rPr>
                <w:sz w:val="18"/>
              </w:rPr>
            </w:r>
            <w:r>
              <w:rPr>
                <w:sz w:val="18"/>
              </w:rPr>
              <w:t>+2,0</w:t>
            </w:r>
          </w:p>
        </w:tc>
        <w:tc>
          <w:tcPr>
            <w:tcW w:type="dxa" w:w="997"/>
          </w:tcPr>
          <w:p>
            <w:r>
              <w:rPr>
                <w:sz w:val="18"/>
              </w:rPr>
            </w:r>
            <w:r>
              <w:rPr>
                <w:sz w:val="18"/>
              </w:rPr>
              <w:t>Valor recuperado ao Fundo Estadual de Segurança Pública e participação no total estadual, com ano-meta</w:t>
            </w:r>
          </w:p>
        </w:tc>
        <w:tc>
          <w:tcPr>
            <w:tcW w:type="dxa" w:w="997"/>
          </w:tcPr>
          <w:p>
            <w:r>
              <w:rPr>
                <w:sz w:val="18"/>
              </w:rPr>
            </w:r>
            <w:r>
              <w:rPr>
                <w:sz w:val="18"/>
              </w:rPr>
              <w:t>Proponente</w:t>
            </w:r>
          </w:p>
        </w:tc>
        <w:tc>
          <w:tcPr>
            <w:tcW w:type="dxa" w:w="997"/>
          </w:tcPr>
          <w:p>
            <w:r>
              <w:rPr>
                <w:sz w:val="18"/>
              </w:rPr>
            </w:r>
            <w:r>
              <w:rPr>
                <w:sz w:val="18"/>
              </w:rPr>
              <w:t>30 dias</w:t>
            </w:r>
          </w:p>
        </w:tc>
      </w:tr>
      <w:tr>
        <w:tc>
          <w:tcPr>
            <w:tcW w:type="dxa" w:w="997"/>
          </w:tcPr>
          <w:p>
            <w:r>
              <w:rPr>
                <w:sz w:val="18"/>
              </w:rPr>
            </w:r>
            <w:r>
              <w:rPr>
                <w:sz w:val="18"/>
              </w:rPr>
              <w:t>6</w:t>
            </w:r>
          </w:p>
        </w:tc>
        <w:tc>
          <w:tcPr>
            <w:tcW w:type="dxa" w:w="997"/>
          </w:tcPr>
          <w:p>
            <w:r>
              <w:rPr>
                <w:sz w:val="18"/>
              </w:rPr>
            </w:r>
            <w:r>
              <w:rPr>
                <w:sz w:val="18"/>
              </w:rPr>
              <w:t>Concentrar orçamento na Área 303</w:t>
            </w:r>
          </w:p>
        </w:tc>
        <w:tc>
          <w:tcPr>
            <w:tcW w:type="dxa" w:w="997"/>
          </w:tcPr>
          <w:p>
            <w:r>
              <w:rPr>
                <w:sz w:val="18"/>
              </w:rPr>
            </w:r>
            <w:r>
              <w:rPr>
                <w:sz w:val="18"/>
              </w:rPr>
              <w:t>Fase 5</w:t>
            </w:r>
          </w:p>
        </w:tc>
        <w:tc>
          <w:tcPr>
            <w:tcW w:type="dxa" w:w="997"/>
          </w:tcPr>
          <w:p>
            <w:r>
              <w:rPr>
                <w:sz w:val="18"/>
              </w:rPr>
            </w:r>
            <w:r>
              <w:rPr>
                <w:sz w:val="18"/>
              </w:rPr>
              <w:t>P1</w:t>
            </w:r>
          </w:p>
        </w:tc>
        <w:tc>
          <w:tcPr>
            <w:tcW w:type="dxa" w:w="997"/>
          </w:tcPr>
          <w:p>
            <w:r>
              <w:rPr>
                <w:sz w:val="18"/>
              </w:rPr>
            </w:r>
            <w:r>
              <w:rPr>
                <w:sz w:val="18"/>
              </w:rPr>
              <w:t>C (25%)</w:t>
            </w:r>
          </w:p>
        </w:tc>
        <w:tc>
          <w:tcPr>
            <w:tcW w:type="dxa" w:w="997"/>
          </w:tcPr>
          <w:p>
            <w:r>
              <w:rPr>
                <w:sz w:val="18"/>
              </w:rPr>
            </w:r>
            <w:r>
              <w:rPr>
                <w:sz w:val="18"/>
              </w:rPr>
              <w:t>B (mais de 30%)</w:t>
            </w:r>
          </w:p>
        </w:tc>
        <w:tc>
          <w:tcPr>
            <w:tcW w:type="dxa" w:w="997"/>
          </w:tcPr>
          <w:p>
            <w:r>
              <w:rPr>
                <w:sz w:val="18"/>
              </w:rPr>
            </w:r>
            <w:r>
              <w:rPr>
                <w:sz w:val="18"/>
              </w:rPr>
              <w:t>+1,0</w:t>
            </w:r>
          </w:p>
        </w:tc>
        <w:tc>
          <w:tcPr>
            <w:tcW w:type="dxa" w:w="997"/>
          </w:tcPr>
          <w:p>
            <w:r>
              <w:rPr>
                <w:sz w:val="18"/>
              </w:rPr>
            </w:r>
            <w:r>
              <w:rPr>
                <w:sz w:val="18"/>
              </w:rPr>
              <w:t>Atribuir à 303 a infraestrutura de dados hoje sem área dona</w:t>
            </w:r>
          </w:p>
        </w:tc>
        <w:tc>
          <w:tcPr>
            <w:tcW w:type="dxa" w:w="997"/>
          </w:tcPr>
          <w:p>
            <w:r>
              <w:rPr>
                <w:sz w:val="18"/>
              </w:rPr>
            </w:r>
            <w:r>
              <w:rPr>
                <w:sz w:val="18"/>
              </w:rPr>
              <w:t>Proponente</w:t>
            </w:r>
          </w:p>
        </w:tc>
        <w:tc>
          <w:tcPr>
            <w:tcW w:type="dxa" w:w="997"/>
          </w:tcPr>
          <w:p>
            <w:r>
              <w:rPr>
                <w:sz w:val="18"/>
              </w:rPr>
            </w:r>
            <w:r>
              <w:rPr>
                <w:sz w:val="18"/>
              </w:rPr>
              <w:t>30 dias</w:t>
            </w:r>
          </w:p>
        </w:tc>
      </w:tr>
      <w:tr>
        <w:tc>
          <w:tcPr>
            <w:tcW w:type="dxa" w:w="997"/>
          </w:tcPr>
          <w:p>
            <w:r>
              <w:rPr>
                <w:sz w:val="18"/>
              </w:rPr>
            </w:r>
            <w:r>
              <w:rPr>
                <w:sz w:val="18"/>
              </w:rPr>
              <w:t>7</w:t>
            </w:r>
          </w:p>
        </w:tc>
        <w:tc>
          <w:tcPr>
            <w:tcW w:type="dxa" w:w="997"/>
          </w:tcPr>
          <w:p>
            <w:r>
              <w:rPr>
                <w:sz w:val="18"/>
              </w:rPr>
            </w:r>
            <w:r>
              <w:rPr>
                <w:sz w:val="18"/>
              </w:rPr>
              <w:t>Indicadores de resultado nas Áreas 307 e 201</w:t>
            </w:r>
          </w:p>
        </w:tc>
        <w:tc>
          <w:tcPr>
            <w:tcW w:type="dxa" w:w="997"/>
          </w:tcPr>
          <w:p>
            <w:r>
              <w:rPr>
                <w:sz w:val="18"/>
              </w:rPr>
            </w:r>
            <w:r>
              <w:rPr>
                <w:sz w:val="18"/>
              </w:rPr>
              <w:t>Fase 5</w:t>
            </w:r>
          </w:p>
        </w:tc>
        <w:tc>
          <w:tcPr>
            <w:tcW w:type="dxa" w:w="997"/>
          </w:tcPr>
          <w:p>
            <w:r>
              <w:rPr>
                <w:sz w:val="18"/>
              </w:rPr>
            </w:r>
            <w:r>
              <w:rPr>
                <w:sz w:val="18"/>
              </w:rPr>
              <w:t>P1</w:t>
            </w:r>
          </w:p>
        </w:tc>
        <w:tc>
          <w:tcPr>
            <w:tcW w:type="dxa" w:w="997"/>
          </w:tcPr>
          <w:p>
            <w:r>
              <w:rPr>
                <w:sz w:val="18"/>
              </w:rPr>
            </w:r>
            <w:r>
              <w:rPr>
                <w:sz w:val="18"/>
              </w:rPr>
              <w:t>D e D</w:t>
            </w:r>
          </w:p>
        </w:tc>
        <w:tc>
          <w:tcPr>
            <w:tcW w:type="dxa" w:w="997"/>
          </w:tcPr>
          <w:p>
            <w:r>
              <w:rPr>
                <w:sz w:val="18"/>
              </w:rPr>
            </w:r>
            <w:r>
              <w:rPr>
                <w:sz w:val="18"/>
              </w:rPr>
              <w:t>C e C</w:t>
            </w:r>
          </w:p>
        </w:tc>
        <w:tc>
          <w:tcPr>
            <w:tcW w:type="dxa" w:w="997"/>
          </w:tcPr>
          <w:p>
            <w:r>
              <w:rPr>
                <w:sz w:val="18"/>
              </w:rPr>
            </w:r>
            <w:r>
              <w:rPr>
                <w:sz w:val="18"/>
              </w:rPr>
              <w:t>+2,0</w:t>
            </w:r>
          </w:p>
        </w:tc>
        <w:tc>
          <w:tcPr>
            <w:tcW w:type="dxa" w:w="997"/>
          </w:tcPr>
          <w:p>
            <w:r>
              <w:rPr>
                <w:sz w:val="18"/>
              </w:rPr>
            </w:r>
            <w:r>
              <w:rPr>
                <w:sz w:val="18"/>
              </w:rPr>
              <w:t>Trocar contagens por tempos de tramitação e hectares responsabilizados</w:t>
            </w:r>
          </w:p>
        </w:tc>
        <w:tc>
          <w:tcPr>
            <w:tcW w:type="dxa" w:w="997"/>
          </w:tcPr>
          <w:p>
            <w:r>
              <w:rPr>
                <w:sz w:val="18"/>
              </w:rPr>
            </w:r>
            <w:r>
              <w:rPr>
                <w:sz w:val="18"/>
              </w:rPr>
              <w:t>Proponente</w:t>
            </w:r>
          </w:p>
        </w:tc>
        <w:tc>
          <w:tcPr>
            <w:tcW w:type="dxa" w:w="997"/>
          </w:tcPr>
          <w:p>
            <w:r>
              <w:rPr>
                <w:sz w:val="18"/>
              </w:rPr>
            </w:r>
            <w:r>
              <w:rPr>
                <w:sz w:val="18"/>
              </w:rPr>
              <w:t>30 dias</w:t>
            </w:r>
          </w:p>
        </w:tc>
      </w:tr>
      <w:tr>
        <w:tc>
          <w:tcPr>
            <w:tcW w:type="dxa" w:w="997"/>
          </w:tcPr>
          <w:p>
            <w:r>
              <w:rPr>
                <w:sz w:val="18"/>
              </w:rPr>
            </w:r>
            <w:r>
              <w:rPr>
                <w:sz w:val="18"/>
              </w:rPr>
              <w:t>8</w:t>
            </w:r>
          </w:p>
        </w:tc>
        <w:tc>
          <w:tcPr>
            <w:tcW w:type="dxa" w:w="997"/>
          </w:tcPr>
          <w:p>
            <w:r>
              <w:rPr>
                <w:sz w:val="18"/>
              </w:rPr>
            </w:r>
            <w:r>
              <w:rPr>
                <w:sz w:val="18"/>
              </w:rPr>
              <w:t>Anos civis e fonte de verificação</w:t>
            </w:r>
          </w:p>
        </w:tc>
        <w:tc>
          <w:tcPr>
            <w:tcW w:type="dxa" w:w="997"/>
          </w:tcPr>
          <w:p>
            <w:r>
              <w:rPr>
                <w:sz w:val="18"/>
              </w:rPr>
            </w:r>
            <w:r>
              <w:rPr>
                <w:sz w:val="18"/>
              </w:rPr>
              <w:t>Fase 11 (A.2)</w:t>
            </w:r>
          </w:p>
        </w:tc>
        <w:tc>
          <w:tcPr>
            <w:tcW w:type="dxa" w:w="997"/>
          </w:tcPr>
          <w:p>
            <w:r>
              <w:rPr>
                <w:sz w:val="18"/>
              </w:rPr>
            </w:r>
            <w:r>
              <w:rPr>
                <w:sz w:val="18"/>
              </w:rPr>
              <w:t>P1</w:t>
            </w:r>
          </w:p>
        </w:tc>
        <w:tc>
          <w:tcPr>
            <w:tcW w:type="dxa" w:w="997"/>
          </w:tcPr>
          <w:p>
            <w:r>
              <w:rPr>
                <w:sz w:val="18"/>
              </w:rPr>
            </w:r>
            <w:r>
              <w:rPr>
                <w:sz w:val="18"/>
              </w:rPr>
              <w:t>Anos de projeto, sem verificação</w:t>
            </w:r>
          </w:p>
        </w:tc>
        <w:tc>
          <w:tcPr>
            <w:tcW w:type="dxa" w:w="997"/>
          </w:tcPr>
          <w:p>
            <w:r>
              <w:rPr>
                <w:sz w:val="18"/>
              </w:rPr>
            </w:r>
            <w:r>
              <w:rPr>
                <w:sz w:val="18"/>
              </w:rPr>
              <w:t>Anos civis, sistema e responsável</w:t>
            </w:r>
          </w:p>
        </w:tc>
        <w:tc>
          <w:tcPr>
            <w:tcW w:type="dxa" w:w="997"/>
          </w:tcPr>
          <w:p>
            <w:r>
              <w:rPr>
                <w:sz w:val="18"/>
              </w:rPr>
            </w:r>
            <w:r>
              <w:rPr>
                <w:sz w:val="18"/>
              </w:rPr>
              <w:t>+0,5</w:t>
            </w:r>
          </w:p>
        </w:tc>
        <w:tc>
          <w:tcPr>
            <w:tcW w:type="dxa" w:w="997"/>
          </w:tcPr>
          <w:p>
            <w:r>
              <w:rPr>
                <w:sz w:val="18"/>
              </w:rPr>
            </w:r>
            <w:r>
              <w:rPr>
                <w:sz w:val="18"/>
              </w:rPr>
              <w:t>Revisar a matriz de indicadores</w:t>
            </w:r>
          </w:p>
        </w:tc>
        <w:tc>
          <w:tcPr>
            <w:tcW w:type="dxa" w:w="997"/>
          </w:tcPr>
          <w:p>
            <w:r>
              <w:rPr>
                <w:sz w:val="18"/>
              </w:rPr>
            </w:r>
            <w:r>
              <w:rPr>
                <w:sz w:val="18"/>
              </w:rPr>
              <w:t>Proponente</w:t>
            </w:r>
          </w:p>
        </w:tc>
        <w:tc>
          <w:tcPr>
            <w:tcW w:type="dxa" w:w="997"/>
          </w:tcPr>
          <w:p>
            <w:r>
              <w:rPr>
                <w:sz w:val="18"/>
              </w:rPr>
            </w:r>
            <w:r>
              <w:rPr>
                <w:sz w:val="18"/>
              </w:rPr>
              <w:t>15 dias</w:t>
            </w:r>
          </w:p>
        </w:tc>
      </w:tr>
      <w:tr>
        <w:tc>
          <w:tcPr>
            <w:tcW w:type="dxa" w:w="997"/>
          </w:tcPr>
          <w:p>
            <w:r>
              <w:rPr>
                <w:sz w:val="18"/>
              </w:rPr>
            </w:r>
            <w:r>
              <w:rPr>
                <w:sz w:val="18"/>
              </w:rPr>
              <w:t>9</w:t>
            </w:r>
          </w:p>
        </w:tc>
        <w:tc>
          <w:tcPr>
            <w:tcW w:type="dxa" w:w="997"/>
          </w:tcPr>
          <w:p>
            <w:r>
              <w:rPr>
                <w:sz w:val="18"/>
              </w:rPr>
            </w:r>
            <w:r>
              <w:rPr>
                <w:sz w:val="18"/>
              </w:rPr>
              <w:t>Governança Executivo e órgão autônomo</w:t>
            </w:r>
          </w:p>
        </w:tc>
        <w:tc>
          <w:tcPr>
            <w:tcW w:type="dxa" w:w="997"/>
          </w:tcPr>
          <w:p>
            <w:r>
              <w:rPr>
                <w:sz w:val="18"/>
              </w:rPr>
            </w:r>
            <w:r>
              <w:rPr>
                <w:sz w:val="18"/>
              </w:rPr>
              <w:t>Fase 10 / pergunta 9</w:t>
            </w:r>
          </w:p>
        </w:tc>
        <w:tc>
          <w:tcPr>
            <w:tcW w:type="dxa" w:w="997"/>
          </w:tcPr>
          <w:p>
            <w:r>
              <w:rPr>
                <w:sz w:val="18"/>
              </w:rPr>
            </w:r>
            <w:r>
              <w:rPr>
                <w:sz w:val="18"/>
              </w:rPr>
              <w:t>P2</w:t>
            </w:r>
          </w:p>
        </w:tc>
        <w:tc>
          <w:tcPr>
            <w:tcW w:type="dxa" w:w="997"/>
          </w:tcPr>
          <w:p>
            <w:r>
              <w:rPr>
                <w:sz w:val="18"/>
              </w:rPr>
            </w:r>
            <w:r>
              <w:rPr>
                <w:sz w:val="18"/>
              </w:rPr>
              <w:t>Delegação genérica</w:t>
            </w:r>
          </w:p>
        </w:tc>
        <w:tc>
          <w:tcPr>
            <w:tcW w:type="dxa" w:w="997"/>
          </w:tcPr>
          <w:p>
            <w:r>
              <w:rPr>
                <w:sz w:val="18"/>
              </w:rPr>
            </w:r>
            <w:r>
              <w:rPr>
                <w:sz w:val="18"/>
              </w:rPr>
              <w:t>Instrumento formal</w:t>
            </w:r>
          </w:p>
        </w:tc>
        <w:tc>
          <w:tcPr>
            <w:tcW w:type="dxa" w:w="997"/>
          </w:tcPr>
          <w:p>
            <w:r>
              <w:rPr>
                <w:sz w:val="18"/>
              </w:rPr>
            </w:r>
            <w:r>
              <w:rPr>
                <w:sz w:val="18"/>
              </w:rPr>
              <w:t>+0,5</w:t>
            </w:r>
          </w:p>
        </w:tc>
        <w:tc>
          <w:tcPr>
            <w:tcW w:type="dxa" w:w="997"/>
          </w:tcPr>
          <w:p>
            <w:r>
              <w:rPr>
                <w:sz w:val="18"/>
              </w:rPr>
            </w:r>
            <w:r>
              <w:rPr>
                <w:sz w:val="18"/>
              </w:rPr>
              <w:t>Convênio de execução com papéis e fluxo do serviço da dívida</w:t>
            </w:r>
          </w:p>
        </w:tc>
        <w:tc>
          <w:tcPr>
            <w:tcW w:type="dxa" w:w="997"/>
          </w:tcPr>
          <w:p>
            <w:r>
              <w:rPr>
                <w:sz w:val="18"/>
              </w:rPr>
            </w:r>
            <w:r>
              <w:rPr>
                <w:sz w:val="18"/>
              </w:rPr>
              <w:t>Proponente / Credor</w:t>
            </w:r>
          </w:p>
        </w:tc>
        <w:tc>
          <w:tcPr>
            <w:tcW w:type="dxa" w:w="997"/>
          </w:tcPr>
          <w:p>
            <w:r>
              <w:rPr>
                <w:sz w:val="18"/>
              </w:rPr>
            </w:r>
            <w:r>
              <w:rPr>
                <w:sz w:val="18"/>
              </w:rPr>
              <w:t>60 dias</w:t>
            </w:r>
          </w:p>
        </w:tc>
      </w:tr>
      <w:tr>
        <w:tc>
          <w:tcPr>
            <w:tcW w:type="dxa" w:w="997"/>
          </w:tcPr>
          <w:p>
            <w:r>
              <w:rPr>
                <w:sz w:val="18"/>
              </w:rPr>
            </w:r>
            <w:r>
              <w:rPr>
                <w:sz w:val="18"/>
              </w:rPr>
              <w:t>10</w:t>
            </w:r>
          </w:p>
        </w:tc>
        <w:tc>
          <w:tcPr>
            <w:tcW w:type="dxa" w:w="997"/>
          </w:tcPr>
          <w:p>
            <w:r>
              <w:rPr>
                <w:sz w:val="18"/>
              </w:rPr>
            </w:r>
            <w:r>
              <w:rPr>
                <w:sz w:val="18"/>
              </w:rPr>
              <w:t>Custo por beneficiário e referências</w:t>
            </w:r>
          </w:p>
        </w:tc>
        <w:tc>
          <w:tcPr>
            <w:tcW w:type="dxa" w:w="997"/>
          </w:tcPr>
          <w:p>
            <w:r>
              <w:rPr>
                <w:sz w:val="18"/>
              </w:rPr>
            </w:r>
            <w:r>
              <w:rPr>
                <w:sz w:val="18"/>
              </w:rPr>
              <w:t>Fase 10 / pergunta 3</w:t>
            </w:r>
          </w:p>
        </w:tc>
        <w:tc>
          <w:tcPr>
            <w:tcW w:type="dxa" w:w="997"/>
          </w:tcPr>
          <w:p>
            <w:r>
              <w:rPr>
                <w:sz w:val="18"/>
              </w:rPr>
            </w:r>
            <w:r>
              <w:rPr>
                <w:sz w:val="18"/>
              </w:rPr>
              <w:t>P2</w:t>
            </w:r>
          </w:p>
        </w:tc>
        <w:tc>
          <w:tcPr>
            <w:tcW w:type="dxa" w:w="997"/>
          </w:tcPr>
          <w:p>
            <w:r>
              <w:rPr>
                <w:sz w:val="18"/>
              </w:rPr>
            </w:r>
            <w:r>
              <w:rPr>
                <w:sz w:val="18"/>
              </w:rPr>
              <w:t>Ausente</w:t>
            </w:r>
          </w:p>
        </w:tc>
        <w:tc>
          <w:tcPr>
            <w:tcW w:type="dxa" w:w="997"/>
          </w:tcPr>
          <w:p>
            <w:r>
              <w:rPr>
                <w:sz w:val="18"/>
              </w:rPr>
            </w:r>
            <w:r>
              <w:rPr>
                <w:sz w:val="18"/>
              </w:rPr>
              <w:t>2 a 3 referências</w:t>
            </w:r>
          </w:p>
        </w:tc>
        <w:tc>
          <w:tcPr>
            <w:tcW w:type="dxa" w:w="997"/>
          </w:tcPr>
          <w:p>
            <w:r>
              <w:rPr>
                <w:sz w:val="18"/>
              </w:rPr>
            </w:r>
            <w:r>
              <w:rPr>
                <w:sz w:val="18"/>
              </w:rPr>
              <w:t>+0,5</w:t>
            </w:r>
          </w:p>
        </w:tc>
        <w:tc>
          <w:tcPr>
            <w:tcW w:type="dxa" w:w="997"/>
          </w:tcPr>
          <w:p>
            <w:r>
              <w:rPr>
                <w:sz w:val="18"/>
              </w:rPr>
            </w:r>
            <w:r>
              <w:rPr>
                <w:sz w:val="18"/>
              </w:rPr>
              <w:t>Comparar com operações de justiça e segurança do credor</w:t>
            </w:r>
          </w:p>
        </w:tc>
        <w:tc>
          <w:tcPr>
            <w:tcW w:type="dxa" w:w="997"/>
          </w:tcPr>
          <w:p>
            <w:r>
              <w:rPr>
                <w:sz w:val="18"/>
              </w:rPr>
            </w:r>
            <w:r>
              <w:rPr>
                <w:sz w:val="18"/>
              </w:rPr>
              <w:t>Credor</w:t>
            </w:r>
          </w:p>
        </w:tc>
        <w:tc>
          <w:tcPr>
            <w:tcW w:type="dxa" w:w="997"/>
          </w:tcPr>
          <w:p>
            <w:r>
              <w:rPr>
                <w:sz w:val="18"/>
              </w:rPr>
            </w:r>
            <w:r>
              <w:rPr>
                <w:sz w:val="18"/>
              </w:rPr>
              <w:t>30 dias</w:t>
            </w:r>
          </w:p>
        </w:tc>
      </w:tr>
      <w:tr>
        <w:tc>
          <w:tcPr>
            <w:tcW w:type="dxa" w:w="997"/>
          </w:tcPr>
          <w:p>
            <w:r>
              <w:rPr>
                <w:sz w:val="18"/>
              </w:rPr>
            </w:r>
            <w:r>
              <w:rPr>
                <w:sz w:val="18"/>
              </w:rPr>
              <w:t>11</w:t>
            </w:r>
          </w:p>
        </w:tc>
        <w:tc>
          <w:tcPr>
            <w:tcW w:type="dxa" w:w="997"/>
          </w:tcPr>
          <w:p>
            <w:r>
              <w:rPr>
                <w:sz w:val="18"/>
              </w:rPr>
            </w:r>
            <w:r>
              <w:rPr>
                <w:sz w:val="18"/>
              </w:rPr>
              <w:t>Compra de imóvel e obras</w:t>
            </w:r>
          </w:p>
        </w:tc>
        <w:tc>
          <w:tcPr>
            <w:tcW w:type="dxa" w:w="997"/>
          </w:tcPr>
          <w:p>
            <w:r>
              <w:rPr>
                <w:sz w:val="18"/>
              </w:rPr>
            </w:r>
            <w:r>
              <w:rPr>
                <w:sz w:val="18"/>
              </w:rPr>
              <w:t>Fase 10 / pergunta 7</w:t>
            </w:r>
          </w:p>
        </w:tc>
        <w:tc>
          <w:tcPr>
            <w:tcW w:type="dxa" w:w="997"/>
          </w:tcPr>
          <w:p>
            <w:r>
              <w:rPr>
                <w:sz w:val="18"/>
              </w:rPr>
            </w:r>
            <w:r>
              <w:rPr>
                <w:sz w:val="18"/>
              </w:rPr>
              <w:t>P2</w:t>
            </w:r>
          </w:p>
        </w:tc>
        <w:tc>
          <w:tcPr>
            <w:tcW w:type="dxa" w:w="997"/>
          </w:tcPr>
          <w:p>
            <w:r>
              <w:rPr>
                <w:sz w:val="18"/>
              </w:rPr>
            </w:r>
            <w:r>
              <w:rPr>
                <w:sz w:val="18"/>
              </w:rPr>
              <w:t>Sem justificativa</w:t>
            </w:r>
          </w:p>
        </w:tc>
        <w:tc>
          <w:tcPr>
            <w:tcW w:type="dxa" w:w="997"/>
          </w:tcPr>
          <w:p>
            <w:r>
              <w:rPr>
                <w:sz w:val="18"/>
              </w:rPr>
            </w:r>
            <w:r>
              <w:rPr>
                <w:sz w:val="18"/>
              </w:rPr>
              <w:t>Elegibilidade comprovada</w:t>
            </w:r>
          </w:p>
        </w:tc>
        <w:tc>
          <w:tcPr>
            <w:tcW w:type="dxa" w:w="997"/>
          </w:tcPr>
          <w:p>
            <w:r>
              <w:rPr>
                <w:sz w:val="18"/>
              </w:rPr>
            </w:r>
            <w:r>
              <w:rPr>
                <w:sz w:val="18"/>
              </w:rPr>
              <w:t>0</w:t>
            </w:r>
          </w:p>
        </w:tc>
        <w:tc>
          <w:tcPr>
            <w:tcW w:type="dxa" w:w="997"/>
          </w:tcPr>
          <w:p>
            <w:r>
              <w:rPr>
                <w:sz w:val="18"/>
              </w:rPr>
            </w:r>
            <w:r>
              <w:rPr>
                <w:sz w:val="18"/>
              </w:rPr>
              <w:t>Justificar ou retirar a aquisição de imóvel</w:t>
            </w:r>
          </w:p>
        </w:tc>
        <w:tc>
          <w:tcPr>
            <w:tcW w:type="dxa" w:w="997"/>
          </w:tcPr>
          <w:p>
            <w:r>
              <w:rPr>
                <w:sz w:val="18"/>
              </w:rPr>
            </w:r>
            <w:r>
              <w:rPr>
                <w:sz w:val="18"/>
              </w:rPr>
              <w:t>Proponente / Credor</w:t>
            </w:r>
          </w:p>
        </w:tc>
        <w:tc>
          <w:tcPr>
            <w:tcW w:type="dxa" w:w="997"/>
          </w:tcPr>
          <w:p>
            <w:r>
              <w:rPr>
                <w:sz w:val="18"/>
              </w:rPr>
            </w:r>
            <w:r>
              <w:rPr>
                <w:sz w:val="18"/>
              </w:rPr>
              <w:t>30 dias</w:t>
            </w:r>
          </w:p>
        </w:tc>
      </w:tr>
    </w:tbl>
    <w:p/>
    <w:p>
      <w:r>
        <w:t>Resumo: 11 itens. Melhoria estimada se todos os P0 e P1 forem atendidos: +1,0 a +3,0 na Nota de Área Estratégica. Nova faixa da Nota de Área Estratégica: [Mínimo 5,00 — Esperado 8,50 — Máximo 10,00].</w:t>
      </w:r>
    </w:p>
    <w:p>
      <w:r>
        <w:rPr>
          <w:b/>
        </w:rPr>
        <w:t>Rota para Área Estratégica máxima (10,000): Atual para Meta por área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864"/>
          </w:tcPr>
          <w:p>
            <w:r>
              <w:rPr>
                <w:sz w:val="18"/>
              </w:rPr>
            </w:r>
            <w:r>
              <w:rPr>
                <w:b/>
                <w:color w:val="FFFFFF"/>
                <w:sz w:val="18"/>
              </w:rPr>
              <w:t>Área</w:t>
            </w:r>
          </w:p>
        </w:tc>
        <w:tc>
          <w:tcPr>
            <w:tcW w:type="dxa" w:w="1994"/>
            <w:shd w:val="clear" w:color="auto" w:fill="1F3864"/>
          </w:tcPr>
          <w:p>
            <w:r>
              <w:rPr>
                <w:sz w:val="18"/>
              </w:rPr>
            </w:r>
            <w:r>
              <w:rPr>
                <w:b/>
                <w:color w:val="FFFFFF"/>
                <w:sz w:val="18"/>
              </w:rPr>
              <w:t>Atual (nível e pontos)</w:t>
            </w:r>
          </w:p>
        </w:tc>
        <w:tc>
          <w:tcPr>
            <w:tcW w:type="dxa" w:w="1994"/>
            <w:shd w:val="clear" w:color="auto" w:fill="1F3864"/>
          </w:tcPr>
          <w:p>
            <w:r>
              <w:rPr>
                <w:sz w:val="18"/>
              </w:rPr>
            </w:r>
            <w:r>
              <w:rPr>
                <w:b/>
                <w:color w:val="FFFFFF"/>
                <w:sz w:val="18"/>
              </w:rPr>
              <w:t>Meta (nível e pontos)</w:t>
            </w:r>
          </w:p>
        </w:tc>
        <w:tc>
          <w:tcPr>
            <w:tcW w:type="dxa" w:w="1994"/>
            <w:shd w:val="clear" w:color="auto" w:fill="1F3864"/>
          </w:tcPr>
          <w:p>
            <w:r>
              <w:rPr>
                <w:sz w:val="18"/>
              </w:rPr>
            </w:r>
            <w:r>
              <w:rPr>
                <w:b/>
                <w:color w:val="FFFFFF"/>
                <w:sz w:val="18"/>
              </w:rPr>
              <w:t>Tarefas aplicáveis</w:t>
            </w:r>
          </w:p>
        </w:tc>
        <w:tc>
          <w:tcPr>
            <w:tcW w:type="dxa" w:w="1994"/>
            <w:shd w:val="clear" w:color="auto" w:fill="1F3864"/>
          </w:tcPr>
          <w:p>
            <w:r>
              <w:rPr>
                <w:sz w:val="18"/>
              </w:rPr>
            </w:r>
            <w:r>
              <w:rPr>
                <w:b/>
                <w:color w:val="FFFFFF"/>
                <w:sz w:val="18"/>
              </w:rPr>
              <w:t>Variação estimada</w:t>
            </w:r>
          </w:p>
        </w:tc>
      </w:tr>
      <w:tr>
        <w:tc>
          <w:tcPr>
            <w:tcW w:type="dxa" w:w="1994"/>
          </w:tcPr>
          <w:p>
            <w:r>
              <w:rPr>
                <w:sz w:val="18"/>
              </w:rPr>
            </w:r>
            <w:r>
              <w:rPr>
                <w:sz w:val="18"/>
              </w:rPr>
              <w:t>112</w:t>
            </w:r>
          </w:p>
        </w:tc>
        <w:tc>
          <w:tcPr>
            <w:tcW w:type="dxa" w:w="1994"/>
          </w:tcPr>
          <w:p>
            <w:r>
              <w:rPr>
                <w:sz w:val="18"/>
              </w:rPr>
            </w:r>
            <w:r>
              <w:rPr>
                <w:sz w:val="18"/>
              </w:rPr>
              <w:t>B — 3,0</w:t>
            </w:r>
          </w:p>
        </w:tc>
        <w:tc>
          <w:tcPr>
            <w:tcW w:type="dxa" w:w="1994"/>
          </w:tcPr>
          <w:p>
            <w:r>
              <w:rPr>
                <w:sz w:val="18"/>
              </w:rPr>
            </w:r>
            <w:r>
              <w:rPr>
                <w:sz w:val="18"/>
              </w:rPr>
              <w:t>A — 5,0</w:t>
            </w:r>
          </w:p>
        </w:tc>
        <w:tc>
          <w:tcPr>
            <w:tcW w:type="dxa" w:w="1994"/>
          </w:tcPr>
          <w:p>
            <w:r>
              <w:rPr>
                <w:sz w:val="18"/>
              </w:rPr>
            </w:r>
            <w:r>
              <w:rPr>
                <w:sz w:val="18"/>
              </w:rPr>
              <w:t>R4, R5, R9, R10</w:t>
            </w:r>
          </w:p>
        </w:tc>
        <w:tc>
          <w:tcPr>
            <w:tcW w:type="dxa" w:w="1994"/>
          </w:tcPr>
          <w:p>
            <w:r>
              <w:rPr>
                <w:sz w:val="18"/>
              </w:rPr>
            </w:r>
            <w:r>
              <w:rPr>
                <w:sz w:val="18"/>
              </w:rPr>
              <w:t>+2,0</w:t>
            </w:r>
          </w:p>
        </w:tc>
      </w:tr>
      <w:tr>
        <w:tc>
          <w:tcPr>
            <w:tcW w:type="dxa" w:w="1994"/>
          </w:tcPr>
          <w:p>
            <w:r>
              <w:rPr>
                <w:sz w:val="18"/>
              </w:rPr>
            </w:r>
            <w:r>
              <w:rPr>
                <w:sz w:val="18"/>
              </w:rPr>
              <w:t>303</w:t>
            </w:r>
          </w:p>
        </w:tc>
        <w:tc>
          <w:tcPr>
            <w:tcW w:type="dxa" w:w="1994"/>
          </w:tcPr>
          <w:p>
            <w:r>
              <w:rPr>
                <w:sz w:val="18"/>
              </w:rPr>
            </w:r>
            <w:r>
              <w:rPr>
                <w:sz w:val="18"/>
              </w:rPr>
              <w:t>C — 2,0</w:t>
            </w:r>
          </w:p>
        </w:tc>
        <w:tc>
          <w:tcPr>
            <w:tcW w:type="dxa" w:w="1994"/>
          </w:tcPr>
          <w:p>
            <w:r>
              <w:rPr>
                <w:sz w:val="18"/>
              </w:rPr>
            </w:r>
            <w:r>
              <w:rPr>
                <w:sz w:val="18"/>
              </w:rPr>
              <w:t>B — 3,0</w:t>
            </w:r>
          </w:p>
        </w:tc>
        <w:tc>
          <w:tcPr>
            <w:tcW w:type="dxa" w:w="1994"/>
          </w:tcPr>
          <w:p>
            <w:r>
              <w:rPr>
                <w:sz w:val="18"/>
              </w:rPr>
            </w:r>
            <w:r>
              <w:rPr>
                <w:sz w:val="18"/>
              </w:rPr>
              <w:t>R2, R4, R6</w:t>
            </w:r>
          </w:p>
        </w:tc>
        <w:tc>
          <w:tcPr>
            <w:tcW w:type="dxa" w:w="1994"/>
          </w:tcPr>
          <w:p>
            <w:r>
              <w:rPr>
                <w:sz w:val="18"/>
              </w:rPr>
            </w:r>
            <w:r>
              <w:rPr>
                <w:sz w:val="18"/>
              </w:rPr>
              <w:t>+1,0</w:t>
            </w:r>
          </w:p>
        </w:tc>
      </w:tr>
      <w:tr>
        <w:tc>
          <w:tcPr>
            <w:tcW w:type="dxa" w:w="1994"/>
          </w:tcPr>
          <w:p>
            <w:r>
              <w:rPr>
                <w:sz w:val="18"/>
              </w:rPr>
            </w:r>
            <w:r>
              <w:rPr>
                <w:sz w:val="18"/>
              </w:rPr>
              <w:t>307</w:t>
            </w:r>
          </w:p>
        </w:tc>
        <w:tc>
          <w:tcPr>
            <w:tcW w:type="dxa" w:w="1994"/>
          </w:tcPr>
          <w:p>
            <w:r>
              <w:rPr>
                <w:sz w:val="18"/>
              </w:rPr>
            </w:r>
            <w:r>
              <w:rPr>
                <w:sz w:val="18"/>
              </w:rPr>
              <w:t>D — 1,0</w:t>
            </w:r>
          </w:p>
        </w:tc>
        <w:tc>
          <w:tcPr>
            <w:tcW w:type="dxa" w:w="1994"/>
          </w:tcPr>
          <w:p>
            <w:r>
              <w:rPr>
                <w:sz w:val="18"/>
              </w:rPr>
            </w:r>
            <w:r>
              <w:rPr>
                <w:sz w:val="18"/>
              </w:rPr>
              <w:t>D — 1,0 (proteger)</w:t>
            </w:r>
          </w:p>
        </w:tc>
        <w:tc>
          <w:tcPr>
            <w:tcW w:type="dxa" w:w="1994"/>
          </w:tcPr>
          <w:p>
            <w:r>
              <w:rPr>
                <w:sz w:val="18"/>
              </w:rPr>
            </w:r>
            <w:r>
              <w:rPr>
                <w:sz w:val="18"/>
              </w:rPr>
              <w:t>R6, R13</w:t>
            </w:r>
          </w:p>
        </w:tc>
        <w:tc>
          <w:tcPr>
            <w:tcW w:type="dxa" w:w="1994"/>
          </w:tcPr>
          <w:p>
            <w:r>
              <w:rPr>
                <w:sz w:val="18"/>
              </w:rPr>
            </w:r>
            <w:r>
              <w:rPr>
                <w:sz w:val="18"/>
              </w:rPr>
              <w:t>0 (protege contra queda a zero)</w:t>
            </w:r>
          </w:p>
        </w:tc>
      </w:tr>
      <w:tr>
        <w:tc>
          <w:tcPr>
            <w:tcW w:type="dxa" w:w="1994"/>
          </w:tcPr>
          <w:p>
            <w:r>
              <w:rPr>
                <w:sz w:val="18"/>
              </w:rPr>
            </w:r>
            <w:r>
              <w:rPr>
                <w:sz w:val="18"/>
              </w:rPr>
              <w:t>201</w:t>
            </w:r>
          </w:p>
        </w:tc>
        <w:tc>
          <w:tcPr>
            <w:tcW w:type="dxa" w:w="1994"/>
          </w:tcPr>
          <w:p>
            <w:r>
              <w:rPr>
                <w:sz w:val="18"/>
              </w:rPr>
            </w:r>
            <w:r>
              <w:rPr>
                <w:sz w:val="18"/>
              </w:rPr>
              <w:t>D — 1,0</w:t>
            </w:r>
          </w:p>
        </w:tc>
        <w:tc>
          <w:tcPr>
            <w:tcW w:type="dxa" w:w="1994"/>
          </w:tcPr>
          <w:p>
            <w:r>
              <w:rPr>
                <w:sz w:val="18"/>
              </w:rPr>
            </w:r>
            <w:r>
              <w:rPr>
                <w:sz w:val="18"/>
              </w:rPr>
              <w:t>D — 1,0 (proteger)</w:t>
            </w:r>
          </w:p>
        </w:tc>
        <w:tc>
          <w:tcPr>
            <w:tcW w:type="dxa" w:w="1994"/>
          </w:tcPr>
          <w:p>
            <w:r>
              <w:rPr>
                <w:sz w:val="18"/>
              </w:rPr>
            </w:r>
            <w:r>
              <w:rPr>
                <w:sz w:val="18"/>
              </w:rPr>
              <w:t>R2, R13</w:t>
            </w:r>
          </w:p>
        </w:tc>
        <w:tc>
          <w:tcPr>
            <w:tcW w:type="dxa" w:w="1994"/>
          </w:tcPr>
          <w:p>
            <w:r>
              <w:rPr>
                <w:sz w:val="18"/>
              </w:rPr>
            </w:r>
            <w:r>
              <w:rPr>
                <w:sz w:val="18"/>
              </w:rPr>
              <w:t>0</w:t>
            </w:r>
          </w:p>
        </w:tc>
      </w:tr>
      <w:tr>
        <w:tc>
          <w:tcPr>
            <w:tcW w:type="dxa" w:w="1994"/>
          </w:tcPr>
          <w:p>
            <w:r>
              <w:rPr>
                <w:sz w:val="18"/>
              </w:rPr>
            </w:r>
            <w:r>
              <w:rPr>
                <w:sz w:val="18"/>
              </w:rPr>
              <w:t>Bônus prioridade do PPA</w:t>
            </w:r>
          </w:p>
        </w:tc>
        <w:tc>
          <w:tcPr>
            <w:tcW w:type="dxa" w:w="1994"/>
          </w:tcPr>
          <w:p>
            <w:r>
              <w:rPr>
                <w:sz w:val="18"/>
              </w:rPr>
            </w:r>
            <w:r>
              <w:rPr>
                <w:sz w:val="18"/>
              </w:rPr>
              <w:t>0</w:t>
            </w:r>
          </w:p>
        </w:tc>
        <w:tc>
          <w:tcPr>
            <w:tcW w:type="dxa" w:w="1994"/>
          </w:tcPr>
          <w:p>
            <w:r>
              <w:rPr>
                <w:sz w:val="18"/>
              </w:rPr>
            </w:r>
            <w:r>
              <w:rPr>
                <w:sz w:val="18"/>
              </w:rPr>
              <w:t>0</w:t>
            </w:r>
          </w:p>
        </w:tc>
        <w:tc>
          <w:tcPr>
            <w:tcW w:type="dxa" w:w="1994"/>
          </w:tcPr>
          <w:p>
            <w:r>
              <w:rPr>
                <w:sz w:val="18"/>
              </w:rPr>
            </w:r>
            <w:r>
              <w:rPr>
                <w:sz w:val="18"/>
              </w:rPr>
              <w:t>R1 não aplicável sem redesenho (só 10% em prioridade)</w:t>
            </w:r>
          </w:p>
        </w:tc>
        <w:tc>
          <w:tcPr>
            <w:tcW w:type="dxa" w:w="1994"/>
          </w:tcPr>
          <w:p>
            <w:r>
              <w:rPr>
                <w:sz w:val="18"/>
              </w:rPr>
            </w:r>
            <w:r>
              <w:rPr>
                <w:sz w:val="18"/>
              </w:rPr>
              <w:t>0</w:t>
            </w:r>
          </w:p>
        </w:tc>
      </w:tr>
      <w:tr>
        <w:tc>
          <w:tcPr>
            <w:tcW w:type="dxa" w:w="1994"/>
          </w:tcPr>
          <w:p>
            <w:r>
              <w:rPr>
                <w:sz w:val="18"/>
              </w:rPr>
            </w:r>
            <w:r>
              <w:rPr>
                <w:sz w:val="18"/>
              </w:rPr>
              <w:t>Soma</w:t>
            </w:r>
          </w:p>
        </w:tc>
        <w:tc>
          <w:tcPr>
            <w:tcW w:type="dxa" w:w="1994"/>
          </w:tcPr>
          <w:p>
            <w:r>
              <w:rPr>
                <w:sz w:val="18"/>
              </w:rPr>
            </w:r>
            <w:r>
              <w:rPr>
                <w:sz w:val="18"/>
              </w:rPr>
              <w:t>7,0</w:t>
            </w:r>
          </w:p>
        </w:tc>
        <w:tc>
          <w:tcPr>
            <w:tcW w:type="dxa" w:w="1994"/>
          </w:tcPr>
          <w:p>
            <w:r>
              <w:rPr>
                <w:sz w:val="18"/>
              </w:rPr>
            </w:r>
            <w:r>
              <w:rPr>
                <w:sz w:val="18"/>
              </w:rPr>
              <w:t>10,0 (5+3+1+1)</w:t>
            </w:r>
          </w:p>
        </w:tc>
        <w:tc>
          <w:tcPr>
            <w:tcW w:type="dxa" w:w="1994"/>
          </w:tcPr>
          <w:p>
            <w:r>
              <w:rPr>
                <w:sz w:val="18"/>
              </w:rPr>
            </w:r>
            <w:r>
              <w:rPr>
                <w:sz w:val="18"/>
              </w:rPr>
              <w:t>Caminho aritmético 1 sem bônus: A + B + D + D</w:t>
            </w:r>
          </w:p>
        </w:tc>
        <w:tc>
          <w:tcPr>
            <w:tcW w:type="dxa" w:w="1994"/>
          </w:tcPr>
          <w:p>
            <w:r>
              <w:rPr>
                <w:sz w:val="18"/>
              </w:rPr>
            </w:r>
            <w:r>
              <w:rPr>
                <w:sz w:val="18"/>
              </w:rPr>
              <w:t>+3,0</w:t>
            </w:r>
          </w:p>
        </w:tc>
      </w:tr>
    </w:tbl>
    <w:p/>
    <w:p>
      <w:pPr>
        <w:pStyle w:val="ListBullet"/>
      </w:pPr>
      <w:r>
        <w:t>Caminho escolhido: variante do caminho 1 (A + B + D + bônus), trocando o bônus por uma segunda área D, porque o bônus de prioridade do PPA exigiria 100% dos recursos em prioridades e apenas a Área 201 é elegível.</w:t>
      </w:r>
    </w:p>
    <w:p>
      <w:pPr>
        <w:pStyle w:val="ListBullet"/>
      </w:pPr>
      <w:r>
        <w:t>R2 — tabela de custo por área, produto a produto: a carta já informa custos por área (US$ 12,53 / 6,34 / 2,81 / 2,50 milhões); falta mostrar que nenhum produto foi repartido e mover a infraestrutura de dados para a 303 (+0,5 a +1,0).</w:t>
      </w:r>
    </w:p>
    <w:p>
      <w:pPr>
        <w:pStyle w:val="ListBullet"/>
      </w:pPr>
      <w:r>
        <w:t>R4 — concentrar orçamento: 112 precisa subir de 50% para perto de 67% e 303 de 25% para mais de 30%; as duas metas competem entre si, então a soma 112 + 303 deve chegar a cerca de 98% retirando a compra de imóvel ou parte das reformas (+1,0 a +2,0).</w:t>
      </w:r>
    </w:p>
    <w:p>
      <w:pPr>
        <w:pStyle w:val="ListBullet"/>
      </w:pPr>
      <w:r>
        <w:t>R5 e R9 — objetivo geral e impacto excepcional: reescrever o objetivo geral centrado na asfixia financeira do crime organizado e quantificar o impacto em relação ao universo estadual (ex.: participação dos procedimentos contra organizações criminosas com persecução patrimonial; valor devolvido ao erário em relação ao total recuperado no Estado) (+2,0).</w:t>
      </w:r>
    </w:p>
    <w:p>
      <w:pPr>
        <w:pStyle w:val="ListBullet"/>
      </w:pPr>
      <w:r>
        <w:t>R10 — inovação: a carta já argumenta replicabilidade nacional por meio de fóruns dos Ministérios Públicos; acrescentar referência de pioneirismo do modelo de procedimentos patrimoniais autônomos (parte de R9).</w:t>
      </w:r>
    </w:p>
    <w:p>
      <w:pPr>
        <w:pStyle w:val="ListBullet"/>
      </w:pPr>
      <w:r>
        <w:t>R6 — indicadores: substituir as contagens da 307 por indicador de resultado com ano-meta (protege contra a queda a zero, frequente nesse objetivo).</w:t>
      </w:r>
    </w:p>
    <w:p>
      <w:pPr>
        <w:pStyle w:val="ListBullet"/>
      </w:pPr>
      <w:r>
        <w:t>R7 — área nova: a 302 (capacidades estatais) poderia entrar em D com produto próprio de capacitação e governança de dados, mas só ajuda se as demais não perderem fatia; não necessária para o caminho escolhido.</w:t>
      </w:r>
    </w:p>
    <w:p>
      <w:pPr>
        <w:pStyle w:val="ListBullet"/>
      </w:pPr>
      <w:r>
        <w:t>R13 — checar regressões: não retirar o rótulo ambiental sem preservar o produto e o custo da Área 201.</w:t>
      </w:r>
    </w:p>
    <w:p>
      <w:pPr>
        <w:pStyle w:val="ListBullet"/>
      </w:pPr>
      <w:r>
        <w:t>Honestidade sobre o teto: 10,000 nunca foi observado nas 154 Notas Técnicas da Resolução Normativa 1/2024 (máximo 9,0 sem bônus e 9,5 com bônus). As tarefas acima são uma rota de desenho, não garantia de nota.</w:t>
      </w:r>
    </w:p>
    <w:p>
      <w:pPr>
        <w:pStyle w:val="Heading1"/>
      </w:pPr>
      <w:r>
        <w:t>10. Janela e Momento (circunstancial)</w:t>
      </w:r>
    </w:p>
    <w:p>
      <w:r>
        <w:t>Viabilidade de sublimite: o valor de US$ 20 milhões é pequeno para o sublimite Geral e não aciona os redutores de porte (valor acima de 15% ou 25% do teto da reunião). O valor da operação ser menor ou igual ao saldo do teto da reunião é condição necessária, independente da nota; o saldo não foi consultado (sem ata nem busca nesta execução).</w:t>
      </w:r>
    </w:p>
    <w:p>
      <w:r>
        <w:t>Taxa-base de desfecho (não é veredito): no corpus anonimizado, pleitos subnacionais abaixo de US$ 50 milhões sob a Resolução Normativa 1/2024 tiveram 17 aprovações em 23 avaliações (74%); as recusas vieram de teto excedido, outros motivos do Art. 28 e lacunas de informação. Como a Nota Geral esperada de 10,38 é condição necessária mas não suficiente, a leitura de probabilidade é favorável ao porte e condicionada a dois fatores externos à nota: saldo do teto na data da reunião e espaço fiscal do Estado no Programa de Acompanhamento Fiscal.</w:t>
      </w:r>
    </w:p>
    <w:p>
      <w:r>
        <w:t>Estratégia de iteração: status de reenvio desconhecido. Se houver nova submissão, reenviar o mesmo texto não muda a nota; os ganhos vêm de redesenho de áreas, indicadores e recursos (seção 9). Persistência tem retornos decrescentes: no máximo dois ciclos antes de reestruturação.</w:t>
      </w:r>
    </w:p>
    <w:p>
      <w:r>
        <w:rPr>
          <w:i/>
          <w:sz w:val="18"/>
        </w:rPr>
        <w:t>Dado circunstancial: antes de decidir o momento, o operador deve consultar a ata mais recente da COFIEX, os comunicados e resoluções em vigor e a posição do pleito na fila do Portal de Financiamento Externo. Esta análise usa dados históricos apenas como referência estrutural.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