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Comentários à carta-consulta</w:t>
      </w:r>
    </w:p>
    <w:p>
      <w:r>
        <w:rPr>
          <w:b/>
        </w:rPr>
        <w:t>Programa de Financiamento às Transições Tecnológicas Energética e Digital de Minas Gerais — Banco de Desenvolvimento de Minas Gerais (instituição financeira estatal estadual não dependente)</w:t>
      </w:r>
    </w:p>
    <w:p>
      <w:r>
        <w:t>Seguem comentários à versão 6 da carta-consulta do Programa de Financiamento às Transições Tecnológicas Energética e Digital de Minas Gerais, organizados pelas seções do formulário do Portal de Financiamento Externo. Cada item indica o problema observado e uma redação sugerida para a próxima versão.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Seção do formulário (Anexo I)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4535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Redação sugerida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I. Projeto – Componentes e V. Financiamento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Os componentes 1 e 2 não atribuem custo às áreas estratégicas que declaram. Sem essa atribuição, o valor de cada componente é dividido em partes iguais por 9 e 10 áreas, e nenhuma área recebe mais de 10% do total.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Incluir, para cada componente, uma tabela de destinação indicativa: 'Do componente 2 (US$ 60 milhões), US$ [x] milhões destinam-se à conectividade de unidades públicas (área 209), US$ [y] milhões à digitalização de serviços municipais (área 303) e US$ [z] milhões à saúde digital (área 102), conforme a carteira indicativa do Anexo [n]'.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II. Áreas Estratégicas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Foram declarados 16 objetivos do PPA. Sete deles (305, 214, 107, 202, 215, 302 e 206) não têm objetivo específico, produto, indicador e custo próprios, ou têm indicador que mede outra coisa.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Manter apenas os objetivos com produto, indicador de resultado e custo próprios, por exemplo: '208 – US$ [x] milhões em geração renovável e eficiência energética; indicador: energia economizada ou gerada (megawatt-hora por ano), linha de base [valor] em [ano], meta [valor] no ano 5'.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I. Projeto – Indicadores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Treze dos dezoito indicadores têm linha de base zero e medem contagens (projetos, contratos, municípios). Há unidades trocadas: o indicador de unidades conectadas diz medir 'percentual de projetos' e o de escolas diz medir 'municípios'. O indicador de empregos define razão na fórmula e número absoluto na unidade.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Para cada indicador: 'Fórmula: [numerador] / [denominador] × 100; unidade: [unidade única]; linha de base: [valor medido na carteira atual de linhas verdes e de inovação], [ano]; meta: [valor] no ano 5; fonte: [sistema do banco ou base oficial]; área do PPA: [uma só]'.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I. Projeto – Objetivos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O compromisso com municípios de menor Índice de Desenvolvimento Humano é de 5% dos recursos de cada componente, considerado reduzido. O argumento de alavancagem de 1 para 5 não se aplica ao indicador, que mede apenas os recursos do empréstimo.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'Pelo menos [30]% dos recursos de cada componente serão destinados a municípios da área de atuação da Superintendência do Desenvolvimento do Nordeste ou com Índice de Desenvolvimento Humano Municipal abaixo da média nacional, verificados por relatório semestral de desembolsos por município.'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I. Projeto – Beneficiários e III. Gestão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Os critérios de elegibilidade dos subprojetos são genéricos e só dois subprojetos de mobilidade elétrica aparecem descritos, apenas na seção de áreas estratégicas.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Incluir uma carteira indicativa com pelo menos três subprojetos por componente (setor, município, valor, indicador esperado) e os critérios de elegibilidade e de seleção de cada linha de crédito.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IV. Riscos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Todos os sete riscos estão classificados como de impacto e probabilidade baixos. Não há risco de demanda dos municípios (limite de endividamento), de segurança cibernética e proteção de dados nos subprojetos digitais, nem de comunidades tradicionais na cadeia de minerais críticos. A matriz não indica responsável nem prazo.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Reapresentar a matriz com probabilidade, impacto, medida de mitigação, área responsável e prazo para cada risco, acrescentando: demanda e capacidade de endividamento dos municípios; segurança cibernética e Lei Geral de Proteção de Dados; povos e comunidades tradicionais em subprojetos de mineração.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IV. Riscos – socioambiental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A carta descreve a política socioambiental do banco, mas não um sistema de gestão ambiental e social do intermediário aplicado aos subprojetos nem um mecanismo de reclamação.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'O banco adotará um sistema de gestão ambiental e social para a carteira do programa, com triagem por categoria de risco, lista de exclusão, monitoramento e relatório anual ao credor, além de mecanismo de reclamação acessível aos beneficiários dos subprojetos.'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V. Financiamento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O comparativo com outros credores está só em texto e não inclui a fonte nacional. A carta menciona demonstrações financeiras 'de 31 de dezembro de 2026', data posterior à própria carta.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Incluir tabela com moeda, prazo, carência, taxa indicativa, comissões e custo efetivo para o BIRD, dois outros credores externos e uma fonte nacional de longo prazo; corrigir a data das demonstrações financeiras para 31/12/2025.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</w:r>
            <w:r>
              <w:rPr>
                <w:sz w:val="18"/>
              </w:rPr>
              <w:t>III. Gestão – Operacionalização e Manutenção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</w:r>
            <w:r>
              <w:rPr>
                <w:sz w:val="18"/>
              </w:rPr>
              <w:t>Não há estimativa de custo de operação dos produtos digitais financiados nem do custo do próprio banco para gerir as linhas após o desembolso.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</w:r>
            <w:r>
              <w:rPr>
                <w:sz w:val="18"/>
              </w:rPr>
              <w:t>Incluir tabela de cinco anos com o custo de gestão das linhas e, para os subprojetos digitais, a exigência de que o município demonstre a fonte do custeio anual (licenças, hospedagem, manutenção) como condição de elegibilidade.</w:t>
            </w:r>
          </w:p>
        </w:tc>
      </w:tr>
    </w:tbl>
    <w:p/>
    <w:p>
      <w:r>
        <w:t>Os ajustes mais relevantes são a atribuição de custo por área, a redução do número de áreas declaradas e a revisão dos indicadores. Ficamos à disposição para revisar a próxima versão antes do envio.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