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Simulação da Avaliação Técnica COFIEX</w:t>
      </w:r>
    </w:p>
    <w:p>
      <w:r>
        <w:rPr>
          <w:b/>
        </w:rPr>
        <w:t>Programa de Financiamento às Transições Tecnológicas Energética e Digital de Minas Gerais — Banco de Desenvolvimento de Minas Gerais (instituição financeira estatal estadual não dependente)</w:t>
      </w:r>
    </w:p>
    <w:p>
      <w:r>
        <w:rPr>
          <w:i/>
        </w:rPr>
        <w:t>Data da simulação: 30/10/2026. Versão da skill: cofiex-scorer V.1 BETA (atualizada em 27/10/2026), julgamento cego, reunião-alvo 187ª (18/06/2026). Simulação sob julgamento cego, sem consulta à Nota Técnica do pleito. Resultado estimativo; não substitui a avaliação oficial.</w:t>
      </w:r>
    </w:p>
    <w:p>
      <w:pPr>
        <w:pStyle w:val="Heading1"/>
      </w:pPr>
      <w:r>
        <w:t>Resumo para o líder de equipe</w:t>
      </w:r>
    </w:p>
    <w:p>
      <w:r>
        <w:rPr>
          <w:b/>
        </w:rPr>
        <w:t xml:space="preserve">Veredito: </w:t>
      </w:r>
      <w:r>
        <w:t>Admissível e com Dados Objetivos fortes, mas abaixo da linha de corte recente do sublimite Geral: a dispersão do orçamento por 16 objetivos do PPA segura toda área no nível D ou abaixo.</w:t>
      </w:r>
    </w:p>
    <w:p>
      <w:r>
        <w:rPr>
          <w:b/>
          <w:sz w:val="32"/>
        </w:rPr>
        <w:t>Nota Geral esperada: 10,41</w:t>
      </w:r>
    </w:p>
    <w:p>
      <w:r>
        <w:rPr>
          <w:b/>
          <w:sz w:val="24"/>
        </w:rPr>
        <w:t>Nota de Área Estratégica esperada: 6,00</w:t>
      </w:r>
    </w:p>
    <w:p>
      <w:r>
        <w:rPr>
          <w:i/>
          <w:sz w:val="18"/>
        </w:rPr>
        <w:t>Faixa empírica de 80% da Nota Geral: 8,3 a 12,5. A Nota Geral cai cerca de 1,4 ponto se a Secretaria não aplicar o Índice de Desenvolvimento Humano do Estado a uma instituição financeira, e sobe até 2,0 pontos se os dois bônus pedidos forem concedidos.</w:t>
      </w:r>
    </w:p>
    <w:p>
      <w:r>
        <w:rPr>
          <w:b/>
        </w:rPr>
        <w:t xml:space="preserve">Sublimite recomendado: </w:t>
      </w:r>
      <w:r>
        <w:t>Subnacional – Geral cabe no limite da 187ª, mas a nota fica abaixo da linha; a rota mais promissora é separar o componente de transição energética numa operação de até US$ 40 milhões para o Ambiental e Climático e reconcentrar o orçamento da parte digital.</w:t>
      </w:r>
    </w:p>
    <w:p>
      <w:r>
        <w:rPr>
          <w:b/>
        </w:rPr>
        <w:t>As três lacunas que mais custam nota</w:t>
      </w:r>
    </w:p>
    <w:p>
      <w:r>
        <w:t>1. Orçamento repartido linearmente por 16 objetivos do PPA: nenhuma área passa de 10,2% e todas ficam limitadas ao nível D.</w:t>
      </w:r>
    </w:p>
    <w:p>
      <w:r>
        <w:t>2. Indicadores de contagem com linha de base zero em 13 de 18 e vínculos de área trocados (por exemplo, escolas conectadas ligadas à mineração).</w:t>
      </w:r>
    </w:p>
    <w:p>
      <w:r>
        <w:t>3. Sete áreas sem sustentação (305, 214, 107, 202, 215, 302, 206) que tendem a zero e diluem as demais na repartição.</w:t>
      </w:r>
    </w:p>
    <w:p>
      <w:r>
        <w:rPr>
          <w:b/>
        </w:rPr>
        <w:t>As três ações de maior ganho</w:t>
      </w:r>
    </w:p>
    <w:p>
      <w:r>
        <w:t>1. Atribuir no formulário o custo de cada componente por área, concentrando pelo menos 15% em 208, 209 e 303 (nível C possível em cada uma). (ganho: +1,5 a +2,5 na Nota de Área Estratégica)</w:t>
      </w:r>
    </w:p>
    <w:p>
      <w:r>
        <w:t>2. Retirar as sete áreas sem sustentação e realocar os recursos para as áreas que já pontuam. (ganho: +0,5 a +1,0 na Nota de Área Estratégica (por concentração))</w:t>
      </w:r>
    </w:p>
    <w:p>
      <w:r>
        <w:t>3. Trocar indicadores de contagem por indicadores de resultado com linha de base medida na carteira atual do banco e ligar cada indicador a uma só área. (ganho: +0,5 a +1,0 na Nota de Área Estratégica)</w:t>
      </w:r>
    </w:p>
    <w:p>
      <w:pPr>
        <w:pStyle w:val="Heading1"/>
      </w:pPr>
      <w:r>
        <w:t>Summary for the task team leader</w:t>
      </w:r>
    </w:p>
    <w:p>
      <w:r>
        <w:rPr>
          <w:b/>
        </w:rPr>
        <w:t xml:space="preserve">Verdict: </w:t>
      </w:r>
      <w:r>
        <w:t>Admissible, with strong objective data, but below the recent cut-off line of the General sub-ceiling: spreading the budget across 16 multi-year plan objectives caps every area at level D or lower.</w:t>
      </w:r>
    </w:p>
    <w:p>
      <w:r>
        <w:rPr>
          <w:b/>
          <w:sz w:val="32"/>
        </w:rPr>
        <w:t>Expected Overall Score: 10.41</w:t>
      </w:r>
    </w:p>
    <w:p>
      <w:r>
        <w:rPr>
          <w:b/>
          <w:sz w:val="24"/>
        </w:rPr>
        <w:t>Expected Strategic Area Score: 6.00</w:t>
      </w:r>
    </w:p>
    <w:p>
      <w:r>
        <w:rPr>
          <w:i/>
          <w:sz w:val="18"/>
        </w:rPr>
        <w:t>80% empirical range of the Overall Score: 8.3 to 12.5. The Overall Score drops about 1.4 points if the Secretariat does not apply the State Human Development Index to a financial institution, and rises up to 2.0 points if both requested bonuses are granted.</w:t>
      </w:r>
    </w:p>
    <w:p>
      <w:r>
        <w:rPr>
          <w:b/>
        </w:rPr>
        <w:t xml:space="preserve">Recommended sublimit: </w:t>
      </w:r>
      <w:r>
        <w:t>The General sub-ceiling has room at the 187th meeting, but the score is below the line; the most promising route is to carve the energy transition component into an operation of up to US$ 40 million for the Environmental and Climate sub-ceiling and re-concentrate the digital budget.</w:t>
      </w:r>
    </w:p>
    <w:p>
      <w:r>
        <w:rPr>
          <w:b/>
        </w:rPr>
        <w:t>The three gaps that cost the most points</w:t>
      </w:r>
    </w:p>
    <w:p>
      <w:r>
        <w:t>1. Budget split evenly across 16 multi-year plan objectives: no area exceeds 10.2%, so all are capped at level D.</w:t>
      </w:r>
    </w:p>
    <w:p>
      <w:r>
        <w:t>2. Count indicators with zero baseline in 13 of 18, and mismatched area links (for example, connected schools linked to mining).</w:t>
      </w:r>
    </w:p>
    <w:p>
      <w:r>
        <w:t>3. Seven unsupported areas (305, 214, 107, 202, 215, 302, 206) likely to score zero and dilute the others.</w:t>
      </w:r>
    </w:p>
    <w:p>
      <w:r>
        <w:rPr>
          <w:b/>
        </w:rPr>
        <w:t>The three highest-gain actions</w:t>
      </w:r>
    </w:p>
    <w:p>
      <w:r>
        <w:t>1. Assign each component's cost by area in the form, concentrating at least 15% in objectives 208, 209 and 303 (level C becomes possible in each). (gain: +1.5 to +2.5 Strategic Area Score)</w:t>
      </w:r>
    </w:p>
    <w:p>
      <w:r>
        <w:t>2. Drop the seven unsupported areas and reallocate their resources to the areas that already score. (gain: +0.5 to +1.0 Strategic Area Score (through concentration))</w:t>
      </w:r>
    </w:p>
    <w:p>
      <w:r>
        <w:t>3. Replace count indicators with outcome indicators baselined on the bank's current portfolio, each linked to a single area. (gain: +0.5 to +1.0 Strategic Area Score)</w:t>
      </w:r>
    </w:p>
    <w:p>
      <w:r>
        <w:br w:type="page"/>
      </w:r>
    </w:p>
    <w:p>
      <w:pPr>
        <w:pStyle w:val="Heading1"/>
      </w:pPr>
      <w:r>
        <w:t>Sumário executivo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Proposta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Programa de Financiamento às Transições Tecnológicas Energética e Digital de Minas Gerais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Proponente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Banco de Desenvolvimento de Minas Gerais (instituição financeira estatal estadual não dependente)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Credor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BIRD (Banco Internacional para Reconstrução e Desenvolvimento)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Valor total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US$ 100.000.000,00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Valor do empréstimo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US$ 100.000.000,00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Contrapartida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US$ 0,00 (dispensa pedida com base no Art. 34 da Resolução Normativa 1/2024); exigência de 20% de contrapartida dos submutuários privados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Sublimite-alvo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Subnacional – Geral (sublimite não declarado na carta; inferido)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Tipo de ente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Estatal subnacional não dependente, instituição financeira; contragarantia do Estado de Minas Gerais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Modalidade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Linha de crédito por banco de desenvolvimento (repasse a municípios e empresas)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Transição energética US$ 38 milhões; transição digital US$ 60 milhões; assistência técnica US$ 2 milhões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Condições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Prazo 240 meses, carência 60, amortização 180; taxa SOFR + 1,84% (margem variável); comissão de compromisso 0,25%; comissão de avaliação 0,25%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sz w:val="18"/>
              </w:rPr>
              <w:t>Situação de reenvio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sz w:val="18"/>
              </w:rPr>
              <w:t>Reenvio declarado na própria carta (versão 6, revisada após o Grupo Técnico de 24/04/2026); desfecho anterior não informado pelo usuário</w:t>
            </w:r>
          </w:p>
        </w:tc>
      </w:tr>
    </w:tbl>
    <w:p/>
    <w:p>
      <w:r>
        <w:t>A carta passa na admissibilidade e os Dados Objetivos são fortes pelo enquadramento como instituição financeira, mas a Nota de Área Estratégica fica moderada porque o orçamento de cada componente é espalhado por 9 a 10 objetivos do PPA, sem custo atribuído por área. Com a Nota Geral esperada em torno de 10,4, o pleito fica abaixo da linha de corte recente do sublimite Geral, que tem limite suficiente na 187ª mas não aprovou nenhum pleito na 185ª.</w:t>
      </w:r>
    </w:p>
    <w:p>
      <w:pPr>
        <w:pStyle w:val="Heading2"/>
      </w:pPr>
      <w:r>
        <w:t>Tabela 1 — Pontuação por item: mínima, esperada e máxima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453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Dados Objetivos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Nota do Índice de Desenvolvimento Humano (até 2,00)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1,41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1,45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Dados Objetivos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Capacidade de Pagamento (até 2,00)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Dados Objetivos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Tendência da Dívida (até 1,00)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Dados Objetivos (teto 5,00)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0,50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4,41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4,45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303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111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102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104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302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202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215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107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305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Bônus — Prioridade do PPA (Art. 15 §3º) (pedido; alinhamento parcial)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Estratégica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Bônus — Integração regional (Art. 15 §4º) (pedido; sem enquadramento documental)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4535"/>
            <w:shd w:val="clear" w:color="auto" w:fill="D9E2F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Nota de Área Estratégica (teto 10,00, bônus incluído)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2,00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6,00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10,00</w:t>
            </w:r>
          </w:p>
        </w:tc>
      </w:tr>
      <w:tr>
        <w:tc>
          <w:tcPr>
            <w:tcW w:type="dxa" w:w="1701"/>
            <w:shd w:val="clear" w:color="auto" w:fill="B4C6E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4535"/>
            <w:shd w:val="clear" w:color="auto" w:fill="B4C6E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Nota Geral (Dados Objetivos + Nota de Área Estratégica, teto 15,00)</w:t>
            </w:r>
          </w:p>
        </w:tc>
        <w:tc>
          <w:tcPr>
            <w:tcW w:type="dxa" w:w="1134"/>
            <w:shd w:val="clear" w:color="auto" w:fill="B4C6E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2,50</w:t>
            </w:r>
          </w:p>
        </w:tc>
        <w:tc>
          <w:tcPr>
            <w:tcW w:type="dxa" w:w="1134"/>
            <w:shd w:val="clear" w:color="auto" w:fill="B4C6E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10,41</w:t>
            </w:r>
          </w:p>
        </w:tc>
        <w:tc>
          <w:tcPr>
            <w:tcW w:type="dxa" w:w="1134"/>
            <w:shd w:val="clear" w:color="auto" w:fill="B4C6E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14,45</w:t>
            </w:r>
          </w:p>
        </w:tc>
      </w:tr>
    </w:tbl>
    <w:p/>
    <w:p>
      <w:r>
        <w:rPr>
          <w:b/>
        </w:rPr>
        <w:t>Nota Geral esperada: 10,41.</w:t>
      </w:r>
    </w:p>
    <w:p>
      <w:r>
        <w:rPr>
          <w:i/>
          <w:sz w:val="18"/>
        </w:rPr>
        <w:t>Faixa calibrada pelos erros do banco de teste (cobre cerca de 80% dos casos): Nota Geral de 8,31 a 12,51. As colunas Mínimo e Máximo acima são cenários da rubrica.</w:t>
      </w:r>
    </w:p>
    <w:p>
      <w:r>
        <w:rPr>
          <w:i/>
          <w:sz w:val="18"/>
        </w:rPr>
        <w:t>Base de calibração: Base de calibração: n=6 perfis comparáveis (regime da Resolução Normativa 1/2024 com marcador de repasse ou intermediação); relaxado: setor, subtipo, credor e faixa de valor; dados fracos: subtipos misturados (federal e subnacional) e cartão de fundo com só 3 avaliações no regime atual; ancoragem: empurrada em direção à mediana comparável de 4,75 (dispersão 2,0 a 9,0), de 6,5 pela rubrica para 6,0.</w:t>
      </w:r>
    </w:p>
    <w:p>
      <w:pPr>
        <w:pStyle w:val="Heading2"/>
      </w:pPr>
      <w:r>
        <w:t>Tabela 2 — Objetivos estratégicos do PPA indicados no pleito e pontuação possível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0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Código PPA</w:t>
            </w:r>
          </w:p>
        </w:tc>
        <w:tc>
          <w:tcPr>
            <w:tcW w:type="dxa" w:w="24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Objetivo estratégico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124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Nível (mín./esp./máx.)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Pontos (mín./esp./máx.)</w:t>
            </w:r>
          </w:p>
        </w:tc>
        <w:tc>
          <w:tcPr>
            <w:tcW w:type="dxa" w:w="260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Fundamento resumido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Produtividade e competitividade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 / D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 / 1,00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Objetivos específicos 7 e 14 e indicadores de produtividade próprios; 10,2% do orçamento por repartição linear; meta de variação de 2% é modesta.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208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Segurança energética, fontes limpas e eficiência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 / D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 / 1,00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Produto de energia renovável e eficiência com valor, objetivo específico 5 e indicador de cofinanciamento; só 4,2% pela repartição linear.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209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Transformação digital da economia e inclusão digital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 / D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 / 1,00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Objetivos 8 e 11 de conectividade, indicador de unidades públicas conectadas; 6,0% do orçamento.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303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Transformação digital do governo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 / D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0,50 / 1,00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Objetivos 9 e 10, indicadores de municípios com serviços digitalizados e interoperáveis; objetivo do grupo que costuma pontuar; 6,0%.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111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Cidades sustentáveis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E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0,50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Mobilidade elétrica e cidades inteligentes no texto dos produtos; nenhum objetivo específico urbano; indicadores atribuídos não medem a área.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102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Saúde pública (Sistema Único de Saúde)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E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0,50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Saúde digital citada no componente 2; o único indicador ligado é o de conectividade, que já sustenta a área 209.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104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Ensino médio, técnico e superior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E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0,50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Objetivos 11 e 12 e indicadores próprios, mas metas pequenas (3 instituições, 30 escolas): impacto baixo.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207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Trabalho digno e inserção produtiva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E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0,50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 específico 4 de empregos, mas o indicador de empregos foi ligado a 204 e 305 e a fórmula mistura razão e número absoluto.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Neoindustrialização e descarbonização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D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1,00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Hidrogênio e descarbonização industrial no produto 1, mas o indicador ligado é o de empregos; o de emissões evitadas foi ligado a outras áreas.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206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Ciência, tecnologia e inovação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E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0,50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Indicadores medem contratos de consultoria do próprio banco (execução); objetivo do grupo que quase sempre fica em 0.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214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Redução das desigualdades regionais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E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0,50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Compromisso de só 5% dos recursos para municípios de baixo Índice de Desenvolvimento Humano; objetivo rejeitado em 88% das avaliações.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302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Capacidades estatais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E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0,50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Sem produto ou indicador que não esteja já contado em 303 ou 209; sem dupla contagem.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202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Desastres e adaptação climática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E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0,50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A carta financia mitigação, não adaptação; indicador de emissões evitadas não mede risco de desastre.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215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Setor mineral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E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0,50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Minerais críticos só na seção de áreas; o indicador ligado mede escolas conectadas.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107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Proteção e autonomia das mulheres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E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0,50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Empresas lideradas por mulheres citadas sem meta, cota ou indicador desagregado.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305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Cooperação internacional e desenvolvimento regional integrado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Declarada sem sustentação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 / 0 / 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0,00 / 0,00 / 0,00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 sempre rejeitado na base; recursos não identificados.</w:t>
            </w:r>
          </w:p>
        </w:tc>
      </w:tr>
    </w:tbl>
    <w:p/>
    <w:p>
      <w:pPr>
        <w:pStyle w:val="Heading2"/>
      </w:pPr>
      <w:r>
        <w:t>Tabela 3 — Sugestões a considerar (resumo)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Sugestão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 afetado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47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Ganho estimado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Confirmar o enquadramento como instituição financeira (índice de Basileia atualizado, com data e fonte do Banco Central)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Capacidade de Pagamento e Tendência da Dívida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protege até 1,5 ponto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Demonstrar a situação do Estado contragarantidor nos contratos com a União e no regime fiscal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Art. 28, I, g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evita eliminação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Tabela de custo por área com alocação explícita de cada componente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Áreas 208, 209, 303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+1,5 a +2,5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Retirar áreas sem sustentação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Áreas 305, 214, 107, 202, 215, 302, 206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+0,5 a +1,0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Indicadores de resultado com linha de base medida e um vínculo por área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Todas as áreas pontuadas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+0,5 a +1,0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Cota mínima de recursos para a área da Superintendência do Desenvolvimento do Nordeste com indicador próprio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Bônus de integração regional e área 214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+0,5 a +1,0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Carteira-piloto com pelo menos 3 subprojetos por componente e critérios de elegibilidade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Perguntas 12 e 20 do Grupo Técnico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evita pergunta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de gestão ambiental e social do intermediário e mecanismo de reclamação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Riscos e Padrão Ambiental e Social 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evita pergunta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sz w:val="18"/>
              </w:rPr>
              <w:t>Tabela comparativa de condições financeiras com fonte nacional e dois credores externos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Justificativa do credor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evita pergunta</w:t>
            </w:r>
          </w:p>
        </w:tc>
      </w:tr>
    </w:tbl>
    <w:p/>
    <w:p>
      <w:r>
        <w:rPr>
          <w:i/>
          <w:sz w:val="18"/>
        </w:rPr>
        <w:t>Sugestões indicativas. O detalhamento, a priorização e o ganho estimado de cada uma estão na seção Plano de Correção.</w:t>
      </w:r>
    </w:p>
    <w:p>
      <w:pPr>
        <w:pStyle w:val="Heading1"/>
      </w:pPr>
      <w:r>
        <w:t>1. Cabeçalho</w:t>
      </w:r>
    </w:p>
    <w:p>
      <w:r>
        <w:t>Proposta: Programa de Financiamento às Transições Tecnológicas Energética e Digital de Minas Gerais. Proponente: Banco de Desenvolvimento de Minas Gerais. Credor: BIRD. Valor da operação: US$ 100 milhões, sem contrapartida do proponente. Carta-consulta versão 6, de 08/05/2026, preparada para a 187ª reunião (18/06/2026).</w:t>
      </w:r>
    </w:p>
    <w:p>
      <w:pPr>
        <w:pStyle w:val="ListBullet"/>
      </w:pPr>
      <w:r>
        <w:t>O que esta simulação faz: reproduz a análise técnica (Art. 9 a 23), o filtro eliminatório (Art. 28), a pontuação objetiva (Art. 10, Anexos II e III), o sublimite (Art. 25), as perguntas do Grupo Técnico e um parecer com sugestões seção a seção.</w:t>
      </w:r>
    </w:p>
    <w:p>
      <w:pPr>
        <w:pStyle w:val="ListBullet"/>
      </w:pPr>
      <w:r>
        <w:t>Checagem regulatória em tempo real (FASE 0): nenhuma resolução normativa nova publicada foi encontrada além da base ativa; os resultados indicam uma proposta de alteração da Resolução Normativa 1/2024 em pauta na 186ª reunião, sem texto final localizado. Base aplicada: Resolução Normativa 1/2024 consolidada, com as Resoluções 32/2025, 142/2026, 150/2026 e 151/2026.</w:t>
      </w:r>
    </w:p>
    <w:p>
      <w:pPr>
        <w:pStyle w:val="ListBullet"/>
      </w:pPr>
      <w:r>
        <w:t>Modalidade lida no texto: linha de crédito de banco de desenvolvimento, com repasse a municípios e a micro, pequenas e médias empresas; subprojetos ainda não definidos, mas com metas anuais para todos os indicadores.</w:t>
      </w:r>
    </w:p>
    <w:p>
      <w:pPr>
        <w:pStyle w:val="Heading1"/>
      </w:pPr>
      <w:r>
        <w:t>2. Integridade dos Insumos</w:t>
      </w:r>
    </w:p>
    <w:p>
      <w:r>
        <w:rPr>
          <w:b/>
        </w:rPr>
        <w:t>Marcações de integridade (FASE 1.6)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Efeito na pontuação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Capacidade de Pagamento da instituição financeira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Índice de Basileia de 23,9% em 31/12/2023, informado pela própria carta; nenhuma tabela geral consultada traz o índice atual. Marcação de insumo: pedir o valor do último trimestre com fonte do Banco Central (relatório público de instituições financeiras).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Mantida a classe máxima no cenário esperado: a margem sobre o limite de 15% é larga.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Regra de enquadramento da estatal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 tabela empacotada do Estado de Minas Gerais traz Capacidade de Pagamento D (ciclo 2025, em vigor desde 10/03/2026) e Dívida Consolidada Líquida sobre Receita Corrente Líquida de 167,5% em 2025. A instituição tem indicador próprio (Basileia), então a regra da skill pontua pela própria instituição.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Se a Secretaria usar o ente mantenedor, a Capacidade de Pagamento D seria eliminatória: tratado como risco P0, não como nota.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Índice de Desenvolvimento Humano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de Minas Gerais, 0,774 (Índice de Desenvolvimento Humano de 2021, planilha empacotada), piso estadual de 0,680.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1,413 ponto esperado; a tabela de classificação de entes indica que o índice não se aplica a instituição financeira, o que leva o mínimo a zero.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Data das demonstrações financeiras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 carta cita demonstrações 'de 31 de dezembro de 2026'; o anexo é de 31/12/2025.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Inconsistência de texto; corrigir antes do envio.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Situação de reenvio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 carta declara ajustes após o Grupo Técnico de 30/01/2026 e de 24/04/2026 e um novo envio em 09/04/2026.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Tratada como segunda tentativa ou posterior, com texto revisado; desfecho anterior não informado.</w:t>
            </w:r>
          </w:p>
        </w:tc>
      </w:tr>
    </w:tbl>
    <w:p/>
    <w:p>
      <w:pPr>
        <w:pStyle w:val="Heading1"/>
      </w:pPr>
      <w:r>
        <w:t>3. Checagem Eliminatória</w:t>
      </w:r>
    </w:p>
    <w:p>
      <w:r>
        <w:rPr>
          <w:b/>
        </w:rPr>
        <w:t>Triagem do Anexo I e Art.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I. Projeto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Justificativa, objetivos, 18 indicadores, 3 componentes e beneficiários presentes.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II. Áreas Estratégicas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16 objetivos declarados, com texto por componente.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III. Gestão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Arranjo, estrutura operacional e matriz de responsabilidades.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IV. Riscos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Sete riscos descritos; qualidade tratada no item A.3.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V. Financiamento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Condições, cronograma e contragarantias; manifestação de concordância do BIRD anexada.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VI. Etapas realizadas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Preparação com o credor descrita.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Art. 28, I, b (piso da Nota de Área Estratégica)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Não se aplica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Estatal não dependente não tem piso.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Art. 28, I, c (Capacidade de Pagamento D)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APROVADO, condicional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Aprovado pela instituição; ver marcação da seção 2.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Art. 28, I, f e g (contratos com a União)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 VERIFICAR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 Estado de Minas Gerais é o contragarantidor; a alínea g é o motivo de mérito mais citado nas não aprovações do regime atual.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Contrapartida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CONDICIONAL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Contrapartida zero com dispensa pedida pelo Art. 34; confirmar o enquadramento da dispensa.</w:t>
            </w:r>
          </w:p>
        </w:tc>
      </w:tr>
    </w:tbl>
    <w:p/>
    <w:p>
      <w:r>
        <w:t>Resultado geral: CONDICIONAL. Não há falha eliminatória no texto; os dois pontos a resolver são externos à redação (situação fiscal do contragarantidor e enquadramento da estatal).</w:t>
      </w:r>
    </w:p>
    <w:p>
      <w:pPr>
        <w:pStyle w:val="Heading1"/>
      </w:pPr>
      <w:r>
        <w:t>4. Detalhamento da Nota de Área Estratégica</w:t>
      </w:r>
    </w:p>
    <w:p>
      <w:r>
        <w:t>Passo 0, orçamento por área: a carta não atribui custo por área, então cada componente é repartido em partes iguais entre as áreas que declara (componente 1 por 9 áreas; componente 2 por 10; componente 3 inteiro em 206). Resultado: 214, 111 e 205 com 10,2% cada; 206 com 8,0%; 102, 104, 209, 215, 302 e 303 com 6,0%; 107, 202, 204, 207, 208 e 305 com 4,2%. Nenhuma área chega a 15%, então o teto pelo orçamento é D para todas e não há área principal.</w:t>
      </w:r>
    </w:p>
    <w:p>
      <w:r>
        <w:rPr>
          <w:b/>
        </w:rPr>
        <w:t>Lente de pontuação por área (todos os números são Nota de Área Estratégica, componente)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Objetivo específico próprio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Produto próprio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Indicador de resultado com ano-meta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% do orçamento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Grupo do objetivo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Nível esperado</w:t>
            </w:r>
          </w:p>
        </w:tc>
        <w:tc>
          <w:tcPr>
            <w:tcW w:type="dxa" w:w="1246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Degrau que falta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205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(7 e 14)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 (produtividade, meta 2%)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10,2%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metade ou mais em 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C exige 15% atribuídos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208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(5)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 (cofinanciamento)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4,2%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metade ou mais em 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atribuído e indicador de energia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209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(8 e 11)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(unidades conectadas)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6,0%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costumam pontuar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15% atribuídos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303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(9 e 10)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(municípios digitalizados)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6,0%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costumam pontuar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15% atribuídos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111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10,2%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metade ou mais em 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E (0,5)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 e indicador urbanos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102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 (indicador compartilhado)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6,0%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costumam pontuar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E (0,5)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 de saúde próprio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104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(11 e 12)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sim, metas pequenas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6,0%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metade ou mais em 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E (0,5)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escala do impacto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207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 (4)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 ligado a outras áreas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4,2%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metade ou mais em 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E (0,5)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religar o indicador de empregos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204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 (3)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 (indicador ligado é de empregos)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4,2%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metade ou mais em 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ligar emissões evitadas a 204</w:t>
            </w:r>
          </w:p>
        </w:tc>
      </w:tr>
      <w:tr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206, 214, 302, 202, 215, 107, 305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variável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 ou compartilhado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4,2% a 10,2%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quase sempre 0 ou sem lastro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246"/>
          </w:tcPr>
          <w:p>
            <w:r>
              <w:rPr>
                <w:sz w:val="18"/>
              </w:rPr>
            </w:r>
            <w:r>
              <w:rPr>
                <w:sz w:val="18"/>
              </w:rPr>
              <w:t>retirar ou criar lastro próprio</w:t>
            </w:r>
          </w:p>
        </w:tc>
      </w:tr>
    </w:tbl>
    <w:p/>
    <w:p>
      <w:r>
        <w:t>Soma esperada das áreas: 6,0 na Nota de Área Estratégica (4 áreas em D e 4 em E). Teste da soma: a referência por grupo para 16 áreas secundárias é cerca de 6,0; a primeira leitura pela contagem de vínculos dava 9,25 e foi rebaixada nas áreas de vínculo mais fraco (302 por dupla contagem com 303 e 209; 202 por tratar de mitigação e não de adaptação; 206 por indicadores de execução; 215 por indicador trocado). Precedência entre âncoras: o teto pelo orçamento (D) prevaleceu sobre os critérios por objetivo; o conjunto comparável empurrou a estimativa de 6,5 para 6,0.</w:t>
      </w:r>
    </w:p>
    <w:p>
      <w:r>
        <w:t>Bônus: o de prioridade do PPA (Art. 15 §3º) foi pedido, mas a carta financia mineração, inovação e produtividade empresarial além das prioridades, e a regra exige recursos integralmente direcionados; fica só no cenário máximo. O de integração regional (Art. 15 §4º) foi pedido com base na área da Superintendência do Desenvolvimento do Nordeste, sem enquadramento documental; também só no cenário máximo.</w:t>
      </w:r>
    </w:p>
    <w:p>
      <w:pPr>
        <w:pStyle w:val="Heading1"/>
      </w:pPr>
      <w:r>
        <w:t>5. Notas dos Componentes</w:t>
      </w:r>
    </w:p>
    <w:p>
      <w:r>
        <w:rPr>
          <w:b/>
        </w:rPr>
        <w:t>Dados Objetivos (valor oficial ou da instituição; não mudam com a redação da carta)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Fonte e regra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Nota do Índice de Desenvolvimento Humano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1,413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0,000 a 1,453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Estado de Minas Gerais, 0,774 (2021); fórmula do Art. 18 com piso estadual 0,680; zero se a Secretaria considerar que o índice não se aplica à instituição financeira.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Classificação de Capacidade de Pagamento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(A+)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0,000 a 2,000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Instituição financeira: Basileia acima de 15% dá A+. Valor de 23,9% informado pela carta para 31/12/2023.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Nota de Tendência da Dívida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0,500 a 1,000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Instituição financeira em A+ ou A dá 1,000; pelo ente mantenedor, a regra calibrada dá 0,500 (nível de 167%).</w:t>
            </w:r>
          </w:p>
        </w:tc>
      </w:tr>
    </w:tbl>
    <w:p/>
    <w:p>
      <w:r>
        <w:rPr>
          <w:i/>
          <w:sz w:val="18"/>
        </w:rPr>
        <w:t>Esses três itens só se movem se a Secretaria trocar o critério de enquadramento da estatal; a redação da carta não os altera.</w:t>
      </w:r>
    </w:p>
    <w:p>
      <w:pPr>
        <w:pStyle w:val="Heading1"/>
      </w:pPr>
      <w:r>
        <w:t>6. Nota Final</w:t>
      </w:r>
    </w:p>
    <w:p>
      <w:r>
        <w:t>Nota Geral esperada: 10,41 = Dados Objetivos 4,41 (Índice de Desenvolvimento Humano 1,413 + Capacidade de Pagamento 2,000 + Tendência da Dívida 1,000) + Nota de Área Estratégica 6,00 (sem bônus).</w:t>
      </w:r>
    </w:p>
    <w:p>
      <w:r>
        <w:t>Faixa empírica de 80% da Nota Geral: 8,3 a 12,5. Faixa empírica da Nota de Área Estratégica: 3,8 a 8,2. Pela rubrica, a Nota Geral vai de 2,5 (todas as áreas no piso e Dados Objetivos pelo pior critério) a 14,5 (todas as áreas no teto de D e os dois bônus concedidos).</w:t>
      </w:r>
    </w:p>
    <w:p>
      <w:r>
        <w:rPr>
          <w:i/>
          <w:sz w:val="18"/>
        </w:rPr>
        <w:t>Base de calibração: n=6 perfis comparáveis (regime atual com marcador de repasse ou intermediação); relaxado: setor, subtipo, credor e faixa de valor; dados fracos: subtipos misturados e cartão de fundo com 3 avaliações no regime atual; ancoragem: empurrada em direção à mediana (6,5 para 6,0).</w:t>
      </w:r>
    </w:p>
    <w:p>
      <w:r>
        <w:t>Iteração (FASE 9.5): é um reenvio com texto revisado. Pela evidência de reenvios, a Área Estratégica costuma ficar igual quando a estrutura de áreas, produtos, indicadores e recursos não muda; as revisões desta versão acrescentaram texto na seção de áreas, mas não atribuíram custo nem criaram produto próprio por área, então o ganho esperado sobre a versão anterior é pequeno. Compressão de valor sozinha não resolve com a Nota de Área Estratégica abaixo de 8,5.</w:t>
      </w:r>
    </w:p>
    <w:p>
      <w:pPr>
        <w:pStyle w:val="Heading1"/>
      </w:pPr>
      <w:r>
        <w:t>7. Simulação das Perguntas do Grupo Técnico</w:t>
      </w:r>
    </w:p>
    <w:p>
      <w:r>
        <w:rPr>
          <w:b/>
        </w:rPr>
        <w:t>Perguntas aplicáveis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Número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Situação na carta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Lacuna ou ação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Repasse: qualidade dos subprojetos indefinidos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Só dois subprojetos de mobilidade elétrica descritos; pedir 3 por componente com indicadores.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Repasse: carteira e critérios de elegibilidade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Setorial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Critérios genéricos (normativos internos); explicitar seleção por linha.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Fundo: objetivos especificados ou postergados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Setorial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Metas anuais existem, mas 13 de 18 linhas de base são zero.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Concentração em municípios de maior capacidade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Cota de 5% é baixa; propor cota maior com indicador.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Sustentabilidade pós-projeto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Estratégia de captação descrita; sem custo de operação dos produtos digitais.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por beneficiário frente a operações comparáveis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Sem custo por empresa ou município apoiado nem referência regional.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Conectividade: quem paga a operação e manutenção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Alta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Sem atribuição do custeio da conectividade financiada.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Segurança cibernética e proteção de dados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Citada como linha financiável, não como risco dos subprojetos.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Contrapartida e respaldo legislativo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Lei autorizativa da contragarantia ainda a enviar à Assembleia; contrapartida zero com dispensa.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Inclusão digital desagregada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Baixa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 indicador por sexo, renda ou território além da cota regional.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Conectividade sem última milha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Média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RESPONDIDA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 de unidades públicas conectadas.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Multissetorial: setor citado é substancial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Setorial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Mineração, mulheres e cooperação internacional são retóricos.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27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Mecanismo de reclamação e violência de gênero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Setorial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Sem mecanismo de reclamação para os subprojetos.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Mudanças desde a última reunião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Iteração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RESPONDIDA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Anexos 33, 35 e 36 listam as alterações.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Por que o valor mudou ou não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Iteração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PARCIAL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Novo valor citado no Anexo 9 sem justificativa no texto.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Mudança de credor ou sublimite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Iteração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Sem análise de sublimite alternativo.</w:t>
            </w:r>
          </w:p>
        </w:tc>
      </w:tr>
    </w:tbl>
    <w:p/>
    <w:p>
      <w:r>
        <w:t>Contagem: 2 respondidas de 16 aplicáveis; taxa de blindagem de 13%. O risco dominante registrado nas não aprovações do regime atual é o limite da reunião, seguido da alínea g do Art. 28.</w:t>
      </w:r>
    </w:p>
    <w:p>
      <w:pPr>
        <w:pStyle w:val="Heading1"/>
      </w:pPr>
      <w:r>
        <w:t>8. Revisão Sênior de Banco Multilateral de Desenvolvimento</w:t>
      </w:r>
    </w:p>
    <w:p>
      <w:r>
        <w:rPr>
          <w:b/>
        </w:rPr>
        <w:t>Itens A.1 a A.6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Lacuna principal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A.1 Teoria da mudança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FRACO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Problemas bem caracterizados por eixo; soluções escritas no condicional ('poderá financiar').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Resultados sem cadeia até as metas: não se sabe como US$ 38 milhões levam às 2.000 toneladas adicionais de emissões evitadas.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A.2 Marco de resultados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FRACO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18 indicadores com metas anuais e fórmula na maioria.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Linha de base zero em 13; unidades trocadas; verificação só por metodologia interna.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A.3 Riscos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FRACO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Sete riscos com texto extenso.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Todos baixos e baixos; sem responsável e prazo; faltam demanda municipal, proteção de dados e comunidades tradicionais.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A.4 Implementação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ADEQUADO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Fluxo de crédito por superintendência, 648 empregados, experiência com sete credores multilaterais.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Conhecimento das regras de aquisição e do quadro ambiental e social do BIRD apenas afirmado.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A.5 Sustentabilidade financeira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ADEQUADO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Plano estratégico com captações de R$ 5,3 bilhões, proteção cambial cotada, Basileia de 23,9%.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Sem tabela de custo de gestão das linhas nem custeio dos produtos digitais.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A.6 Lente de Área Estratégica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ver seção 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Soma esperada 6,0 com quatro áreas em D.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Degrau de maior alavanca: custo atribuído de 15% ou mais em 208, 209 e 303.</w:t>
            </w:r>
          </w:p>
        </w:tc>
      </w:tr>
    </w:tbl>
    <w:p/>
    <w:p>
      <w:r>
        <w:t>Justificativa do credor: ADEQUADO. Os quatro subitens aparecem (externo contra interno pelo prazo de 25 anos e custo da proteção cambial; experiência do BIRD em transformação digital; condições completas; comparação com BID, NDB e CAF), mas só em texto, sem tabela e sem a fonte nacional na comparação. Prontidão para banco multilateral: CONDICIONALMENTE PRONTO.</w:t>
      </w:r>
    </w:p>
    <w:p>
      <w:r>
        <w:t>Lente Banco Mundial. Instrumento sugerido: Financiamento de Projeto de Investimento (Investment Project Financing) com intermediário financeiro, que é o desenho lido na carta (linha de crédito com subprojetos definidos depois). Programa para Resultados (Program-for-Results) não se encaixa: não há programa de governo com orçamento próprio, e indicador vinculado a desembolso (Disbursement-Linked Indicator) não se aplica.</w:t>
      </w:r>
    </w:p>
    <w:p>
      <w:r>
        <w:t>Padrões Ambientais e Sociais (Environmental and Social Standard) acionados, conforme o Quadro Ambiental e Social de 2016, em vigor desde outubro de 2018: 1 e 10 em todo projeto; 9, intermediários financeiros, como padrão central; 2, 3 e 4 conforme os subprojetos; 5 se garagens ou estações de recarga exigirem terreno; 6 e 7 se a linha financiar a cadeia de minerais críticos em regiões com comunidades tradicionais. Classe de risco provável: Substancial, enquanto a lista de exclusão não retirar mineração e hidrogênio de grande porte; Moderado se a carteira ficar em eficiência energética, geração distribuída e serviços digitais. A carta traz política socioambiental, lista de exclusão e checagem de licença por subprojeto; não traz sistema de gestão ambiental e social do intermediário nem mecanismo de reclamação.</w:t>
      </w:r>
    </w:p>
    <w:p>
      <w:r>
        <w:t>Quadro de Parceria com o País (Country Partnership Framework) para os anos fiscais 2024 a 2028: encaixe nos eixos de produtividade (micro, pequenas e médias empresas) e de sustentabilidade e clima (energia limpa); o eixo de inclusão depende de a cota regional ganhar escala.</w:t>
      </w:r>
    </w:p>
    <w:p>
      <w:r>
        <w:t>Rascunho de objetivo de desenvolvimento do projeto (Project Development Objective): ampliar o acesso de micro, pequenas e médias empresas e de municípios de Minas Gerais, com prioridade para os de menor desenvolvimento humano, a financiamento de longo prazo para energia limpa, eficiência energética e serviços digitais. Indicadores já presentes na carta que serviriam: emissões evitadas pelos projetos apoiados; projetos de eficiência energética apoiados; unidades públicas conectadas em regiões vulneráveis; participação dos recursos destinada a municípios abaixo da média nacional de desenvolvimento humano. Falta um indicador de acesso a crédito (volume ou número de empresas que obtêm financiamento de prazo superior a cinco anos pela primeira vez).</w:t>
      </w:r>
    </w:p>
    <w:p>
      <w:r>
        <w:rPr>
          <w:b/>
        </w:rPr>
        <w:t>Ponte para a Nota Conceitual do Projeto (Project Concept Note)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Seção da Nota Conceitual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Onde está na carta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Lacuna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Contexto do país e do setor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Justificativa 1.2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Diagnóstico sem número da lacuna de crédito de longo prazo para empresas e municípios.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 de desenvolvimento e indicadores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Objetivos e indicadores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Ver A.2.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Componentes e custos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Componentes e Financiamento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Custo por subsetor ausente.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Arranjo de implementação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Gestão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Ver A.4.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Riscos e classe ambiental e social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Riscos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de gestão ambiental e social do intermediário ausente.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Análise econômica e financeira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Esperada análise de adicionalidade do crédito e de viabilidade dos subprojetos típicos.</w:t>
            </w:r>
          </w:p>
        </w:tc>
      </w:tr>
    </w:tbl>
    <w:p/>
    <w:p>
      <w:r>
        <w:t>Empregos: referências do Banco Mundial abertas e lidas nesta simulação (busca por tema, nunca pelo pleito).</w:t>
      </w:r>
    </w:p>
    <w:p>
      <w:r>
        <w:rPr>
          <w:b/>
        </w:rPr>
        <w:t>Referências do Banco Mundial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 que diz de útil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Onde usar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to finance and job growth, blog All About Finance, 23/05/2016 (blogs.worldbank.org/en/allaboutfinance/access-finance-and-job-growth)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Em dados de dezenas de países em desenvolvimento, empresas com empréstimo cresceram o emprego de 1 a 3 pontos percentuais mais rápido; o efeito é cerca de três vezes maior em micro, pequenas e médias empresas.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Ênfase de argumento e desenho do indicador de empregos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To meet the jobs challenge, maximize the impact of SMEs, blog de desenvolvimento do setor privado, 04/09/2015 (blogs.worldbank.org/en/psd/meet-jobs-challenge-maximize-impact-smes)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Pequenas e médias empresas respondem por grande parte do emprego; produtividade, certificação e adoção de tecnologia limitam sua inserção em cadeias; empresas lideradas por mulheres são prioridade.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Reconcepção do componente de produtividade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World Bank Supports Sustainable Digital Transformation, Connectivity and Energy Efficiency in Sergipe, comunicado, 18/03/2025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Operação estadual de US$ 53,6 milhões que junta conectividade, governo digital e eficiência energética de prédios públicos, com capacitação de jovens e mulheres ligada a melhores empregos; não publica meta de empregos.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Precedente de combinação energia e digital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World Bank Supports Better Infrastructure and More Jobs in Bahia, comunicado, 20/03/2026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Empréstimo de US$ 796 milhões aprovado com enquadramento de empregos diretos e indiretos ligados a energia limpa e investimento privado; o comunicado não traz método de medição.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Precedente de enquadramento na Diretoria</w:t>
            </w:r>
          </w:p>
        </w:tc>
      </w:tr>
    </w:tbl>
    <w:p/>
    <w:p>
      <w:r>
        <w:rPr>
          <w:b/>
        </w:rPr>
        <w:t>Canais de emprego lidos na carta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332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Grau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Emprego direto na execução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Só nos dois subprojetos de mobilidade elétrica (73 e 480 diretos estimados)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implícito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Emprego direto permanente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 de empregos 'suportados' de 20 mil para 25 mil, sem definição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implícito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Cadeia de fornecedores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Inserção de pequenas e médias empresas em cadeias de energia renovável e minerais críticos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implícito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Efeito habilitador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Crédito de longo prazo a empresas sem acesso; conectividade de unidades públicas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explícito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Qualidade do emprego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Empregos verdes e empreendedorismo feminino citados, sem meta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sz w:val="18"/>
              </w:rPr>
              <w:t>ausente</w:t>
            </w:r>
          </w:p>
        </w:tc>
      </w:tr>
    </w:tbl>
    <w:p/>
    <w:p>
      <w:pPr>
        <w:pStyle w:val="ListBullet"/>
      </w:pPr>
      <w:r>
        <w:t>Reconcepção 1: tornar as micro, pequenas e médias empresas o núcleo do componente de transição energética, com meta de empresas lideradas por mulheres e medição de empregos mantidos e criados nas empresas financiadas.</w:t>
      </w:r>
    </w:p>
    <w:p>
      <w:pPr>
        <w:pStyle w:val="ListBullet"/>
      </w:pPr>
      <w:r>
        <w:t>Reconcepção 2: usar o componente de assistência técnica para certificação e adequação de fornecedores às cadeias de energia renovável, ligando crédito a contrato com comprador.</w:t>
      </w:r>
    </w:p>
    <w:p>
      <w:pPr>
        <w:pStyle w:val="ListBullet"/>
      </w:pPr>
      <w:r>
        <w:t>Reconcepção 3: nos municípios, condicionar o crédito digital a serviços que reduzem o tempo de abertura de empresas e de emissão de alvarás, levando o componente para o pilar de ambiente de negócios.</w:t>
      </w:r>
    </w:p>
    <w:p>
      <w:pPr>
        <w:pStyle w:val="ListBullet"/>
      </w:pPr>
      <w:r>
        <w:t>Indicadores sugeridos: emprego formal nas empresas financiadas, 12 e 24 meses após o desembolso, por sexo e faixa etária (Relação Anual de Informações Sociais e Novo Cadastro Geral de Empregados e Desempregados); empresas que obtêm crédito de longo prazo pela primeira vez; participação de empresas lideradas por mulheres na carteira; tempo médio para emitir alvará nos municípios apoiados; renda média dos postos nas empresas apoiadas.</w:t>
      </w:r>
    </w:p>
    <w:p>
      <w:pPr>
        <w:pStyle w:val="ListBullet"/>
      </w:pPr>
      <w:r>
        <w:t>Ênfases para o Diretor do País e a Diretoria: mandato de mais e melhores empregos pelo canal de acesso a crédito, que tem evidência do próprio Banco; encaixe nos eixos de produtividade e clima; setor privado como motor, com espaço para a Corporação Financeira Internacional em cofinanciamento ou garantia; medição com dados administrativos já disponíveis.</w:t>
      </w:r>
    </w:p>
    <w:p>
      <w:pPr>
        <w:pStyle w:val="ListBullet"/>
      </w:pPr>
      <w:r>
        <w:t>Pautas com o cliente: quantas empresas da carteira atual de linhas verdes e de inovação aumentaram o emprego depois do crédito, e o banco consegue cruzar a carteira com dados de emprego formal? Que procedimento municipal mais atrasa quem quer investir nos municípios atendidos?</w:t>
      </w:r>
    </w:p>
    <w:p>
      <w:pPr>
        <w:pStyle w:val="ListBullet"/>
      </w:pPr>
      <w:r>
        <w:t>Regras do jogo: o banco não controla alvarás ou registro, mas pode exigir dos municípios tomadores de crédito digital metas de tempo de licença e de abertura de empresas como condição do financiamento.</w:t>
      </w:r>
    </w:p>
    <w:p>
      <w:pPr>
        <w:pStyle w:val="Heading1"/>
      </w:pPr>
      <w:r>
        <w:t>9. Plano de Correção</w:t>
      </w:r>
    </w:p>
    <w:p>
      <w:r>
        <w:rPr>
          <w:b/>
        </w:rPr>
        <w:t>Ações priorizadas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Número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Remissão</w:t>
            </w:r>
          </w:p>
        </w:tc>
        <w:tc>
          <w:tcPr>
            <w:tcW w:type="dxa" w:w="199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Variação estimada na Nota de Área Estratégica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Apresentar índice de Basileia do último trimestre com fonte do Banco Central e declarar o enquadramento como instituição financeira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protege os Dados Objetivos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Documentar a situação do Estado contragarantidor nos contratos com a União e no regime fiscal, e o cronograma da lei autorizativa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eliminação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Tabela de custo por área com alocação explícita, concentrando 15% ou mais em 208, 209 e 303 (tarefa R2 e R4)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+1,5 a +2,5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Retirar 305, 214, 107, 202, 215, 302 e 206, ou dar a cada uma produto, indicador e custo próprios (tarefa R3)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+0,5 a +1,0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Indicadores de resultado com linha de base medida na carteira atual, unidade única e uma área por indicador (tarefa R6)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+0,5 a +1,0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Cota de recursos para municípios da área da Superintendência do Desenvolvimento do Nordeste com indicador próprio e pedido documentado do bônus de integração regional (tarefa R12)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até +1,0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Carteira indicativa com 3 subprojetos por componente, custo por beneficiário e mecanismo de reclamação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seção 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pergunta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Matriz de riscos com responsável e prazo, incluindo proteção de dados e comunidades tradicionais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A.3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pergunta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Tabela de condições financeiras com fonte nacional e dois credores externos (texto-modelo 3)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justificativa do credor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</w:r>
            <w:r>
              <w:rPr>
                <w:sz w:val="18"/>
              </w:rPr>
              <w:t>evita pergunta</w:t>
            </w:r>
          </w:p>
        </w:tc>
      </w:tr>
    </w:tbl>
    <w:p/>
    <w:p>
      <w:r>
        <w:t>Resumo: se P0 e P1 forem atendidos, a Nota de Área Estratégica pode ganhar de +2,0 a +3,5, para cerca de 8,0 a 9,0, e a Nota Geral passaria para cerca de 12,4 a 13,4 com os Dados Objetivos atuais. Isso exige nova versão da carta, não ajuste de texto.</w:t>
      </w:r>
    </w:p>
    <w:p>
      <w:r>
        <w:rPr>
          <w:b/>
        </w:rPr>
        <w:t>Rota para Área Estratégica máxima (10,000)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Atual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2493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208 energia limpa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 (3,0)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componente de transição energética atribuído em mais de 30% do total, com indicador de energia gerada ou economizada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209 inclusão digital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 (2,0)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15% ou mais atribuídos à conectividade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303 governo digital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 (2,0)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15% ou mais atribuídos a serviços municipais digitais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205 produtividade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manter com indicador de produtividade com linha de base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204 descarbonização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D (1,0)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ligar o indicador de emissões evitadas e o produto de hidrogênio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Bônus de integração regional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1,0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sz w:val="18"/>
              </w:rPr>
              <w:t>cota relevante e enquadramento documentado</w:t>
            </w:r>
          </w:p>
        </w:tc>
      </w:tr>
    </w:tbl>
    <w:p/>
    <w:p>
      <w:r>
        <w:t>Caminho aritmético escolhido: B + 2 C + 2 D + bônus = 3 + 4 + 2 + 1 = 10. Nas Notas Técnicas do regime atual, nenhuma soma de áreas chegou a 10 (máximo 9,0 sem bônus e 9,5 com bônus); trate o teto como meta de desenho, não como expectativa.</w:t>
      </w:r>
    </w:p>
    <w:p>
      <w:pPr>
        <w:pStyle w:val="Heading1"/>
      </w:pPr>
      <w:r>
        <w:t>10. Janela e Momento</w:t>
      </w:r>
    </w:p>
    <w:p>
      <w:r>
        <w:rPr>
          <w:b/>
        </w:rPr>
        <w:t>Elegibilidade e saldo na 187ª reunião (base de sublimites até a 185ª)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Sublimite</w:t>
            </w:r>
          </w:p>
        </w:tc>
        <w:tc>
          <w:tcPr>
            <w:tcW w:type="dxa" w:w="1662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Elegível</w:t>
            </w:r>
          </w:p>
        </w:tc>
        <w:tc>
          <w:tcPr>
            <w:tcW w:type="dxa" w:w="1662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Limite divulgado</w:t>
            </w:r>
          </w:p>
        </w:tc>
        <w:tc>
          <w:tcPr>
            <w:tcW w:type="dxa" w:w="1662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Cabe</w:t>
            </w:r>
          </w:p>
        </w:tc>
        <w:tc>
          <w:tcPr>
            <w:tcW w:type="dxa" w:w="1662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Linha de corte recente</w:t>
            </w:r>
          </w:p>
        </w:tc>
        <w:tc>
          <w:tcPr>
            <w:tcW w:type="dxa" w:w="1662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Posição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Subnacional – Geral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US$ 233 milhões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sim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11,91 (maior nota não aprovada na 185ª; nenhum aprovado)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abaixo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Subnacional – Ambiental e Climático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sim, se a operação for só de energia limpa e eficiência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US$ 40 milhões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só uma operação de até US$ 40 milhões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10,64 (menor aprovada na 185ª)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 da nova carta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Subnacional – PPP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US$ 78 milhões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Subnacional – Fiscal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zero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não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No Geral, a linha recente está em torno de 11,9 e o pleito fica abaixo dela; o limite da reunião caiu de cerca de US$ 700 milhões por reunião em 2025 para US$ 175 a 270 milhões em 2026, e a 185ª não aprovou nenhum pleito do Geral. O Plano de Correção alcança a linha só com a reconcentração do orçamento, o que pede nova versão da carta.</w:t>
      </w:r>
    </w:p>
    <w:p>
      <w:pPr>
        <w:pStyle w:val="ListBullet"/>
      </w:pPr>
      <w:r>
        <w:t>Melhor sublimite e reunião: para a 187ª, a operação inteira só disputa o Geral, abaixo da linha. A alternativa de maior chance é separar o componente de transição energética (US$ 38 milhões) numa operação própria para o Ambiental e Climático, que costuma ter saldo; custa uma nova carta e a reapresentação do pleito digital.</w:t>
      </w:r>
    </w:p>
    <w:p>
      <w:pPr>
        <w:pStyle w:val="ListBullet"/>
      </w:pPr>
      <w:r>
        <w:t>Mudança de desenho: na parte digital (US$ 60 milhões) que ficaria no Geral, concentrar recursos em conectividade e governo digital, com custo atribuído, para disputar a linha.</w:t>
      </w:r>
    </w:p>
    <w:p>
      <w:pPr>
        <w:pStyle w:val="ListBullet"/>
      </w:pPr>
      <w:r>
        <w:t>Estratégia de iteração: reenviar o mesmo texto não muda a nota; mirar a reunião do último trimestre de 2026, que costuma ter saldo de rolagem, com a carta revisada. Depois de duas tentativas sem aprovação, a recomendação é redesenho, não novo reenvio.</w:t>
      </w:r>
    </w:p>
    <w:p>
      <w:pPr>
        <w:pStyle w:val="ListBullet"/>
      </w:pPr>
      <w:r>
        <w:t>Esta leitura depende da base de sublimites gerada até a 185ª; conferir a ata da 186ª e os comunicados vigentes antes da decisão.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