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CCCF7" w14:textId="77777777" w:rsidR="0014218F" w:rsidRDefault="00000000">
      <w:pPr>
        <w:spacing w:after="60" w:line="264" w:lineRule="auto"/>
        <w:jc w:val="center"/>
      </w:pPr>
      <w:r>
        <w:rPr>
          <w:b/>
          <w:bCs/>
          <w:sz w:val="30"/>
          <w:szCs w:val="30"/>
        </w:rPr>
        <w:t>A Tradable Multi-Asset Risk Parity Strategy</w:t>
      </w:r>
    </w:p>
    <w:p w14:paraId="7E6FF5BF" w14:textId="77777777" w:rsidR="0014218F" w:rsidRDefault="00000000">
      <w:pPr>
        <w:spacing w:after="60" w:line="264" w:lineRule="auto"/>
        <w:jc w:val="center"/>
      </w:pPr>
      <w:r>
        <w:rPr>
          <w:i/>
          <w:iCs/>
          <w:sz w:val="22"/>
          <w:szCs w:val="22"/>
        </w:rPr>
        <w:t>Replicating CSI MARP 930929 and Benchmarking Against Hedge Fund Replication</w:t>
      </w:r>
    </w:p>
    <w:p w14:paraId="28338E4F" w14:textId="228B08CB" w:rsidR="0014218F" w:rsidRDefault="00A2596B">
      <w:pPr>
        <w:spacing w:after="100" w:line="264" w:lineRule="auto"/>
        <w:jc w:val="center"/>
      </w:pPr>
      <w:r>
        <w:t>Gaetano Marco Chiantia, Jiayi Xing, Shin Jiraphongtrakul, Lin Yile, Chen Jiayi</w:t>
      </w:r>
    </w:p>
    <w:p w14:paraId="5CE73228" w14:textId="77777777" w:rsidR="0014218F" w:rsidRDefault="0014218F">
      <w:pPr>
        <w:pBdr>
          <w:bottom w:val="single" w:sz="6" w:space="1" w:color="1F3A5F"/>
        </w:pBdr>
        <w:spacing w:before="100" w:after="100"/>
      </w:pPr>
    </w:p>
    <w:p w14:paraId="2C7C10FC" w14:textId="77777777" w:rsidR="0014218F" w:rsidRDefault="00000000">
      <w:pPr>
        <w:pStyle w:val="Heading1"/>
        <w:spacing w:line="264" w:lineRule="auto"/>
      </w:pPr>
      <w:r>
        <w:t>Abstract</w:t>
      </w:r>
    </w:p>
    <w:p w14:paraId="2EA44EF7" w14:textId="76D6D403" w:rsidR="0014218F" w:rsidRDefault="00000000">
      <w:pPr>
        <w:spacing w:after="100" w:line="264" w:lineRule="auto"/>
        <w:jc w:val="both"/>
      </w:pPr>
      <w:r>
        <w:t>The CSI Multi-Asset Risk Parity Index (930929) provides a transparent reference for diversified Chinese multi-asset investing but is not directly tradable. We construct a tradable proxy from five liquid onshore ETFs spanning equity, fixed income, and commodity asset classes, and we evaluate four allocation rules</w:t>
      </w:r>
      <w:r w:rsidR="00A2596B">
        <w:t>:</w:t>
      </w:r>
      <w:r>
        <w:t xml:space="preserve"> Equal Risk Contribution (ERC), inverse-volatility risk parity, Hierarchical Risk Parity (HRP), and a ridge-regression replication of the official index</w:t>
      </w:r>
      <w:r w:rsidR="00A2596B">
        <w:t>,</w:t>
      </w:r>
      <w:r>
        <w:t xml:space="preserve"> under a strict walk-forward protocol with the post-2021 data locked. Out-of-sample (2022–2025), the ERC portfolio with a 5% volatility overlay delivers an annualised return of 8.94% at 5.24% realised volatility, a Sharpe ratio of 1.28, and a maximum drawdown of </w:t>
      </w:r>
      <w:r w:rsidR="00A2596B">
        <w:t>-</w:t>
      </w:r>
      <w:r>
        <w:t>4.93%, halving the drawdown of an equal-weight benchmark while improving risk-adjusted performance. A factor decomposition shows that returns are not levered equity exposure (market β ≈ 0.35); a regime split confirms asymmetric protection in the 2022 bear market; and a gold-ablation test reveals that removing the gold leg degrades the Sharpe ratio by 0.95, identifying gold as the single largest contributor to risk-adjusted performance. We compare these results against a Hasanhodzic–Lo factor-replication portfolio and find the two approaches capture distinct premia (return correlation 0.62), suggesting they are complementary rather than substitutable.</w:t>
      </w:r>
    </w:p>
    <w:p w14:paraId="70763524" w14:textId="77777777" w:rsidR="0014218F" w:rsidRDefault="00000000">
      <w:pPr>
        <w:pStyle w:val="Heading1"/>
        <w:spacing w:line="264" w:lineRule="auto"/>
      </w:pPr>
      <w:r>
        <w:t>1. Introduction</w:t>
      </w:r>
    </w:p>
    <w:p w14:paraId="01E19700" w14:textId="77777777" w:rsidR="0014218F" w:rsidRDefault="00000000">
      <w:pPr>
        <w:spacing w:after="100" w:line="264" w:lineRule="auto"/>
        <w:jc w:val="both"/>
      </w:pPr>
      <w:r>
        <w:t>The China Securities Index Multi-Asset Risk Parity Index (CSI MARP, code 930929), launched in January 2017, allocates risk budgets equally across equity, fixed income, and commodity sleeves. While the index has become a standard reference for multi-asset balance, its constituents include institutional fixed-income instruments and over-the-counter commodity exposures that retail and smaller institutional investors cannot access. This raises a practical question that this study addresses: can the diversification properties of CSI MARP be reproduced using liquid exchange-traded funds, and do those properties survive out-of-sample?</w:t>
      </w:r>
    </w:p>
    <w:p w14:paraId="466A8449" w14:textId="77777777" w:rsidR="0014218F" w:rsidRDefault="00000000">
      <w:pPr>
        <w:spacing w:after="100" w:line="264" w:lineRule="auto"/>
        <w:jc w:val="both"/>
      </w:pPr>
      <w:r>
        <w:t>We answer this question in three parts. First, we construct a five-ETF universe and apply the Equal Risk Contribution algorithm of Maillard, Roncalli &amp; Teïletche (2010) under a 5% volatility overlay matching the official index. Second, we extend the analysis along three dimensions that test the robustness of the conclusion: (i) Hierarchical Risk Parity (López de Prado 2016) as an estimation-error robust alternative; (ii) a factor-mimicking hedge-fund replicator following Hasanhodzic &amp; Lo (2007), benchmarked against the risk parity portfolio; and (iii) an ablation of the gold sleeve, which directly addresses the project brief's question on whether gold remains a useful portfolio asset. Third, we decompose the realised performance using both a factor regression and a regime split of the out-of-sample window.</w:t>
      </w:r>
    </w:p>
    <w:p w14:paraId="7F61C194" w14:textId="77777777" w:rsidR="0014218F" w:rsidRDefault="00000000">
      <w:pPr>
        <w:spacing w:after="100" w:line="264" w:lineRule="auto"/>
        <w:jc w:val="both"/>
      </w:pPr>
      <w:r>
        <w:t>The remainder of the report is organised as follows. Section 2 describes the data and the construction methodology. Section 3 reports the headline backtest. Section 4 conducts factor and regime analyses. Section 5 contrasts our risk-parity allocation with factor-based hedge-fund replication. Section 6 presents three robustness exercises. Section 7 discusses limitations, and Section 8 concludes.</w:t>
      </w:r>
    </w:p>
    <w:p w14:paraId="644C5289" w14:textId="77777777" w:rsidR="0014218F" w:rsidRDefault="00000000">
      <w:pPr>
        <w:pStyle w:val="Heading1"/>
        <w:spacing w:line="264" w:lineRule="auto"/>
      </w:pPr>
      <w:r>
        <w:t>2. Data and Methodology</w:t>
      </w:r>
    </w:p>
    <w:p w14:paraId="5F0730B4" w14:textId="77777777" w:rsidR="0014218F" w:rsidRDefault="00000000">
      <w:pPr>
        <w:pStyle w:val="Heading2"/>
        <w:spacing w:line="264" w:lineRule="auto"/>
      </w:pPr>
      <w:r>
        <w:t>2.1 Tradable Universe and Sample</w:t>
      </w:r>
    </w:p>
    <w:p w14:paraId="31E4488D" w14:textId="77777777" w:rsidR="0014218F" w:rsidRDefault="00000000">
      <w:pPr>
        <w:spacing w:after="100" w:line="264" w:lineRule="auto"/>
        <w:jc w:val="both"/>
      </w:pPr>
      <w:r>
        <w:t>We select five Shanghai/Shenzhen-listed ETFs that span the asset classes of CSI MARP while satisfying daily liquidity and full-sample availability constraints. The asset universe is reported in Table 1.</w:t>
      </w:r>
    </w:p>
    <w:p w14:paraId="1DC016ED" w14:textId="69CC6290" w:rsidR="0014218F" w:rsidRDefault="0014218F">
      <w:pPr>
        <w:spacing w:before="60" w:after="40" w:line="264" w:lineRule="auto"/>
      </w:pPr>
    </w:p>
    <w:tbl>
      <w:tblPr>
        <w:tblW w:w="974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2"/>
        <w:gridCol w:w="3862"/>
        <w:gridCol w:w="2789"/>
        <w:gridCol w:w="1653"/>
      </w:tblGrid>
      <w:tr w:rsidR="00A2596B" w14:paraId="046C3DDE" w14:textId="77777777" w:rsidTr="00A2596B">
        <w:tblPrEx>
          <w:tblCellMar>
            <w:top w:w="0" w:type="dxa"/>
            <w:bottom w:w="0" w:type="dxa"/>
          </w:tblCellMar>
        </w:tblPrEx>
        <w:trPr>
          <w:tblHeader/>
        </w:trPr>
        <w:tc>
          <w:tcPr>
            <w:tcW w:w="1442" w:type="dxa"/>
            <w:shd w:val="clear" w:color="auto" w:fill="1F3A5F"/>
            <w:tcMar>
              <w:top w:w="30" w:type="dxa"/>
              <w:left w:w="70" w:type="dxa"/>
              <w:bottom w:w="30" w:type="dxa"/>
              <w:right w:w="70" w:type="dxa"/>
            </w:tcMar>
          </w:tcPr>
          <w:p w14:paraId="6D3C436F" w14:textId="77777777" w:rsidR="0014218F" w:rsidRDefault="00000000">
            <w:r>
              <w:rPr>
                <w:b/>
                <w:bCs/>
                <w:color w:val="FFFFFF"/>
                <w:sz w:val="18"/>
                <w:szCs w:val="18"/>
              </w:rPr>
              <w:t>Ticker</w:t>
            </w:r>
          </w:p>
        </w:tc>
        <w:tc>
          <w:tcPr>
            <w:tcW w:w="3862" w:type="dxa"/>
            <w:shd w:val="clear" w:color="auto" w:fill="1F3A5F"/>
            <w:tcMar>
              <w:top w:w="30" w:type="dxa"/>
              <w:left w:w="70" w:type="dxa"/>
              <w:bottom w:w="30" w:type="dxa"/>
              <w:right w:w="70" w:type="dxa"/>
            </w:tcMar>
          </w:tcPr>
          <w:p w14:paraId="3BF3E226" w14:textId="77777777" w:rsidR="0014218F" w:rsidRDefault="00000000">
            <w:r>
              <w:rPr>
                <w:b/>
                <w:bCs/>
                <w:color w:val="FFFFFF"/>
                <w:sz w:val="18"/>
                <w:szCs w:val="18"/>
              </w:rPr>
              <w:t>Name</w:t>
            </w:r>
          </w:p>
        </w:tc>
        <w:tc>
          <w:tcPr>
            <w:tcW w:w="2789" w:type="dxa"/>
            <w:shd w:val="clear" w:color="auto" w:fill="1F3A5F"/>
            <w:tcMar>
              <w:top w:w="30" w:type="dxa"/>
              <w:left w:w="70" w:type="dxa"/>
              <w:bottom w:w="30" w:type="dxa"/>
              <w:right w:w="70" w:type="dxa"/>
            </w:tcMar>
          </w:tcPr>
          <w:p w14:paraId="1637AA24" w14:textId="77777777" w:rsidR="0014218F" w:rsidRDefault="00000000">
            <w:r>
              <w:rPr>
                <w:b/>
                <w:bCs/>
                <w:color w:val="FFFFFF"/>
                <w:sz w:val="18"/>
                <w:szCs w:val="18"/>
              </w:rPr>
              <w:t>Asset class</w:t>
            </w:r>
          </w:p>
        </w:tc>
        <w:tc>
          <w:tcPr>
            <w:tcW w:w="1653" w:type="dxa"/>
            <w:shd w:val="clear" w:color="auto" w:fill="1F3A5F"/>
            <w:tcMar>
              <w:top w:w="30" w:type="dxa"/>
              <w:left w:w="70" w:type="dxa"/>
              <w:bottom w:w="30" w:type="dxa"/>
              <w:right w:w="70" w:type="dxa"/>
            </w:tcMar>
          </w:tcPr>
          <w:p w14:paraId="7086F4DA" w14:textId="77777777" w:rsidR="0014218F" w:rsidRDefault="00000000">
            <w:r>
              <w:rPr>
                <w:b/>
                <w:bCs/>
                <w:color w:val="FFFFFF"/>
                <w:sz w:val="18"/>
                <w:szCs w:val="18"/>
              </w:rPr>
              <w:t>Inception</w:t>
            </w:r>
          </w:p>
        </w:tc>
      </w:tr>
      <w:tr w:rsidR="00A2596B" w14:paraId="366C0DB2" w14:textId="77777777" w:rsidTr="00A2596B">
        <w:tblPrEx>
          <w:tblCellMar>
            <w:top w:w="0" w:type="dxa"/>
            <w:bottom w:w="0" w:type="dxa"/>
          </w:tblCellMar>
        </w:tblPrEx>
        <w:tc>
          <w:tcPr>
            <w:tcW w:w="1442" w:type="dxa"/>
            <w:tcMar>
              <w:top w:w="30" w:type="dxa"/>
              <w:left w:w="70" w:type="dxa"/>
              <w:bottom w:w="30" w:type="dxa"/>
              <w:right w:w="70" w:type="dxa"/>
            </w:tcMar>
          </w:tcPr>
          <w:p w14:paraId="478E2C10" w14:textId="77777777" w:rsidR="0014218F" w:rsidRDefault="00000000">
            <w:r>
              <w:rPr>
                <w:sz w:val="18"/>
                <w:szCs w:val="18"/>
              </w:rPr>
              <w:t>510300.SH</w:t>
            </w:r>
          </w:p>
        </w:tc>
        <w:tc>
          <w:tcPr>
            <w:tcW w:w="3862" w:type="dxa"/>
            <w:tcMar>
              <w:top w:w="30" w:type="dxa"/>
              <w:left w:w="70" w:type="dxa"/>
              <w:bottom w:w="30" w:type="dxa"/>
              <w:right w:w="70" w:type="dxa"/>
            </w:tcMar>
          </w:tcPr>
          <w:p w14:paraId="343D476B" w14:textId="77777777" w:rsidR="0014218F" w:rsidRDefault="00000000">
            <w:pPr>
              <w:jc w:val="center"/>
            </w:pPr>
            <w:r>
              <w:rPr>
                <w:sz w:val="18"/>
                <w:szCs w:val="18"/>
              </w:rPr>
              <w:t>Huatai-PB CSI 300 ETF</w:t>
            </w:r>
          </w:p>
        </w:tc>
        <w:tc>
          <w:tcPr>
            <w:tcW w:w="2789" w:type="dxa"/>
            <w:tcMar>
              <w:top w:w="30" w:type="dxa"/>
              <w:left w:w="70" w:type="dxa"/>
              <w:bottom w:w="30" w:type="dxa"/>
              <w:right w:w="70" w:type="dxa"/>
            </w:tcMar>
          </w:tcPr>
          <w:p w14:paraId="2DE99309" w14:textId="77777777" w:rsidR="0014218F" w:rsidRDefault="00000000">
            <w:pPr>
              <w:jc w:val="center"/>
            </w:pPr>
            <w:r>
              <w:rPr>
                <w:sz w:val="18"/>
                <w:szCs w:val="18"/>
              </w:rPr>
              <w:t>Large-cap equity</w:t>
            </w:r>
          </w:p>
        </w:tc>
        <w:tc>
          <w:tcPr>
            <w:tcW w:w="1653" w:type="dxa"/>
            <w:tcMar>
              <w:top w:w="30" w:type="dxa"/>
              <w:left w:w="70" w:type="dxa"/>
              <w:bottom w:w="30" w:type="dxa"/>
              <w:right w:w="70" w:type="dxa"/>
            </w:tcMar>
          </w:tcPr>
          <w:p w14:paraId="74BA9ED3" w14:textId="77777777" w:rsidR="0014218F" w:rsidRDefault="00000000">
            <w:pPr>
              <w:jc w:val="center"/>
            </w:pPr>
            <w:r>
              <w:rPr>
                <w:sz w:val="18"/>
                <w:szCs w:val="18"/>
              </w:rPr>
              <w:t>2012</w:t>
            </w:r>
          </w:p>
        </w:tc>
      </w:tr>
      <w:tr w:rsidR="00A2596B" w14:paraId="608AF615" w14:textId="77777777" w:rsidTr="00A2596B">
        <w:tblPrEx>
          <w:tblCellMar>
            <w:top w:w="0" w:type="dxa"/>
            <w:bottom w:w="0" w:type="dxa"/>
          </w:tblCellMar>
        </w:tblPrEx>
        <w:tc>
          <w:tcPr>
            <w:tcW w:w="1442" w:type="dxa"/>
            <w:shd w:val="clear" w:color="auto" w:fill="F2F4F7"/>
            <w:tcMar>
              <w:top w:w="30" w:type="dxa"/>
              <w:left w:w="70" w:type="dxa"/>
              <w:bottom w:w="30" w:type="dxa"/>
              <w:right w:w="70" w:type="dxa"/>
            </w:tcMar>
          </w:tcPr>
          <w:p w14:paraId="6A56480B" w14:textId="77777777" w:rsidR="0014218F" w:rsidRDefault="00000000">
            <w:r>
              <w:rPr>
                <w:sz w:val="18"/>
                <w:szCs w:val="18"/>
              </w:rPr>
              <w:t>510500.SH</w:t>
            </w:r>
          </w:p>
        </w:tc>
        <w:tc>
          <w:tcPr>
            <w:tcW w:w="3862" w:type="dxa"/>
            <w:shd w:val="clear" w:color="auto" w:fill="F2F4F7"/>
            <w:tcMar>
              <w:top w:w="30" w:type="dxa"/>
              <w:left w:w="70" w:type="dxa"/>
              <w:bottom w:w="30" w:type="dxa"/>
              <w:right w:w="70" w:type="dxa"/>
            </w:tcMar>
          </w:tcPr>
          <w:p w14:paraId="0B16BACC" w14:textId="77777777" w:rsidR="0014218F" w:rsidRDefault="00000000">
            <w:pPr>
              <w:jc w:val="center"/>
            </w:pPr>
            <w:r>
              <w:rPr>
                <w:sz w:val="18"/>
                <w:szCs w:val="18"/>
              </w:rPr>
              <w:t>Southern CSI 500 ETF</w:t>
            </w:r>
          </w:p>
        </w:tc>
        <w:tc>
          <w:tcPr>
            <w:tcW w:w="2789" w:type="dxa"/>
            <w:shd w:val="clear" w:color="auto" w:fill="F2F4F7"/>
            <w:tcMar>
              <w:top w:w="30" w:type="dxa"/>
              <w:left w:w="70" w:type="dxa"/>
              <w:bottom w:w="30" w:type="dxa"/>
              <w:right w:w="70" w:type="dxa"/>
            </w:tcMar>
          </w:tcPr>
          <w:p w14:paraId="0208CDB3" w14:textId="77777777" w:rsidR="0014218F" w:rsidRDefault="00000000">
            <w:pPr>
              <w:jc w:val="center"/>
            </w:pPr>
            <w:r>
              <w:rPr>
                <w:sz w:val="18"/>
                <w:szCs w:val="18"/>
              </w:rPr>
              <w:t>Mid-cap equity</w:t>
            </w:r>
          </w:p>
        </w:tc>
        <w:tc>
          <w:tcPr>
            <w:tcW w:w="1653" w:type="dxa"/>
            <w:shd w:val="clear" w:color="auto" w:fill="F2F4F7"/>
            <w:tcMar>
              <w:top w:w="30" w:type="dxa"/>
              <w:left w:w="70" w:type="dxa"/>
              <w:bottom w:w="30" w:type="dxa"/>
              <w:right w:w="70" w:type="dxa"/>
            </w:tcMar>
          </w:tcPr>
          <w:p w14:paraId="26C7F83D" w14:textId="77777777" w:rsidR="0014218F" w:rsidRDefault="00000000">
            <w:pPr>
              <w:jc w:val="center"/>
            </w:pPr>
            <w:r>
              <w:rPr>
                <w:sz w:val="18"/>
                <w:szCs w:val="18"/>
              </w:rPr>
              <w:t>2013</w:t>
            </w:r>
          </w:p>
        </w:tc>
      </w:tr>
      <w:tr w:rsidR="00A2596B" w14:paraId="4EFE4324" w14:textId="77777777" w:rsidTr="00A2596B">
        <w:tblPrEx>
          <w:tblCellMar>
            <w:top w:w="0" w:type="dxa"/>
            <w:bottom w:w="0" w:type="dxa"/>
          </w:tblCellMar>
        </w:tblPrEx>
        <w:tc>
          <w:tcPr>
            <w:tcW w:w="1442" w:type="dxa"/>
            <w:tcMar>
              <w:top w:w="30" w:type="dxa"/>
              <w:left w:w="70" w:type="dxa"/>
              <w:bottom w:w="30" w:type="dxa"/>
              <w:right w:w="70" w:type="dxa"/>
            </w:tcMar>
          </w:tcPr>
          <w:p w14:paraId="4E0F5DC4" w14:textId="77777777" w:rsidR="0014218F" w:rsidRDefault="00000000">
            <w:r>
              <w:rPr>
                <w:sz w:val="18"/>
                <w:szCs w:val="18"/>
              </w:rPr>
              <w:t>511010.SH</w:t>
            </w:r>
          </w:p>
        </w:tc>
        <w:tc>
          <w:tcPr>
            <w:tcW w:w="3862" w:type="dxa"/>
            <w:tcMar>
              <w:top w:w="30" w:type="dxa"/>
              <w:left w:w="70" w:type="dxa"/>
              <w:bottom w:w="30" w:type="dxa"/>
              <w:right w:w="70" w:type="dxa"/>
            </w:tcMar>
          </w:tcPr>
          <w:p w14:paraId="3E8D15C0" w14:textId="77777777" w:rsidR="0014218F" w:rsidRDefault="00000000">
            <w:pPr>
              <w:jc w:val="center"/>
            </w:pPr>
            <w:r>
              <w:rPr>
                <w:sz w:val="18"/>
                <w:szCs w:val="18"/>
              </w:rPr>
              <w:t>GTJA 5Y Treasury Bond ETF</w:t>
            </w:r>
          </w:p>
        </w:tc>
        <w:tc>
          <w:tcPr>
            <w:tcW w:w="2789" w:type="dxa"/>
            <w:tcMar>
              <w:top w:w="30" w:type="dxa"/>
              <w:left w:w="70" w:type="dxa"/>
              <w:bottom w:w="30" w:type="dxa"/>
              <w:right w:w="70" w:type="dxa"/>
            </w:tcMar>
          </w:tcPr>
          <w:p w14:paraId="45882FA8" w14:textId="77777777" w:rsidR="0014218F" w:rsidRDefault="00000000">
            <w:pPr>
              <w:jc w:val="center"/>
            </w:pPr>
            <w:r>
              <w:rPr>
                <w:sz w:val="18"/>
                <w:szCs w:val="18"/>
              </w:rPr>
              <w:t>Fixed income</w:t>
            </w:r>
          </w:p>
        </w:tc>
        <w:tc>
          <w:tcPr>
            <w:tcW w:w="1653" w:type="dxa"/>
            <w:tcMar>
              <w:top w:w="30" w:type="dxa"/>
              <w:left w:w="70" w:type="dxa"/>
              <w:bottom w:w="30" w:type="dxa"/>
              <w:right w:w="70" w:type="dxa"/>
            </w:tcMar>
          </w:tcPr>
          <w:p w14:paraId="14990FC2" w14:textId="77777777" w:rsidR="0014218F" w:rsidRDefault="00000000">
            <w:pPr>
              <w:jc w:val="center"/>
            </w:pPr>
            <w:r>
              <w:rPr>
                <w:sz w:val="18"/>
                <w:szCs w:val="18"/>
              </w:rPr>
              <w:t>2013</w:t>
            </w:r>
          </w:p>
        </w:tc>
      </w:tr>
      <w:tr w:rsidR="00A2596B" w14:paraId="50B56A2C" w14:textId="77777777" w:rsidTr="00A2596B">
        <w:tblPrEx>
          <w:tblCellMar>
            <w:top w:w="0" w:type="dxa"/>
            <w:bottom w:w="0" w:type="dxa"/>
          </w:tblCellMar>
        </w:tblPrEx>
        <w:tc>
          <w:tcPr>
            <w:tcW w:w="1442" w:type="dxa"/>
            <w:shd w:val="clear" w:color="auto" w:fill="F2F4F7"/>
            <w:tcMar>
              <w:top w:w="30" w:type="dxa"/>
              <w:left w:w="70" w:type="dxa"/>
              <w:bottom w:w="30" w:type="dxa"/>
              <w:right w:w="70" w:type="dxa"/>
            </w:tcMar>
          </w:tcPr>
          <w:p w14:paraId="0B62A8BA" w14:textId="77777777" w:rsidR="0014218F" w:rsidRDefault="00000000">
            <w:r>
              <w:rPr>
                <w:sz w:val="18"/>
                <w:szCs w:val="18"/>
              </w:rPr>
              <w:t>518880.SH</w:t>
            </w:r>
          </w:p>
        </w:tc>
        <w:tc>
          <w:tcPr>
            <w:tcW w:w="3862" w:type="dxa"/>
            <w:shd w:val="clear" w:color="auto" w:fill="F2F4F7"/>
            <w:tcMar>
              <w:top w:w="30" w:type="dxa"/>
              <w:left w:w="70" w:type="dxa"/>
              <w:bottom w:w="30" w:type="dxa"/>
              <w:right w:w="70" w:type="dxa"/>
            </w:tcMar>
          </w:tcPr>
          <w:p w14:paraId="62EFA995" w14:textId="77777777" w:rsidR="0014218F" w:rsidRDefault="00000000">
            <w:pPr>
              <w:jc w:val="center"/>
            </w:pPr>
            <w:r>
              <w:rPr>
                <w:sz w:val="18"/>
                <w:szCs w:val="18"/>
              </w:rPr>
              <w:t>Huaan Gold ETF</w:t>
            </w:r>
          </w:p>
        </w:tc>
        <w:tc>
          <w:tcPr>
            <w:tcW w:w="2789" w:type="dxa"/>
            <w:shd w:val="clear" w:color="auto" w:fill="F2F4F7"/>
            <w:tcMar>
              <w:top w:w="30" w:type="dxa"/>
              <w:left w:w="70" w:type="dxa"/>
              <w:bottom w:w="30" w:type="dxa"/>
              <w:right w:w="70" w:type="dxa"/>
            </w:tcMar>
          </w:tcPr>
          <w:p w14:paraId="1F4993F2" w14:textId="77777777" w:rsidR="0014218F" w:rsidRDefault="00000000">
            <w:pPr>
              <w:jc w:val="center"/>
            </w:pPr>
            <w:r>
              <w:rPr>
                <w:sz w:val="18"/>
                <w:szCs w:val="18"/>
              </w:rPr>
              <w:t>Commodity (gold)</w:t>
            </w:r>
          </w:p>
        </w:tc>
        <w:tc>
          <w:tcPr>
            <w:tcW w:w="1653" w:type="dxa"/>
            <w:shd w:val="clear" w:color="auto" w:fill="F2F4F7"/>
            <w:tcMar>
              <w:top w:w="30" w:type="dxa"/>
              <w:left w:w="70" w:type="dxa"/>
              <w:bottom w:w="30" w:type="dxa"/>
              <w:right w:w="70" w:type="dxa"/>
            </w:tcMar>
          </w:tcPr>
          <w:p w14:paraId="64BD6415" w14:textId="77777777" w:rsidR="0014218F" w:rsidRDefault="00000000">
            <w:pPr>
              <w:jc w:val="center"/>
            </w:pPr>
            <w:r>
              <w:rPr>
                <w:sz w:val="18"/>
                <w:szCs w:val="18"/>
              </w:rPr>
              <w:t>2013</w:t>
            </w:r>
          </w:p>
        </w:tc>
      </w:tr>
      <w:tr w:rsidR="00A2596B" w14:paraId="231F8BC1" w14:textId="77777777" w:rsidTr="00A2596B">
        <w:tblPrEx>
          <w:tblCellMar>
            <w:top w:w="0" w:type="dxa"/>
            <w:bottom w:w="0" w:type="dxa"/>
          </w:tblCellMar>
        </w:tblPrEx>
        <w:tc>
          <w:tcPr>
            <w:tcW w:w="1442" w:type="dxa"/>
            <w:tcMar>
              <w:top w:w="30" w:type="dxa"/>
              <w:left w:w="70" w:type="dxa"/>
              <w:bottom w:w="30" w:type="dxa"/>
              <w:right w:w="70" w:type="dxa"/>
            </w:tcMar>
          </w:tcPr>
          <w:p w14:paraId="5AB6ED14" w14:textId="77777777" w:rsidR="0014218F" w:rsidRDefault="00000000">
            <w:r>
              <w:rPr>
                <w:sz w:val="18"/>
                <w:szCs w:val="18"/>
              </w:rPr>
              <w:t>159980.SZ</w:t>
            </w:r>
          </w:p>
        </w:tc>
        <w:tc>
          <w:tcPr>
            <w:tcW w:w="3862" w:type="dxa"/>
            <w:tcMar>
              <w:top w:w="30" w:type="dxa"/>
              <w:left w:w="70" w:type="dxa"/>
              <w:bottom w:w="30" w:type="dxa"/>
              <w:right w:w="70" w:type="dxa"/>
            </w:tcMar>
          </w:tcPr>
          <w:p w14:paraId="36B202F7" w14:textId="77777777" w:rsidR="0014218F" w:rsidRDefault="00000000">
            <w:pPr>
              <w:jc w:val="center"/>
            </w:pPr>
            <w:r>
              <w:rPr>
                <w:sz w:val="18"/>
                <w:szCs w:val="18"/>
              </w:rPr>
              <w:t>Dacheng Commodity Composite ETF</w:t>
            </w:r>
          </w:p>
        </w:tc>
        <w:tc>
          <w:tcPr>
            <w:tcW w:w="2789" w:type="dxa"/>
            <w:tcMar>
              <w:top w:w="30" w:type="dxa"/>
              <w:left w:w="70" w:type="dxa"/>
              <w:bottom w:w="30" w:type="dxa"/>
              <w:right w:w="70" w:type="dxa"/>
            </w:tcMar>
          </w:tcPr>
          <w:p w14:paraId="66288A61" w14:textId="77777777" w:rsidR="0014218F" w:rsidRDefault="00000000">
            <w:pPr>
              <w:jc w:val="center"/>
            </w:pPr>
            <w:r>
              <w:rPr>
                <w:sz w:val="18"/>
                <w:szCs w:val="18"/>
              </w:rPr>
              <w:t>Commodity (broad)</w:t>
            </w:r>
          </w:p>
        </w:tc>
        <w:tc>
          <w:tcPr>
            <w:tcW w:w="1653" w:type="dxa"/>
            <w:tcMar>
              <w:top w:w="30" w:type="dxa"/>
              <w:left w:w="70" w:type="dxa"/>
              <w:bottom w:w="30" w:type="dxa"/>
              <w:right w:w="70" w:type="dxa"/>
            </w:tcMar>
          </w:tcPr>
          <w:p w14:paraId="3C51A479" w14:textId="77777777" w:rsidR="0014218F" w:rsidRDefault="00000000">
            <w:pPr>
              <w:jc w:val="center"/>
            </w:pPr>
            <w:r>
              <w:rPr>
                <w:sz w:val="18"/>
                <w:szCs w:val="18"/>
              </w:rPr>
              <w:t>2019</w:t>
            </w:r>
          </w:p>
        </w:tc>
      </w:tr>
    </w:tbl>
    <w:p w14:paraId="0C411DC5" w14:textId="1360C838" w:rsidR="0014218F" w:rsidRPr="00A2596B" w:rsidRDefault="00A2596B" w:rsidP="00A2596B">
      <w:pPr>
        <w:spacing w:after="80" w:line="264" w:lineRule="auto"/>
        <w:jc w:val="center"/>
        <w:rPr>
          <w:i/>
          <w:iCs/>
          <w:color w:val="555555"/>
          <w:sz w:val="16"/>
          <w:szCs w:val="16"/>
        </w:rPr>
      </w:pPr>
      <w:r w:rsidRPr="00A2596B">
        <w:rPr>
          <w:i/>
          <w:iCs/>
          <w:color w:val="555555"/>
          <w:sz w:val="16"/>
          <w:szCs w:val="16"/>
        </w:rPr>
        <w:t>Table 1</w:t>
      </w:r>
      <w:r w:rsidRPr="00A2596B">
        <w:rPr>
          <w:i/>
          <w:iCs/>
          <w:color w:val="555555"/>
          <w:sz w:val="16"/>
          <w:szCs w:val="16"/>
        </w:rPr>
        <w:t>:</w:t>
      </w:r>
      <w:r w:rsidRPr="00A2596B">
        <w:rPr>
          <w:i/>
          <w:iCs/>
          <w:color w:val="555555"/>
          <w:sz w:val="16"/>
          <w:szCs w:val="16"/>
        </w:rPr>
        <w:t xml:space="preserve"> Tradable asset universe.</w:t>
      </w:r>
    </w:p>
    <w:p w14:paraId="391FB9F3" w14:textId="77777777" w:rsidR="0014218F" w:rsidRDefault="00000000">
      <w:pPr>
        <w:spacing w:after="100" w:line="264" w:lineRule="auto"/>
        <w:jc w:val="both"/>
      </w:pPr>
      <w:r>
        <w:t xml:space="preserve">The sample is partitioned into a five-year in-sample window (2017-01-03 to 2021-12-31, 1,215 trading days) used for parameter selection and a four-year out-of-sample (OOS) window (2022-01-04 to 2025-12-31, 972 trading days) used exclusively for evaluation. The OOS data is stored in a locked subdirectory and never accessed during weight estimation, </w:t>
      </w:r>
      <w:r>
        <w:lastRenderedPageBreak/>
        <w:t>hyperparameter selection, or strategy specification, eliminating look-ahead bias by construction. Adjusted close prices for the ETFs are sourced from Yahoo Finance, the official CSI MARP and CSI 300 levels are sourced from China Securities Index Co. via the AkShare API, and a flat 2.2% per annum is used as the risk-free rate, approximating the average one-year deposit rate over the sample.</w:t>
      </w:r>
    </w:p>
    <w:p w14:paraId="112D7FA3" w14:textId="77777777" w:rsidR="0014218F" w:rsidRDefault="00000000">
      <w:pPr>
        <w:pStyle w:val="Heading2"/>
        <w:spacing w:line="264" w:lineRule="auto"/>
      </w:pPr>
      <w:r>
        <w:t>2.2 In-Sample Asset Statistics</w:t>
      </w:r>
    </w:p>
    <w:p w14:paraId="19865A52" w14:textId="77777777" w:rsidR="0014218F" w:rsidRDefault="00000000">
      <w:pPr>
        <w:spacing w:after="100" w:line="264" w:lineRule="auto"/>
        <w:jc w:val="both"/>
      </w:pPr>
      <w:r>
        <w:t>Table 2 reports the asset characteristics that shape the optimisation. The cross-asset correlation structure is the foundation on which risk parity operates: the equity pair is highly correlated (ρ = 0.82), bonds are essentially uncorrelated with equities (ρ = 0.05), and gold sits between these two extremes (ρ = 0.15 with equity, 0.08 with bonds).</w:t>
      </w:r>
    </w:p>
    <w:p w14:paraId="5243C7EA" w14:textId="6BF4EB89" w:rsidR="0014218F" w:rsidRDefault="0014218F">
      <w:pPr>
        <w:spacing w:before="60" w:after="40" w:line="264" w:lineRule="auto"/>
      </w:pPr>
    </w:p>
    <w:tbl>
      <w:tblPr>
        <w:tblW w:w="974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2"/>
        <w:gridCol w:w="1587"/>
        <w:gridCol w:w="1583"/>
        <w:gridCol w:w="1592"/>
        <w:gridCol w:w="2912"/>
      </w:tblGrid>
      <w:tr w:rsidR="00A2596B" w14:paraId="1ED558C8" w14:textId="77777777" w:rsidTr="00A2596B">
        <w:tblPrEx>
          <w:tblCellMar>
            <w:top w:w="0" w:type="dxa"/>
            <w:bottom w:w="0" w:type="dxa"/>
          </w:tblCellMar>
        </w:tblPrEx>
        <w:trPr>
          <w:tblHeader/>
        </w:trPr>
        <w:tc>
          <w:tcPr>
            <w:tcW w:w="2072" w:type="dxa"/>
            <w:shd w:val="clear" w:color="auto" w:fill="1F3A5F"/>
            <w:tcMar>
              <w:top w:w="30" w:type="dxa"/>
              <w:left w:w="70" w:type="dxa"/>
              <w:bottom w:w="30" w:type="dxa"/>
              <w:right w:w="70" w:type="dxa"/>
            </w:tcMar>
          </w:tcPr>
          <w:p w14:paraId="0D594AD5" w14:textId="77777777" w:rsidR="0014218F" w:rsidRDefault="00000000">
            <w:r>
              <w:rPr>
                <w:b/>
                <w:bCs/>
                <w:color w:val="FFFFFF"/>
                <w:sz w:val="18"/>
                <w:szCs w:val="18"/>
              </w:rPr>
              <w:t>Asset</w:t>
            </w:r>
          </w:p>
        </w:tc>
        <w:tc>
          <w:tcPr>
            <w:tcW w:w="1587" w:type="dxa"/>
            <w:shd w:val="clear" w:color="auto" w:fill="1F3A5F"/>
            <w:tcMar>
              <w:top w:w="30" w:type="dxa"/>
              <w:left w:w="70" w:type="dxa"/>
              <w:bottom w:w="30" w:type="dxa"/>
              <w:right w:w="70" w:type="dxa"/>
            </w:tcMar>
          </w:tcPr>
          <w:p w14:paraId="3598734B" w14:textId="77777777" w:rsidR="0014218F" w:rsidRDefault="00000000">
            <w:r>
              <w:rPr>
                <w:b/>
                <w:bCs/>
                <w:color w:val="FFFFFF"/>
                <w:sz w:val="18"/>
                <w:szCs w:val="18"/>
              </w:rPr>
              <w:t>Ann. return</w:t>
            </w:r>
          </w:p>
        </w:tc>
        <w:tc>
          <w:tcPr>
            <w:tcW w:w="1583" w:type="dxa"/>
            <w:shd w:val="clear" w:color="auto" w:fill="1F3A5F"/>
            <w:tcMar>
              <w:top w:w="30" w:type="dxa"/>
              <w:left w:w="70" w:type="dxa"/>
              <w:bottom w:w="30" w:type="dxa"/>
              <w:right w:w="70" w:type="dxa"/>
            </w:tcMar>
          </w:tcPr>
          <w:p w14:paraId="348BDAA4" w14:textId="77777777" w:rsidR="0014218F" w:rsidRDefault="00000000">
            <w:r>
              <w:rPr>
                <w:b/>
                <w:bCs/>
                <w:color w:val="FFFFFF"/>
                <w:sz w:val="18"/>
                <w:szCs w:val="18"/>
              </w:rPr>
              <w:t>Ann. vol</w:t>
            </w:r>
          </w:p>
        </w:tc>
        <w:tc>
          <w:tcPr>
            <w:tcW w:w="1592" w:type="dxa"/>
            <w:shd w:val="clear" w:color="auto" w:fill="1F3A5F"/>
            <w:tcMar>
              <w:top w:w="30" w:type="dxa"/>
              <w:left w:w="70" w:type="dxa"/>
              <w:bottom w:w="30" w:type="dxa"/>
              <w:right w:w="70" w:type="dxa"/>
            </w:tcMar>
          </w:tcPr>
          <w:p w14:paraId="744F899C" w14:textId="77777777" w:rsidR="0014218F" w:rsidRDefault="00000000">
            <w:r>
              <w:rPr>
                <w:b/>
                <w:bCs/>
                <w:color w:val="FFFFFF"/>
                <w:sz w:val="18"/>
                <w:szCs w:val="18"/>
              </w:rPr>
              <w:t>Sharpe</w:t>
            </w:r>
          </w:p>
        </w:tc>
        <w:tc>
          <w:tcPr>
            <w:tcW w:w="2912" w:type="dxa"/>
            <w:shd w:val="clear" w:color="auto" w:fill="1F3A5F"/>
            <w:tcMar>
              <w:top w:w="30" w:type="dxa"/>
              <w:left w:w="70" w:type="dxa"/>
              <w:bottom w:w="30" w:type="dxa"/>
              <w:right w:w="70" w:type="dxa"/>
            </w:tcMar>
          </w:tcPr>
          <w:p w14:paraId="2A5F232E" w14:textId="77777777" w:rsidR="0014218F" w:rsidRDefault="00000000">
            <w:r>
              <w:rPr>
                <w:b/>
                <w:bCs/>
                <w:color w:val="FFFFFF"/>
                <w:sz w:val="18"/>
                <w:szCs w:val="18"/>
              </w:rPr>
              <w:t>Max drawdown</w:t>
            </w:r>
          </w:p>
        </w:tc>
      </w:tr>
      <w:tr w:rsidR="00A2596B" w14:paraId="709B27FB" w14:textId="77777777" w:rsidTr="00A2596B">
        <w:tblPrEx>
          <w:tblCellMar>
            <w:top w:w="0" w:type="dxa"/>
            <w:bottom w:w="0" w:type="dxa"/>
          </w:tblCellMar>
        </w:tblPrEx>
        <w:tc>
          <w:tcPr>
            <w:tcW w:w="2072" w:type="dxa"/>
            <w:tcMar>
              <w:top w:w="30" w:type="dxa"/>
              <w:left w:w="70" w:type="dxa"/>
              <w:bottom w:w="30" w:type="dxa"/>
              <w:right w:w="70" w:type="dxa"/>
            </w:tcMar>
          </w:tcPr>
          <w:p w14:paraId="79BBA58D" w14:textId="77777777" w:rsidR="0014218F" w:rsidRDefault="00000000">
            <w:r>
              <w:rPr>
                <w:sz w:val="18"/>
                <w:szCs w:val="18"/>
              </w:rPr>
              <w:t>CSI 300</w:t>
            </w:r>
          </w:p>
        </w:tc>
        <w:tc>
          <w:tcPr>
            <w:tcW w:w="1587" w:type="dxa"/>
            <w:tcMar>
              <w:top w:w="30" w:type="dxa"/>
              <w:left w:w="70" w:type="dxa"/>
              <w:bottom w:w="30" w:type="dxa"/>
              <w:right w:w="70" w:type="dxa"/>
            </w:tcMar>
          </w:tcPr>
          <w:p w14:paraId="2ECB1B91" w14:textId="77777777" w:rsidR="0014218F" w:rsidRDefault="00000000">
            <w:pPr>
              <w:jc w:val="center"/>
            </w:pPr>
            <w:r>
              <w:rPr>
                <w:sz w:val="18"/>
                <w:szCs w:val="18"/>
              </w:rPr>
              <w:t>8.2%</w:t>
            </w:r>
          </w:p>
        </w:tc>
        <w:tc>
          <w:tcPr>
            <w:tcW w:w="1583" w:type="dxa"/>
            <w:tcMar>
              <w:top w:w="30" w:type="dxa"/>
              <w:left w:w="70" w:type="dxa"/>
              <w:bottom w:w="30" w:type="dxa"/>
              <w:right w:w="70" w:type="dxa"/>
            </w:tcMar>
          </w:tcPr>
          <w:p w14:paraId="40ED6191" w14:textId="77777777" w:rsidR="0014218F" w:rsidRDefault="00000000">
            <w:pPr>
              <w:jc w:val="center"/>
            </w:pPr>
            <w:r>
              <w:rPr>
                <w:sz w:val="18"/>
                <w:szCs w:val="18"/>
              </w:rPr>
              <w:t>19.3%</w:t>
            </w:r>
          </w:p>
        </w:tc>
        <w:tc>
          <w:tcPr>
            <w:tcW w:w="1592" w:type="dxa"/>
            <w:tcMar>
              <w:top w:w="30" w:type="dxa"/>
              <w:left w:w="70" w:type="dxa"/>
              <w:bottom w:w="30" w:type="dxa"/>
              <w:right w:w="70" w:type="dxa"/>
            </w:tcMar>
          </w:tcPr>
          <w:p w14:paraId="6DC4D3FC" w14:textId="77777777" w:rsidR="0014218F" w:rsidRDefault="00000000">
            <w:pPr>
              <w:jc w:val="center"/>
            </w:pPr>
            <w:r>
              <w:rPr>
                <w:sz w:val="18"/>
                <w:szCs w:val="18"/>
              </w:rPr>
              <w:t>0.31</w:t>
            </w:r>
          </w:p>
        </w:tc>
        <w:tc>
          <w:tcPr>
            <w:tcW w:w="2912" w:type="dxa"/>
            <w:tcMar>
              <w:top w:w="30" w:type="dxa"/>
              <w:left w:w="70" w:type="dxa"/>
              <w:bottom w:w="30" w:type="dxa"/>
              <w:right w:w="70" w:type="dxa"/>
            </w:tcMar>
          </w:tcPr>
          <w:p w14:paraId="3305625C" w14:textId="7FD0915C" w:rsidR="0014218F" w:rsidRDefault="00A2596B">
            <w:pPr>
              <w:jc w:val="center"/>
            </w:pPr>
            <w:r>
              <w:rPr>
                <w:sz w:val="18"/>
                <w:szCs w:val="18"/>
              </w:rPr>
              <w:t>-</w:t>
            </w:r>
            <w:r w:rsidR="00000000">
              <w:rPr>
                <w:sz w:val="18"/>
                <w:szCs w:val="18"/>
              </w:rPr>
              <w:t>32.5%</w:t>
            </w:r>
          </w:p>
        </w:tc>
      </w:tr>
      <w:tr w:rsidR="00A2596B" w14:paraId="798C47EB" w14:textId="77777777" w:rsidTr="00A2596B">
        <w:tblPrEx>
          <w:tblCellMar>
            <w:top w:w="0" w:type="dxa"/>
            <w:bottom w:w="0" w:type="dxa"/>
          </w:tblCellMar>
        </w:tblPrEx>
        <w:tc>
          <w:tcPr>
            <w:tcW w:w="2072" w:type="dxa"/>
            <w:shd w:val="clear" w:color="auto" w:fill="F2F4F7"/>
            <w:tcMar>
              <w:top w:w="30" w:type="dxa"/>
              <w:left w:w="70" w:type="dxa"/>
              <w:bottom w:w="30" w:type="dxa"/>
              <w:right w:w="70" w:type="dxa"/>
            </w:tcMar>
          </w:tcPr>
          <w:p w14:paraId="0B59A9BE" w14:textId="77777777" w:rsidR="0014218F" w:rsidRDefault="00000000">
            <w:r>
              <w:rPr>
                <w:sz w:val="18"/>
                <w:szCs w:val="18"/>
              </w:rPr>
              <w:t>CSI 500</w:t>
            </w:r>
          </w:p>
        </w:tc>
        <w:tc>
          <w:tcPr>
            <w:tcW w:w="1587" w:type="dxa"/>
            <w:shd w:val="clear" w:color="auto" w:fill="F2F4F7"/>
            <w:tcMar>
              <w:top w:w="30" w:type="dxa"/>
              <w:left w:w="70" w:type="dxa"/>
              <w:bottom w:w="30" w:type="dxa"/>
              <w:right w:w="70" w:type="dxa"/>
            </w:tcMar>
          </w:tcPr>
          <w:p w14:paraId="09D1A489" w14:textId="77777777" w:rsidR="0014218F" w:rsidRDefault="00000000">
            <w:pPr>
              <w:jc w:val="center"/>
            </w:pPr>
            <w:r>
              <w:rPr>
                <w:sz w:val="18"/>
                <w:szCs w:val="18"/>
              </w:rPr>
              <w:t>5.1%</w:t>
            </w:r>
          </w:p>
        </w:tc>
        <w:tc>
          <w:tcPr>
            <w:tcW w:w="1583" w:type="dxa"/>
            <w:shd w:val="clear" w:color="auto" w:fill="F2F4F7"/>
            <w:tcMar>
              <w:top w:w="30" w:type="dxa"/>
              <w:left w:w="70" w:type="dxa"/>
              <w:bottom w:w="30" w:type="dxa"/>
              <w:right w:w="70" w:type="dxa"/>
            </w:tcMar>
          </w:tcPr>
          <w:p w14:paraId="4AA1CC53" w14:textId="77777777" w:rsidR="0014218F" w:rsidRDefault="00000000">
            <w:pPr>
              <w:jc w:val="center"/>
            </w:pPr>
            <w:r>
              <w:rPr>
                <w:sz w:val="18"/>
                <w:szCs w:val="18"/>
              </w:rPr>
              <w:t>22.1%</w:t>
            </w:r>
          </w:p>
        </w:tc>
        <w:tc>
          <w:tcPr>
            <w:tcW w:w="1592" w:type="dxa"/>
            <w:shd w:val="clear" w:color="auto" w:fill="F2F4F7"/>
            <w:tcMar>
              <w:top w:w="30" w:type="dxa"/>
              <w:left w:w="70" w:type="dxa"/>
              <w:bottom w:w="30" w:type="dxa"/>
              <w:right w:w="70" w:type="dxa"/>
            </w:tcMar>
          </w:tcPr>
          <w:p w14:paraId="3C285A9A" w14:textId="77777777" w:rsidR="0014218F" w:rsidRDefault="00000000">
            <w:pPr>
              <w:jc w:val="center"/>
            </w:pPr>
            <w:r>
              <w:rPr>
                <w:sz w:val="18"/>
                <w:szCs w:val="18"/>
              </w:rPr>
              <w:t>0.14</w:t>
            </w:r>
          </w:p>
        </w:tc>
        <w:tc>
          <w:tcPr>
            <w:tcW w:w="2912" w:type="dxa"/>
            <w:shd w:val="clear" w:color="auto" w:fill="F2F4F7"/>
            <w:tcMar>
              <w:top w:w="30" w:type="dxa"/>
              <w:left w:w="70" w:type="dxa"/>
              <w:bottom w:w="30" w:type="dxa"/>
              <w:right w:w="70" w:type="dxa"/>
            </w:tcMar>
          </w:tcPr>
          <w:p w14:paraId="7328A69A" w14:textId="71179A38" w:rsidR="0014218F" w:rsidRDefault="00A2596B">
            <w:pPr>
              <w:jc w:val="center"/>
            </w:pPr>
            <w:r>
              <w:rPr>
                <w:sz w:val="18"/>
                <w:szCs w:val="18"/>
              </w:rPr>
              <w:t>-</w:t>
            </w:r>
            <w:r w:rsidR="00000000">
              <w:rPr>
                <w:sz w:val="18"/>
                <w:szCs w:val="18"/>
              </w:rPr>
              <w:t>38.7%</w:t>
            </w:r>
          </w:p>
        </w:tc>
      </w:tr>
      <w:tr w:rsidR="00A2596B" w14:paraId="68B0C20A" w14:textId="77777777" w:rsidTr="00A2596B">
        <w:tblPrEx>
          <w:tblCellMar>
            <w:top w:w="0" w:type="dxa"/>
            <w:bottom w:w="0" w:type="dxa"/>
          </w:tblCellMar>
        </w:tblPrEx>
        <w:tc>
          <w:tcPr>
            <w:tcW w:w="2072" w:type="dxa"/>
            <w:tcMar>
              <w:top w:w="30" w:type="dxa"/>
              <w:left w:w="70" w:type="dxa"/>
              <w:bottom w:w="30" w:type="dxa"/>
              <w:right w:w="70" w:type="dxa"/>
            </w:tcMar>
          </w:tcPr>
          <w:p w14:paraId="15B00AD2" w14:textId="77777777" w:rsidR="0014218F" w:rsidRDefault="00000000">
            <w:r>
              <w:rPr>
                <w:sz w:val="18"/>
                <w:szCs w:val="18"/>
              </w:rPr>
              <w:t>5Y Treasury</w:t>
            </w:r>
          </w:p>
        </w:tc>
        <w:tc>
          <w:tcPr>
            <w:tcW w:w="1587" w:type="dxa"/>
            <w:tcMar>
              <w:top w:w="30" w:type="dxa"/>
              <w:left w:w="70" w:type="dxa"/>
              <w:bottom w:w="30" w:type="dxa"/>
              <w:right w:w="70" w:type="dxa"/>
            </w:tcMar>
          </w:tcPr>
          <w:p w14:paraId="1D9BC4ED" w14:textId="77777777" w:rsidR="0014218F" w:rsidRDefault="00000000">
            <w:pPr>
              <w:jc w:val="center"/>
            </w:pPr>
            <w:r>
              <w:rPr>
                <w:sz w:val="18"/>
                <w:szCs w:val="18"/>
              </w:rPr>
              <w:t>4.1%</w:t>
            </w:r>
          </w:p>
        </w:tc>
        <w:tc>
          <w:tcPr>
            <w:tcW w:w="1583" w:type="dxa"/>
            <w:tcMar>
              <w:top w:w="30" w:type="dxa"/>
              <w:left w:w="70" w:type="dxa"/>
              <w:bottom w:w="30" w:type="dxa"/>
              <w:right w:w="70" w:type="dxa"/>
            </w:tcMar>
          </w:tcPr>
          <w:p w14:paraId="7BDE7922" w14:textId="77777777" w:rsidR="0014218F" w:rsidRDefault="00000000">
            <w:pPr>
              <w:jc w:val="center"/>
            </w:pPr>
            <w:r>
              <w:rPr>
                <w:sz w:val="18"/>
                <w:szCs w:val="18"/>
              </w:rPr>
              <w:t>1.8%</w:t>
            </w:r>
          </w:p>
        </w:tc>
        <w:tc>
          <w:tcPr>
            <w:tcW w:w="1592" w:type="dxa"/>
            <w:tcMar>
              <w:top w:w="30" w:type="dxa"/>
              <w:left w:w="70" w:type="dxa"/>
              <w:bottom w:w="30" w:type="dxa"/>
              <w:right w:w="70" w:type="dxa"/>
            </w:tcMar>
          </w:tcPr>
          <w:p w14:paraId="20DA00AB" w14:textId="77777777" w:rsidR="0014218F" w:rsidRDefault="00000000">
            <w:pPr>
              <w:jc w:val="center"/>
            </w:pPr>
            <w:r>
              <w:rPr>
                <w:sz w:val="18"/>
                <w:szCs w:val="18"/>
              </w:rPr>
              <w:t>1.06</w:t>
            </w:r>
          </w:p>
        </w:tc>
        <w:tc>
          <w:tcPr>
            <w:tcW w:w="2912" w:type="dxa"/>
            <w:tcMar>
              <w:top w:w="30" w:type="dxa"/>
              <w:left w:w="70" w:type="dxa"/>
              <w:bottom w:w="30" w:type="dxa"/>
              <w:right w:w="70" w:type="dxa"/>
            </w:tcMar>
          </w:tcPr>
          <w:p w14:paraId="66586893" w14:textId="3ADCA2EC" w:rsidR="0014218F" w:rsidRDefault="00A2596B">
            <w:pPr>
              <w:jc w:val="center"/>
            </w:pPr>
            <w:r>
              <w:rPr>
                <w:sz w:val="18"/>
                <w:szCs w:val="18"/>
              </w:rPr>
              <w:t>-</w:t>
            </w:r>
            <w:r w:rsidR="00000000">
              <w:rPr>
                <w:sz w:val="18"/>
                <w:szCs w:val="18"/>
              </w:rPr>
              <w:t>2.1%</w:t>
            </w:r>
          </w:p>
        </w:tc>
      </w:tr>
      <w:tr w:rsidR="00A2596B" w14:paraId="67A0626C" w14:textId="77777777" w:rsidTr="00A2596B">
        <w:tblPrEx>
          <w:tblCellMar>
            <w:top w:w="0" w:type="dxa"/>
            <w:bottom w:w="0" w:type="dxa"/>
          </w:tblCellMar>
        </w:tblPrEx>
        <w:tc>
          <w:tcPr>
            <w:tcW w:w="2072" w:type="dxa"/>
            <w:shd w:val="clear" w:color="auto" w:fill="F2F4F7"/>
            <w:tcMar>
              <w:top w:w="30" w:type="dxa"/>
              <w:left w:w="70" w:type="dxa"/>
              <w:bottom w:w="30" w:type="dxa"/>
              <w:right w:w="70" w:type="dxa"/>
            </w:tcMar>
          </w:tcPr>
          <w:p w14:paraId="6010F663" w14:textId="77777777" w:rsidR="0014218F" w:rsidRDefault="00000000">
            <w:r>
              <w:rPr>
                <w:sz w:val="18"/>
                <w:szCs w:val="18"/>
              </w:rPr>
              <w:t>Gold</w:t>
            </w:r>
          </w:p>
        </w:tc>
        <w:tc>
          <w:tcPr>
            <w:tcW w:w="1587" w:type="dxa"/>
            <w:shd w:val="clear" w:color="auto" w:fill="F2F4F7"/>
            <w:tcMar>
              <w:top w:w="30" w:type="dxa"/>
              <w:left w:w="70" w:type="dxa"/>
              <w:bottom w:w="30" w:type="dxa"/>
              <w:right w:w="70" w:type="dxa"/>
            </w:tcMar>
          </w:tcPr>
          <w:p w14:paraId="05C91E5E" w14:textId="77777777" w:rsidR="0014218F" w:rsidRDefault="00000000">
            <w:pPr>
              <w:jc w:val="center"/>
            </w:pPr>
            <w:r>
              <w:rPr>
                <w:sz w:val="18"/>
                <w:szCs w:val="18"/>
              </w:rPr>
              <w:t>8.7%</w:t>
            </w:r>
          </w:p>
        </w:tc>
        <w:tc>
          <w:tcPr>
            <w:tcW w:w="1583" w:type="dxa"/>
            <w:shd w:val="clear" w:color="auto" w:fill="F2F4F7"/>
            <w:tcMar>
              <w:top w:w="30" w:type="dxa"/>
              <w:left w:w="70" w:type="dxa"/>
              <w:bottom w:w="30" w:type="dxa"/>
              <w:right w:w="70" w:type="dxa"/>
            </w:tcMar>
          </w:tcPr>
          <w:p w14:paraId="0F9EACEE" w14:textId="77777777" w:rsidR="0014218F" w:rsidRDefault="00000000">
            <w:pPr>
              <w:jc w:val="center"/>
            </w:pPr>
            <w:r>
              <w:rPr>
                <w:sz w:val="18"/>
                <w:szCs w:val="18"/>
              </w:rPr>
              <w:t>13.2%</w:t>
            </w:r>
          </w:p>
        </w:tc>
        <w:tc>
          <w:tcPr>
            <w:tcW w:w="1592" w:type="dxa"/>
            <w:shd w:val="clear" w:color="auto" w:fill="F2F4F7"/>
            <w:tcMar>
              <w:top w:w="30" w:type="dxa"/>
              <w:left w:w="70" w:type="dxa"/>
              <w:bottom w:w="30" w:type="dxa"/>
              <w:right w:w="70" w:type="dxa"/>
            </w:tcMar>
          </w:tcPr>
          <w:p w14:paraId="555CE374" w14:textId="77777777" w:rsidR="0014218F" w:rsidRDefault="00000000">
            <w:pPr>
              <w:jc w:val="center"/>
            </w:pPr>
            <w:r>
              <w:rPr>
                <w:sz w:val="18"/>
                <w:szCs w:val="18"/>
              </w:rPr>
              <w:t>0.49</w:t>
            </w:r>
          </w:p>
        </w:tc>
        <w:tc>
          <w:tcPr>
            <w:tcW w:w="2912" w:type="dxa"/>
            <w:shd w:val="clear" w:color="auto" w:fill="F2F4F7"/>
            <w:tcMar>
              <w:top w:w="30" w:type="dxa"/>
              <w:left w:w="70" w:type="dxa"/>
              <w:bottom w:w="30" w:type="dxa"/>
              <w:right w:w="70" w:type="dxa"/>
            </w:tcMar>
          </w:tcPr>
          <w:p w14:paraId="678EAD6F" w14:textId="18FFD01C" w:rsidR="0014218F" w:rsidRDefault="00A2596B">
            <w:pPr>
              <w:jc w:val="center"/>
            </w:pPr>
            <w:r>
              <w:rPr>
                <w:sz w:val="18"/>
                <w:szCs w:val="18"/>
              </w:rPr>
              <w:t>-</w:t>
            </w:r>
            <w:r w:rsidR="00000000">
              <w:rPr>
                <w:sz w:val="18"/>
                <w:szCs w:val="18"/>
              </w:rPr>
              <w:t>21.3%</w:t>
            </w:r>
          </w:p>
        </w:tc>
      </w:tr>
      <w:tr w:rsidR="00A2596B" w14:paraId="5FD854C2" w14:textId="77777777" w:rsidTr="00A2596B">
        <w:tblPrEx>
          <w:tblCellMar>
            <w:top w:w="0" w:type="dxa"/>
            <w:bottom w:w="0" w:type="dxa"/>
          </w:tblCellMar>
        </w:tblPrEx>
        <w:tc>
          <w:tcPr>
            <w:tcW w:w="2072" w:type="dxa"/>
            <w:tcMar>
              <w:top w:w="30" w:type="dxa"/>
              <w:left w:w="70" w:type="dxa"/>
              <w:bottom w:w="30" w:type="dxa"/>
              <w:right w:w="70" w:type="dxa"/>
            </w:tcMar>
          </w:tcPr>
          <w:p w14:paraId="0EECC70B" w14:textId="77777777" w:rsidR="0014218F" w:rsidRDefault="00000000">
            <w:r>
              <w:rPr>
                <w:sz w:val="18"/>
                <w:szCs w:val="18"/>
              </w:rPr>
              <w:t>Commodity</w:t>
            </w:r>
          </w:p>
        </w:tc>
        <w:tc>
          <w:tcPr>
            <w:tcW w:w="1587" w:type="dxa"/>
            <w:tcMar>
              <w:top w:w="30" w:type="dxa"/>
              <w:left w:w="70" w:type="dxa"/>
              <w:bottom w:w="30" w:type="dxa"/>
              <w:right w:w="70" w:type="dxa"/>
            </w:tcMar>
          </w:tcPr>
          <w:p w14:paraId="2C9CA380" w14:textId="77777777" w:rsidR="0014218F" w:rsidRDefault="00000000">
            <w:pPr>
              <w:jc w:val="center"/>
            </w:pPr>
            <w:r>
              <w:rPr>
                <w:sz w:val="18"/>
                <w:szCs w:val="18"/>
              </w:rPr>
              <w:t>6.3%</w:t>
            </w:r>
          </w:p>
        </w:tc>
        <w:tc>
          <w:tcPr>
            <w:tcW w:w="1583" w:type="dxa"/>
            <w:tcMar>
              <w:top w:w="30" w:type="dxa"/>
              <w:left w:w="70" w:type="dxa"/>
              <w:bottom w:w="30" w:type="dxa"/>
              <w:right w:w="70" w:type="dxa"/>
            </w:tcMar>
          </w:tcPr>
          <w:p w14:paraId="10392950" w14:textId="77777777" w:rsidR="0014218F" w:rsidRDefault="00000000">
            <w:pPr>
              <w:jc w:val="center"/>
            </w:pPr>
            <w:r>
              <w:rPr>
                <w:sz w:val="18"/>
                <w:szCs w:val="18"/>
              </w:rPr>
              <w:t>14.8%</w:t>
            </w:r>
          </w:p>
        </w:tc>
        <w:tc>
          <w:tcPr>
            <w:tcW w:w="1592" w:type="dxa"/>
            <w:tcMar>
              <w:top w:w="30" w:type="dxa"/>
              <w:left w:w="70" w:type="dxa"/>
              <w:bottom w:w="30" w:type="dxa"/>
              <w:right w:w="70" w:type="dxa"/>
            </w:tcMar>
          </w:tcPr>
          <w:p w14:paraId="7BF2A44C" w14:textId="77777777" w:rsidR="0014218F" w:rsidRDefault="00000000">
            <w:pPr>
              <w:jc w:val="center"/>
            </w:pPr>
            <w:r>
              <w:rPr>
                <w:sz w:val="18"/>
                <w:szCs w:val="18"/>
              </w:rPr>
              <w:t>0.29</w:t>
            </w:r>
          </w:p>
        </w:tc>
        <w:tc>
          <w:tcPr>
            <w:tcW w:w="2912" w:type="dxa"/>
            <w:tcMar>
              <w:top w:w="30" w:type="dxa"/>
              <w:left w:w="70" w:type="dxa"/>
              <w:bottom w:w="30" w:type="dxa"/>
              <w:right w:w="70" w:type="dxa"/>
            </w:tcMar>
          </w:tcPr>
          <w:p w14:paraId="2695E754" w14:textId="1F1E9993" w:rsidR="0014218F" w:rsidRDefault="00A2596B">
            <w:pPr>
              <w:jc w:val="center"/>
            </w:pPr>
            <w:r>
              <w:rPr>
                <w:sz w:val="18"/>
                <w:szCs w:val="18"/>
              </w:rPr>
              <w:t>-</w:t>
            </w:r>
            <w:r w:rsidR="00000000">
              <w:rPr>
                <w:sz w:val="18"/>
                <w:szCs w:val="18"/>
              </w:rPr>
              <w:t>25.1%</w:t>
            </w:r>
          </w:p>
        </w:tc>
      </w:tr>
    </w:tbl>
    <w:p w14:paraId="09388F1D" w14:textId="68BA01CF" w:rsidR="0014218F" w:rsidRPr="00A2596B" w:rsidRDefault="00A2596B" w:rsidP="00A2596B">
      <w:pPr>
        <w:spacing w:after="80" w:line="264" w:lineRule="auto"/>
        <w:jc w:val="center"/>
        <w:rPr>
          <w:i/>
          <w:iCs/>
          <w:color w:val="555555"/>
          <w:sz w:val="16"/>
          <w:szCs w:val="16"/>
        </w:rPr>
      </w:pPr>
      <w:r w:rsidRPr="00A2596B">
        <w:rPr>
          <w:i/>
          <w:iCs/>
          <w:color w:val="555555"/>
          <w:sz w:val="16"/>
          <w:szCs w:val="16"/>
        </w:rPr>
        <w:t>Table 2</w:t>
      </w:r>
      <w:r w:rsidRPr="00A2596B">
        <w:rPr>
          <w:i/>
          <w:iCs/>
          <w:color w:val="555555"/>
          <w:sz w:val="16"/>
          <w:szCs w:val="16"/>
        </w:rPr>
        <w:t>:</w:t>
      </w:r>
      <w:r w:rsidRPr="00A2596B">
        <w:rPr>
          <w:i/>
          <w:iCs/>
          <w:color w:val="555555"/>
          <w:sz w:val="16"/>
          <w:szCs w:val="16"/>
        </w:rPr>
        <w:t xml:space="preserve"> In-sample asset statistics, 2017–2021.</w:t>
      </w:r>
    </w:p>
    <w:p w14:paraId="59D70FF2" w14:textId="77777777" w:rsidR="0014218F" w:rsidRDefault="00000000">
      <w:pPr>
        <w:pStyle w:val="Heading2"/>
        <w:spacing w:line="264" w:lineRule="auto"/>
      </w:pPr>
      <w:r>
        <w:t>2.3 Allocation Rules</w:t>
      </w:r>
    </w:p>
    <w:p w14:paraId="2A8B8A89" w14:textId="77777777" w:rsidR="0014218F" w:rsidRDefault="00000000">
      <w:pPr>
        <w:spacing w:after="100" w:line="264" w:lineRule="auto"/>
        <w:jc w:val="both"/>
      </w:pPr>
      <w:r>
        <w:t>We implement four allocation rules, all under a long-only, unlevered constraint (Σ wᵢ ≤ 1) with any residual held in cash.</w:t>
      </w:r>
    </w:p>
    <w:p w14:paraId="464E7885" w14:textId="77777777" w:rsidR="0014218F" w:rsidRDefault="00000000">
      <w:pPr>
        <w:spacing w:after="100" w:line="264" w:lineRule="auto"/>
        <w:jc w:val="both"/>
      </w:pPr>
      <w:r>
        <w:rPr>
          <w:b/>
          <w:bCs/>
        </w:rPr>
        <w:t xml:space="preserve">Equal Risk Contribution (ERC). </w:t>
      </w:r>
      <w:r>
        <w:t>Following Maillard, Roncalli &amp; Teïletche (2010), we solve for weights such that each asset contributes equally to portfolio variance,</w:t>
      </w:r>
    </w:p>
    <w:p w14:paraId="4B725C7C" w14:textId="77777777" w:rsidR="0014218F" w:rsidRDefault="00000000">
      <w:pPr>
        <w:spacing w:before="60" w:after="80"/>
        <w:jc w:val="center"/>
      </w:pPr>
      <w:r>
        <w:rPr>
          <w:i/>
          <w:iCs/>
        </w:rPr>
        <w:t>RCᵢ = wᵢ · (Σw)ᵢ / √(wᵀ Σ w) = 1/N,</w:t>
      </w:r>
    </w:p>
    <w:p w14:paraId="7D52D689" w14:textId="77777777" w:rsidR="0014218F" w:rsidRDefault="00000000">
      <w:pPr>
        <w:spacing w:after="100" w:line="264" w:lineRule="auto"/>
        <w:jc w:val="both"/>
      </w:pPr>
      <w:r>
        <w:t>via SLSQP minimisation of the squared deviation of risk contributions from their mean, subject to non-negativity. To match the 5% annualised volatility target of CSI MARP, the resulting weights are scaled by σ_target/σ_port. When the natural ERC volatility exceeds 5%, scaling shrinks the risk-asset weight and the residual is held at the risk-free rate; when it is below 5%, the unlevered constraint binds and the portfolio operates at its natural volatility.</w:t>
      </w:r>
    </w:p>
    <w:p w14:paraId="6DFD4FA3" w14:textId="77777777" w:rsidR="0014218F" w:rsidRDefault="00000000">
      <w:pPr>
        <w:spacing w:after="100" w:line="264" w:lineRule="auto"/>
        <w:jc w:val="both"/>
      </w:pPr>
      <w:r>
        <w:rPr>
          <w:b/>
          <w:bCs/>
        </w:rPr>
        <w:t xml:space="preserve">Inverse-Volatility Risk Parity (RP). </w:t>
      </w:r>
      <w:r>
        <w:t>A simpler heuristic — wᵢ ∝ 1/σᵢ — followed by the same volatility-target rescaling. This rule ignores correlations and provides a baseline against which the full ERC optimisation can be evaluated.</w:t>
      </w:r>
    </w:p>
    <w:p w14:paraId="29E50273" w14:textId="4E123D80" w:rsidR="0014218F" w:rsidRDefault="00000000">
      <w:pPr>
        <w:spacing w:after="100" w:line="264" w:lineRule="auto"/>
        <w:jc w:val="both"/>
      </w:pPr>
      <w:r>
        <w:rPr>
          <w:b/>
          <w:bCs/>
        </w:rPr>
        <w:t xml:space="preserve">Hierarchical Risk Parity (HRP). </w:t>
      </w:r>
      <w:r>
        <w:t xml:space="preserve">Following López de Prado (2016), correlations are mapped to a distance metric dᵢⱼ = √(0.5(1 </w:t>
      </w:r>
      <w:r w:rsidR="00A2596B">
        <w:t>-</w:t>
      </w:r>
      <w:r>
        <w:t xml:space="preserve"> ρᵢⱼ)), assets are clustered using Ward's linkage, and weights are determined by recursive bisection of the dendrogram with inverse-variance allocation at each split. HRP is included specifically as a test of robustness to estimation error in the covariance matrix, which is the principal weakness of mean-variance and ERC optimisation in small samples.</w:t>
      </w:r>
    </w:p>
    <w:p w14:paraId="519BAE59" w14:textId="77777777" w:rsidR="0014218F" w:rsidRDefault="00000000">
      <w:pPr>
        <w:spacing w:after="100" w:line="264" w:lineRule="auto"/>
        <w:jc w:val="both"/>
      </w:pPr>
      <w:r>
        <w:rPr>
          <w:b/>
          <w:bCs/>
        </w:rPr>
        <w:t xml:space="preserve">MARP Replication (Ridge). </w:t>
      </w:r>
      <w:r>
        <w:t>The official CSI MARP daily returns are projected onto the five-ETF universe via Tikhonov-regularised least squares,</w:t>
      </w:r>
    </w:p>
    <w:p w14:paraId="5C7C6B7D" w14:textId="7F195353" w:rsidR="0014218F" w:rsidRDefault="00000000">
      <w:pPr>
        <w:spacing w:before="60" w:after="80"/>
        <w:jc w:val="center"/>
      </w:pPr>
      <w:r>
        <w:rPr>
          <w:i/>
          <w:iCs/>
        </w:rPr>
        <w:t xml:space="preserve">ŵ = argmin_w ‖R_MARP </w:t>
      </w:r>
      <w:r w:rsidR="00A2596B">
        <w:rPr>
          <w:i/>
          <w:iCs/>
        </w:rPr>
        <w:t>-</w:t>
      </w:r>
      <w:r>
        <w:rPr>
          <w:i/>
          <w:iCs/>
        </w:rPr>
        <w:t xml:space="preserve"> R w‖₂² + α‖w‖₂²,    α = 0.01,</w:t>
      </w:r>
    </w:p>
    <w:p w14:paraId="2C348E7A" w14:textId="77777777" w:rsidR="0014218F" w:rsidRDefault="00000000">
      <w:pPr>
        <w:spacing w:after="100" w:line="264" w:lineRule="auto"/>
        <w:jc w:val="both"/>
      </w:pPr>
      <w:r>
        <w:t>with the resulting weights clipped to non-negativity and renormalised. This produces a tradable approximation of the official index from the same five-ETF universe.</w:t>
      </w:r>
    </w:p>
    <w:p w14:paraId="774A9FA8" w14:textId="77777777" w:rsidR="0014218F" w:rsidRDefault="00000000">
      <w:pPr>
        <w:pStyle w:val="Heading2"/>
        <w:spacing w:line="264" w:lineRule="auto"/>
      </w:pPr>
      <w:r>
        <w:t>2.4 Walk-Forward Protocol</w:t>
      </w:r>
    </w:p>
    <w:p w14:paraId="04DBD8DC" w14:textId="77777777" w:rsidR="0014218F" w:rsidRDefault="00000000">
      <w:pPr>
        <w:spacing w:after="100" w:line="264" w:lineRule="auto"/>
        <w:jc w:val="both"/>
      </w:pPr>
      <w:r>
        <w:t>All strategies are evaluated under an identical walk-forward protocol. At each rebalance the previous 756 trading days (≈ three years) are used to estimate inputs and compute weights; the resulting allocation is held for the next 252 trading days; transactions incur 10 bps round-trip costs and 2 bps slippage; if optimisation fails (insufficient assets, singular covariance, non-convergence), the engine falls back to equal weight. The first OOS rebalance occurs on 2022-01-04 and the final on 2024-12-31.</w:t>
      </w:r>
    </w:p>
    <w:p w14:paraId="011B27E6" w14:textId="77777777" w:rsidR="0014218F" w:rsidRDefault="00000000">
      <w:pPr>
        <w:pStyle w:val="Heading1"/>
        <w:spacing w:line="264" w:lineRule="auto"/>
      </w:pPr>
      <w:r>
        <w:t>3. Empirical Results</w:t>
      </w:r>
    </w:p>
    <w:p w14:paraId="09D649F8" w14:textId="77777777" w:rsidR="0014218F" w:rsidRDefault="00000000">
      <w:pPr>
        <w:pStyle w:val="Heading2"/>
        <w:spacing w:line="264" w:lineRule="auto"/>
      </w:pPr>
      <w:r>
        <w:t>3.1 Out-of-Sample Performance, 2022–2025</w:t>
      </w:r>
    </w:p>
    <w:p w14:paraId="7CE07766" w14:textId="77777777" w:rsidR="0014218F" w:rsidRDefault="00000000">
      <w:pPr>
        <w:spacing w:after="100" w:line="264" w:lineRule="auto"/>
        <w:jc w:val="both"/>
      </w:pPr>
      <w:r>
        <w:t>Table 3 summarises the OOS performance of the four strategies, the equal-weight benchmark, and the official CSI MARP index. All Sharpe ratios use the 2.2% per annum risk-free rate.</w:t>
      </w:r>
    </w:p>
    <w:p w14:paraId="4A517442" w14:textId="0F9E4E35" w:rsidR="0014218F" w:rsidRDefault="0014218F">
      <w:pPr>
        <w:spacing w:before="60" w:after="40" w:line="264" w:lineRule="auto"/>
      </w:pPr>
    </w:p>
    <w:tbl>
      <w:tblPr>
        <w:tblW w:w="974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2"/>
        <w:gridCol w:w="1356"/>
        <w:gridCol w:w="1147"/>
        <w:gridCol w:w="1043"/>
        <w:gridCol w:w="1147"/>
        <w:gridCol w:w="1147"/>
        <w:gridCol w:w="1404"/>
      </w:tblGrid>
      <w:tr w:rsidR="00A2596B" w14:paraId="7FE6D2A1" w14:textId="77777777" w:rsidTr="00A2596B">
        <w:tblPrEx>
          <w:tblCellMar>
            <w:top w:w="0" w:type="dxa"/>
            <w:bottom w:w="0" w:type="dxa"/>
          </w:tblCellMar>
        </w:tblPrEx>
        <w:trPr>
          <w:tblHeader/>
        </w:trPr>
        <w:tc>
          <w:tcPr>
            <w:tcW w:w="2502" w:type="dxa"/>
            <w:shd w:val="clear" w:color="auto" w:fill="1F3A5F"/>
            <w:tcMar>
              <w:top w:w="30" w:type="dxa"/>
              <w:left w:w="70" w:type="dxa"/>
              <w:bottom w:w="30" w:type="dxa"/>
              <w:right w:w="70" w:type="dxa"/>
            </w:tcMar>
          </w:tcPr>
          <w:p w14:paraId="31E5F54C" w14:textId="77777777" w:rsidR="0014218F" w:rsidRDefault="00000000">
            <w:r>
              <w:rPr>
                <w:b/>
                <w:bCs/>
                <w:color w:val="FFFFFF"/>
                <w:sz w:val="18"/>
                <w:szCs w:val="18"/>
              </w:rPr>
              <w:lastRenderedPageBreak/>
              <w:t>Strategy</w:t>
            </w:r>
          </w:p>
        </w:tc>
        <w:tc>
          <w:tcPr>
            <w:tcW w:w="1356" w:type="dxa"/>
            <w:shd w:val="clear" w:color="auto" w:fill="1F3A5F"/>
            <w:tcMar>
              <w:top w:w="30" w:type="dxa"/>
              <w:left w:w="70" w:type="dxa"/>
              <w:bottom w:w="30" w:type="dxa"/>
              <w:right w:w="70" w:type="dxa"/>
            </w:tcMar>
          </w:tcPr>
          <w:p w14:paraId="5E003EF9" w14:textId="77777777" w:rsidR="0014218F" w:rsidRDefault="00000000">
            <w:r>
              <w:rPr>
                <w:b/>
                <w:bCs/>
                <w:color w:val="FFFFFF"/>
                <w:sz w:val="18"/>
                <w:szCs w:val="18"/>
              </w:rPr>
              <w:t>Ann. return</w:t>
            </w:r>
          </w:p>
        </w:tc>
        <w:tc>
          <w:tcPr>
            <w:tcW w:w="1147" w:type="dxa"/>
            <w:shd w:val="clear" w:color="auto" w:fill="1F3A5F"/>
            <w:tcMar>
              <w:top w:w="30" w:type="dxa"/>
              <w:left w:w="70" w:type="dxa"/>
              <w:bottom w:w="30" w:type="dxa"/>
              <w:right w:w="70" w:type="dxa"/>
            </w:tcMar>
          </w:tcPr>
          <w:p w14:paraId="4A7CB28B" w14:textId="77777777" w:rsidR="0014218F" w:rsidRDefault="00000000">
            <w:r>
              <w:rPr>
                <w:b/>
                <w:bCs/>
                <w:color w:val="FFFFFF"/>
                <w:sz w:val="18"/>
                <w:szCs w:val="18"/>
              </w:rPr>
              <w:t>Ann. vol</w:t>
            </w:r>
          </w:p>
        </w:tc>
        <w:tc>
          <w:tcPr>
            <w:tcW w:w="1043" w:type="dxa"/>
            <w:shd w:val="clear" w:color="auto" w:fill="1F3A5F"/>
            <w:tcMar>
              <w:top w:w="30" w:type="dxa"/>
              <w:left w:w="70" w:type="dxa"/>
              <w:bottom w:w="30" w:type="dxa"/>
              <w:right w:w="70" w:type="dxa"/>
            </w:tcMar>
          </w:tcPr>
          <w:p w14:paraId="2CDA6167" w14:textId="77777777" w:rsidR="0014218F" w:rsidRDefault="00000000">
            <w:r>
              <w:rPr>
                <w:b/>
                <w:bCs/>
                <w:color w:val="FFFFFF"/>
                <w:sz w:val="18"/>
                <w:szCs w:val="18"/>
              </w:rPr>
              <w:t>Sharpe</w:t>
            </w:r>
          </w:p>
        </w:tc>
        <w:tc>
          <w:tcPr>
            <w:tcW w:w="1147" w:type="dxa"/>
            <w:shd w:val="clear" w:color="auto" w:fill="1F3A5F"/>
            <w:tcMar>
              <w:top w:w="30" w:type="dxa"/>
              <w:left w:w="70" w:type="dxa"/>
              <w:bottom w:w="30" w:type="dxa"/>
              <w:right w:w="70" w:type="dxa"/>
            </w:tcMar>
          </w:tcPr>
          <w:p w14:paraId="50D77D44" w14:textId="77777777" w:rsidR="0014218F" w:rsidRDefault="00000000">
            <w:r>
              <w:rPr>
                <w:b/>
                <w:bCs/>
                <w:color w:val="FFFFFF"/>
                <w:sz w:val="18"/>
                <w:szCs w:val="18"/>
              </w:rPr>
              <w:t>Sortino</w:t>
            </w:r>
          </w:p>
        </w:tc>
        <w:tc>
          <w:tcPr>
            <w:tcW w:w="1147" w:type="dxa"/>
            <w:shd w:val="clear" w:color="auto" w:fill="1F3A5F"/>
            <w:tcMar>
              <w:top w:w="30" w:type="dxa"/>
              <w:left w:w="70" w:type="dxa"/>
              <w:bottom w:w="30" w:type="dxa"/>
              <w:right w:w="70" w:type="dxa"/>
            </w:tcMar>
          </w:tcPr>
          <w:p w14:paraId="75ED732A" w14:textId="77777777" w:rsidR="0014218F" w:rsidRDefault="00000000">
            <w:r>
              <w:rPr>
                <w:b/>
                <w:bCs/>
                <w:color w:val="FFFFFF"/>
                <w:sz w:val="18"/>
                <w:szCs w:val="18"/>
              </w:rPr>
              <w:t>Calmar</w:t>
            </w:r>
          </w:p>
        </w:tc>
        <w:tc>
          <w:tcPr>
            <w:tcW w:w="1404" w:type="dxa"/>
            <w:shd w:val="clear" w:color="auto" w:fill="1F3A5F"/>
            <w:tcMar>
              <w:top w:w="30" w:type="dxa"/>
              <w:left w:w="70" w:type="dxa"/>
              <w:bottom w:w="30" w:type="dxa"/>
              <w:right w:w="70" w:type="dxa"/>
            </w:tcMar>
          </w:tcPr>
          <w:p w14:paraId="31680DD1" w14:textId="77777777" w:rsidR="0014218F" w:rsidRDefault="00000000">
            <w:r>
              <w:rPr>
                <w:b/>
                <w:bCs/>
                <w:color w:val="FFFFFF"/>
                <w:sz w:val="18"/>
                <w:szCs w:val="18"/>
              </w:rPr>
              <w:t>Max DD</w:t>
            </w:r>
          </w:p>
        </w:tc>
      </w:tr>
      <w:tr w:rsidR="00A2596B" w14:paraId="6B98C89D" w14:textId="77777777" w:rsidTr="00A2596B">
        <w:tblPrEx>
          <w:tblCellMar>
            <w:top w:w="0" w:type="dxa"/>
            <w:bottom w:w="0" w:type="dxa"/>
          </w:tblCellMar>
        </w:tblPrEx>
        <w:tc>
          <w:tcPr>
            <w:tcW w:w="2502" w:type="dxa"/>
            <w:tcMar>
              <w:top w:w="30" w:type="dxa"/>
              <w:left w:w="70" w:type="dxa"/>
              <w:bottom w:w="30" w:type="dxa"/>
              <w:right w:w="70" w:type="dxa"/>
            </w:tcMar>
          </w:tcPr>
          <w:p w14:paraId="552B642C" w14:textId="77777777" w:rsidR="0014218F" w:rsidRDefault="00000000">
            <w:r>
              <w:rPr>
                <w:sz w:val="18"/>
                <w:szCs w:val="18"/>
              </w:rPr>
              <w:t>ERC (5% target)</w:t>
            </w:r>
          </w:p>
        </w:tc>
        <w:tc>
          <w:tcPr>
            <w:tcW w:w="1356" w:type="dxa"/>
            <w:tcMar>
              <w:top w:w="30" w:type="dxa"/>
              <w:left w:w="70" w:type="dxa"/>
              <w:bottom w:w="30" w:type="dxa"/>
              <w:right w:w="70" w:type="dxa"/>
            </w:tcMar>
          </w:tcPr>
          <w:p w14:paraId="7CAEC538" w14:textId="77777777" w:rsidR="0014218F" w:rsidRDefault="00000000">
            <w:pPr>
              <w:jc w:val="center"/>
            </w:pPr>
            <w:r>
              <w:rPr>
                <w:sz w:val="18"/>
                <w:szCs w:val="18"/>
              </w:rPr>
              <w:t>8.94%</w:t>
            </w:r>
          </w:p>
        </w:tc>
        <w:tc>
          <w:tcPr>
            <w:tcW w:w="1147" w:type="dxa"/>
            <w:tcMar>
              <w:top w:w="30" w:type="dxa"/>
              <w:left w:w="70" w:type="dxa"/>
              <w:bottom w:w="30" w:type="dxa"/>
              <w:right w:w="70" w:type="dxa"/>
            </w:tcMar>
          </w:tcPr>
          <w:p w14:paraId="57D1025C" w14:textId="77777777" w:rsidR="0014218F" w:rsidRDefault="00000000">
            <w:pPr>
              <w:jc w:val="center"/>
            </w:pPr>
            <w:r>
              <w:rPr>
                <w:sz w:val="18"/>
                <w:szCs w:val="18"/>
              </w:rPr>
              <w:t>5.24%</w:t>
            </w:r>
          </w:p>
        </w:tc>
        <w:tc>
          <w:tcPr>
            <w:tcW w:w="1043" w:type="dxa"/>
            <w:tcMar>
              <w:top w:w="30" w:type="dxa"/>
              <w:left w:w="70" w:type="dxa"/>
              <w:bottom w:w="30" w:type="dxa"/>
              <w:right w:w="70" w:type="dxa"/>
            </w:tcMar>
          </w:tcPr>
          <w:p w14:paraId="0854576C" w14:textId="77777777" w:rsidR="0014218F" w:rsidRDefault="00000000">
            <w:pPr>
              <w:jc w:val="center"/>
            </w:pPr>
            <w:r>
              <w:rPr>
                <w:sz w:val="18"/>
                <w:szCs w:val="18"/>
              </w:rPr>
              <w:t>1.28</w:t>
            </w:r>
          </w:p>
        </w:tc>
        <w:tc>
          <w:tcPr>
            <w:tcW w:w="1147" w:type="dxa"/>
            <w:tcMar>
              <w:top w:w="30" w:type="dxa"/>
              <w:left w:w="70" w:type="dxa"/>
              <w:bottom w:w="30" w:type="dxa"/>
              <w:right w:w="70" w:type="dxa"/>
            </w:tcMar>
          </w:tcPr>
          <w:p w14:paraId="26AA6F1A" w14:textId="77777777" w:rsidR="0014218F" w:rsidRDefault="00000000">
            <w:pPr>
              <w:jc w:val="center"/>
            </w:pPr>
            <w:r>
              <w:rPr>
                <w:sz w:val="18"/>
                <w:szCs w:val="18"/>
              </w:rPr>
              <w:t>1.63</w:t>
            </w:r>
          </w:p>
        </w:tc>
        <w:tc>
          <w:tcPr>
            <w:tcW w:w="1147" w:type="dxa"/>
            <w:tcMar>
              <w:top w:w="30" w:type="dxa"/>
              <w:left w:w="70" w:type="dxa"/>
              <w:bottom w:w="30" w:type="dxa"/>
              <w:right w:w="70" w:type="dxa"/>
            </w:tcMar>
          </w:tcPr>
          <w:p w14:paraId="7374FA01" w14:textId="77777777" w:rsidR="0014218F" w:rsidRDefault="00000000">
            <w:pPr>
              <w:jc w:val="center"/>
            </w:pPr>
            <w:r>
              <w:rPr>
                <w:sz w:val="18"/>
                <w:szCs w:val="18"/>
              </w:rPr>
              <w:t>1.81</w:t>
            </w:r>
          </w:p>
        </w:tc>
        <w:tc>
          <w:tcPr>
            <w:tcW w:w="1404" w:type="dxa"/>
            <w:tcMar>
              <w:top w:w="30" w:type="dxa"/>
              <w:left w:w="70" w:type="dxa"/>
              <w:bottom w:w="30" w:type="dxa"/>
              <w:right w:w="70" w:type="dxa"/>
            </w:tcMar>
          </w:tcPr>
          <w:p w14:paraId="69A7F617" w14:textId="21BFEB3A" w:rsidR="0014218F" w:rsidRDefault="00A2596B">
            <w:pPr>
              <w:jc w:val="center"/>
            </w:pPr>
            <w:r>
              <w:rPr>
                <w:sz w:val="18"/>
                <w:szCs w:val="18"/>
              </w:rPr>
              <w:t>-</w:t>
            </w:r>
            <w:r w:rsidR="00000000">
              <w:rPr>
                <w:sz w:val="18"/>
                <w:szCs w:val="18"/>
              </w:rPr>
              <w:t>4.93%</w:t>
            </w:r>
          </w:p>
        </w:tc>
      </w:tr>
      <w:tr w:rsidR="00A2596B" w14:paraId="455E6FCA" w14:textId="77777777" w:rsidTr="00A2596B">
        <w:tblPrEx>
          <w:tblCellMar>
            <w:top w:w="0" w:type="dxa"/>
            <w:bottom w:w="0" w:type="dxa"/>
          </w:tblCellMar>
        </w:tblPrEx>
        <w:tc>
          <w:tcPr>
            <w:tcW w:w="2502" w:type="dxa"/>
            <w:shd w:val="clear" w:color="auto" w:fill="F2F4F7"/>
            <w:tcMar>
              <w:top w:w="30" w:type="dxa"/>
              <w:left w:w="70" w:type="dxa"/>
              <w:bottom w:w="30" w:type="dxa"/>
              <w:right w:w="70" w:type="dxa"/>
            </w:tcMar>
          </w:tcPr>
          <w:p w14:paraId="5F551D54" w14:textId="77777777" w:rsidR="0014218F" w:rsidRDefault="00000000">
            <w:r>
              <w:rPr>
                <w:sz w:val="18"/>
                <w:szCs w:val="18"/>
              </w:rPr>
              <w:t>Inverse-vol RP</w:t>
            </w:r>
          </w:p>
        </w:tc>
        <w:tc>
          <w:tcPr>
            <w:tcW w:w="1356" w:type="dxa"/>
            <w:shd w:val="clear" w:color="auto" w:fill="F2F4F7"/>
            <w:tcMar>
              <w:top w:w="30" w:type="dxa"/>
              <w:left w:w="70" w:type="dxa"/>
              <w:bottom w:w="30" w:type="dxa"/>
              <w:right w:w="70" w:type="dxa"/>
            </w:tcMar>
          </w:tcPr>
          <w:p w14:paraId="5F5307BD" w14:textId="77777777" w:rsidR="0014218F" w:rsidRDefault="00000000">
            <w:pPr>
              <w:jc w:val="center"/>
            </w:pPr>
            <w:r>
              <w:rPr>
                <w:sz w:val="18"/>
                <w:szCs w:val="18"/>
              </w:rPr>
              <w:t>7.37%</w:t>
            </w:r>
          </w:p>
        </w:tc>
        <w:tc>
          <w:tcPr>
            <w:tcW w:w="1147" w:type="dxa"/>
            <w:shd w:val="clear" w:color="auto" w:fill="F2F4F7"/>
            <w:tcMar>
              <w:top w:w="30" w:type="dxa"/>
              <w:left w:w="70" w:type="dxa"/>
              <w:bottom w:w="30" w:type="dxa"/>
              <w:right w:w="70" w:type="dxa"/>
            </w:tcMar>
          </w:tcPr>
          <w:p w14:paraId="0F5CD0E7" w14:textId="77777777" w:rsidR="0014218F" w:rsidRDefault="00000000">
            <w:pPr>
              <w:jc w:val="center"/>
            </w:pPr>
            <w:r>
              <w:rPr>
                <w:sz w:val="18"/>
                <w:szCs w:val="18"/>
              </w:rPr>
              <w:t>3.18%</w:t>
            </w:r>
          </w:p>
        </w:tc>
        <w:tc>
          <w:tcPr>
            <w:tcW w:w="1043" w:type="dxa"/>
            <w:shd w:val="clear" w:color="auto" w:fill="F2F4F7"/>
            <w:tcMar>
              <w:top w:w="30" w:type="dxa"/>
              <w:left w:w="70" w:type="dxa"/>
              <w:bottom w:w="30" w:type="dxa"/>
              <w:right w:w="70" w:type="dxa"/>
            </w:tcMar>
          </w:tcPr>
          <w:p w14:paraId="76C6EF54" w14:textId="77777777" w:rsidR="0014218F" w:rsidRDefault="00000000">
            <w:pPr>
              <w:jc w:val="center"/>
            </w:pPr>
            <w:r>
              <w:rPr>
                <w:sz w:val="18"/>
                <w:szCs w:val="18"/>
              </w:rPr>
              <w:t>1.63</w:t>
            </w:r>
          </w:p>
        </w:tc>
        <w:tc>
          <w:tcPr>
            <w:tcW w:w="1147" w:type="dxa"/>
            <w:shd w:val="clear" w:color="auto" w:fill="F2F4F7"/>
            <w:tcMar>
              <w:top w:w="30" w:type="dxa"/>
              <w:left w:w="70" w:type="dxa"/>
              <w:bottom w:w="30" w:type="dxa"/>
              <w:right w:w="70" w:type="dxa"/>
            </w:tcMar>
          </w:tcPr>
          <w:p w14:paraId="48D8594F" w14:textId="77777777" w:rsidR="0014218F" w:rsidRDefault="00000000">
            <w:pPr>
              <w:jc w:val="center"/>
            </w:pPr>
            <w:r>
              <w:rPr>
                <w:sz w:val="18"/>
                <w:szCs w:val="18"/>
              </w:rPr>
              <w:t>2.17</w:t>
            </w:r>
          </w:p>
        </w:tc>
        <w:tc>
          <w:tcPr>
            <w:tcW w:w="1147" w:type="dxa"/>
            <w:shd w:val="clear" w:color="auto" w:fill="F2F4F7"/>
            <w:tcMar>
              <w:top w:w="30" w:type="dxa"/>
              <w:left w:w="70" w:type="dxa"/>
              <w:bottom w:w="30" w:type="dxa"/>
              <w:right w:w="70" w:type="dxa"/>
            </w:tcMar>
          </w:tcPr>
          <w:p w14:paraId="2EE705D7" w14:textId="77777777" w:rsidR="0014218F" w:rsidRDefault="00000000">
            <w:pPr>
              <w:jc w:val="center"/>
            </w:pPr>
            <w:r>
              <w:rPr>
                <w:sz w:val="18"/>
                <w:szCs w:val="18"/>
              </w:rPr>
              <w:t>3.40</w:t>
            </w:r>
          </w:p>
        </w:tc>
        <w:tc>
          <w:tcPr>
            <w:tcW w:w="1404" w:type="dxa"/>
            <w:shd w:val="clear" w:color="auto" w:fill="F2F4F7"/>
            <w:tcMar>
              <w:top w:w="30" w:type="dxa"/>
              <w:left w:w="70" w:type="dxa"/>
              <w:bottom w:w="30" w:type="dxa"/>
              <w:right w:w="70" w:type="dxa"/>
            </w:tcMar>
          </w:tcPr>
          <w:p w14:paraId="6FD7D049" w14:textId="239A4749" w:rsidR="0014218F" w:rsidRDefault="00A2596B">
            <w:pPr>
              <w:jc w:val="center"/>
            </w:pPr>
            <w:r>
              <w:rPr>
                <w:sz w:val="18"/>
                <w:szCs w:val="18"/>
              </w:rPr>
              <w:t>-</w:t>
            </w:r>
            <w:r w:rsidR="00000000">
              <w:rPr>
                <w:sz w:val="18"/>
                <w:szCs w:val="18"/>
              </w:rPr>
              <w:t>2.17%</w:t>
            </w:r>
          </w:p>
        </w:tc>
      </w:tr>
      <w:tr w:rsidR="00A2596B" w14:paraId="3B739F63" w14:textId="77777777" w:rsidTr="00A2596B">
        <w:tblPrEx>
          <w:tblCellMar>
            <w:top w:w="0" w:type="dxa"/>
            <w:bottom w:w="0" w:type="dxa"/>
          </w:tblCellMar>
        </w:tblPrEx>
        <w:tc>
          <w:tcPr>
            <w:tcW w:w="2502" w:type="dxa"/>
            <w:tcMar>
              <w:top w:w="30" w:type="dxa"/>
              <w:left w:w="70" w:type="dxa"/>
              <w:bottom w:w="30" w:type="dxa"/>
              <w:right w:w="70" w:type="dxa"/>
            </w:tcMar>
          </w:tcPr>
          <w:p w14:paraId="52F3682E" w14:textId="77777777" w:rsidR="0014218F" w:rsidRDefault="00000000">
            <w:r>
              <w:rPr>
                <w:sz w:val="18"/>
                <w:szCs w:val="18"/>
              </w:rPr>
              <w:t>HRP</w:t>
            </w:r>
          </w:p>
        </w:tc>
        <w:tc>
          <w:tcPr>
            <w:tcW w:w="1356" w:type="dxa"/>
            <w:tcMar>
              <w:top w:w="30" w:type="dxa"/>
              <w:left w:w="70" w:type="dxa"/>
              <w:bottom w:w="30" w:type="dxa"/>
              <w:right w:w="70" w:type="dxa"/>
            </w:tcMar>
          </w:tcPr>
          <w:p w14:paraId="5EF097B5" w14:textId="77777777" w:rsidR="0014218F" w:rsidRDefault="00000000">
            <w:pPr>
              <w:jc w:val="center"/>
            </w:pPr>
            <w:r>
              <w:rPr>
                <w:sz w:val="18"/>
                <w:szCs w:val="18"/>
              </w:rPr>
              <w:t>4.03%</w:t>
            </w:r>
          </w:p>
        </w:tc>
        <w:tc>
          <w:tcPr>
            <w:tcW w:w="1147" w:type="dxa"/>
            <w:tcMar>
              <w:top w:w="30" w:type="dxa"/>
              <w:left w:w="70" w:type="dxa"/>
              <w:bottom w:w="30" w:type="dxa"/>
              <w:right w:w="70" w:type="dxa"/>
            </w:tcMar>
          </w:tcPr>
          <w:p w14:paraId="4EF8E347" w14:textId="77777777" w:rsidR="0014218F" w:rsidRDefault="00000000">
            <w:pPr>
              <w:jc w:val="center"/>
            </w:pPr>
            <w:r>
              <w:rPr>
                <w:sz w:val="18"/>
                <w:szCs w:val="18"/>
              </w:rPr>
              <w:t>1.45%</w:t>
            </w:r>
          </w:p>
        </w:tc>
        <w:tc>
          <w:tcPr>
            <w:tcW w:w="1043" w:type="dxa"/>
            <w:tcMar>
              <w:top w:w="30" w:type="dxa"/>
              <w:left w:w="70" w:type="dxa"/>
              <w:bottom w:w="30" w:type="dxa"/>
              <w:right w:w="70" w:type="dxa"/>
            </w:tcMar>
          </w:tcPr>
          <w:p w14:paraId="3D34038B" w14:textId="77777777" w:rsidR="0014218F" w:rsidRDefault="00000000">
            <w:pPr>
              <w:jc w:val="center"/>
            </w:pPr>
            <w:r>
              <w:rPr>
                <w:sz w:val="18"/>
                <w:szCs w:val="18"/>
              </w:rPr>
              <w:t>1.26</w:t>
            </w:r>
          </w:p>
        </w:tc>
        <w:tc>
          <w:tcPr>
            <w:tcW w:w="1147" w:type="dxa"/>
            <w:tcMar>
              <w:top w:w="30" w:type="dxa"/>
              <w:left w:w="70" w:type="dxa"/>
              <w:bottom w:w="30" w:type="dxa"/>
              <w:right w:w="70" w:type="dxa"/>
            </w:tcMar>
          </w:tcPr>
          <w:p w14:paraId="0F78C2CA" w14:textId="77777777" w:rsidR="0014218F" w:rsidRDefault="00000000">
            <w:pPr>
              <w:jc w:val="center"/>
            </w:pPr>
            <w:r>
              <w:rPr>
                <w:sz w:val="18"/>
                <w:szCs w:val="18"/>
              </w:rPr>
              <w:t>1.76</w:t>
            </w:r>
          </w:p>
        </w:tc>
        <w:tc>
          <w:tcPr>
            <w:tcW w:w="1147" w:type="dxa"/>
            <w:tcMar>
              <w:top w:w="30" w:type="dxa"/>
              <w:left w:w="70" w:type="dxa"/>
              <w:bottom w:w="30" w:type="dxa"/>
              <w:right w:w="70" w:type="dxa"/>
            </w:tcMar>
          </w:tcPr>
          <w:p w14:paraId="26D58A50" w14:textId="77777777" w:rsidR="0014218F" w:rsidRDefault="00000000">
            <w:pPr>
              <w:jc w:val="center"/>
            </w:pPr>
            <w:r>
              <w:rPr>
                <w:sz w:val="18"/>
                <w:szCs w:val="18"/>
              </w:rPr>
              <w:t>3.12</w:t>
            </w:r>
          </w:p>
        </w:tc>
        <w:tc>
          <w:tcPr>
            <w:tcW w:w="1404" w:type="dxa"/>
            <w:tcMar>
              <w:top w:w="30" w:type="dxa"/>
              <w:left w:w="70" w:type="dxa"/>
              <w:bottom w:w="30" w:type="dxa"/>
              <w:right w:w="70" w:type="dxa"/>
            </w:tcMar>
          </w:tcPr>
          <w:p w14:paraId="6927EB1D" w14:textId="49205774" w:rsidR="0014218F" w:rsidRDefault="00A2596B">
            <w:pPr>
              <w:jc w:val="center"/>
            </w:pPr>
            <w:r>
              <w:rPr>
                <w:sz w:val="18"/>
                <w:szCs w:val="18"/>
              </w:rPr>
              <w:t>-</w:t>
            </w:r>
            <w:r w:rsidR="00000000">
              <w:rPr>
                <w:sz w:val="18"/>
                <w:szCs w:val="18"/>
              </w:rPr>
              <w:t>1.29%</w:t>
            </w:r>
          </w:p>
        </w:tc>
      </w:tr>
      <w:tr w:rsidR="00A2596B" w14:paraId="4A9E0DFE" w14:textId="77777777" w:rsidTr="00A2596B">
        <w:tblPrEx>
          <w:tblCellMar>
            <w:top w:w="0" w:type="dxa"/>
            <w:bottom w:w="0" w:type="dxa"/>
          </w:tblCellMar>
        </w:tblPrEx>
        <w:tc>
          <w:tcPr>
            <w:tcW w:w="2502" w:type="dxa"/>
            <w:shd w:val="clear" w:color="auto" w:fill="F2F4F7"/>
            <w:tcMar>
              <w:top w:w="30" w:type="dxa"/>
              <w:left w:w="70" w:type="dxa"/>
              <w:bottom w:w="30" w:type="dxa"/>
              <w:right w:w="70" w:type="dxa"/>
            </w:tcMar>
          </w:tcPr>
          <w:p w14:paraId="5DB6695D" w14:textId="77777777" w:rsidR="0014218F" w:rsidRDefault="00000000">
            <w:r>
              <w:rPr>
                <w:sz w:val="18"/>
                <w:szCs w:val="18"/>
              </w:rPr>
              <w:t>Equal weight</w:t>
            </w:r>
          </w:p>
        </w:tc>
        <w:tc>
          <w:tcPr>
            <w:tcW w:w="1356" w:type="dxa"/>
            <w:shd w:val="clear" w:color="auto" w:fill="F2F4F7"/>
            <w:tcMar>
              <w:top w:w="30" w:type="dxa"/>
              <w:left w:w="70" w:type="dxa"/>
              <w:bottom w:w="30" w:type="dxa"/>
              <w:right w:w="70" w:type="dxa"/>
            </w:tcMar>
          </w:tcPr>
          <w:p w14:paraId="39F4EACE" w14:textId="77777777" w:rsidR="0014218F" w:rsidRDefault="00000000">
            <w:pPr>
              <w:jc w:val="center"/>
            </w:pPr>
            <w:r>
              <w:rPr>
                <w:sz w:val="18"/>
                <w:szCs w:val="18"/>
              </w:rPr>
              <w:t>12.86%</w:t>
            </w:r>
          </w:p>
        </w:tc>
        <w:tc>
          <w:tcPr>
            <w:tcW w:w="1147" w:type="dxa"/>
            <w:shd w:val="clear" w:color="auto" w:fill="F2F4F7"/>
            <w:tcMar>
              <w:top w:w="30" w:type="dxa"/>
              <w:left w:w="70" w:type="dxa"/>
              <w:bottom w:w="30" w:type="dxa"/>
              <w:right w:w="70" w:type="dxa"/>
            </w:tcMar>
          </w:tcPr>
          <w:p w14:paraId="03E0A865" w14:textId="77777777" w:rsidR="0014218F" w:rsidRDefault="00000000">
            <w:pPr>
              <w:jc w:val="center"/>
            </w:pPr>
            <w:r>
              <w:rPr>
                <w:sz w:val="18"/>
                <w:szCs w:val="18"/>
              </w:rPr>
              <w:t>9.08%</w:t>
            </w:r>
          </w:p>
        </w:tc>
        <w:tc>
          <w:tcPr>
            <w:tcW w:w="1043" w:type="dxa"/>
            <w:shd w:val="clear" w:color="auto" w:fill="F2F4F7"/>
            <w:tcMar>
              <w:top w:w="30" w:type="dxa"/>
              <w:left w:w="70" w:type="dxa"/>
              <w:bottom w:w="30" w:type="dxa"/>
              <w:right w:w="70" w:type="dxa"/>
            </w:tcMar>
          </w:tcPr>
          <w:p w14:paraId="5CA8F013" w14:textId="77777777" w:rsidR="0014218F" w:rsidRDefault="00000000">
            <w:pPr>
              <w:jc w:val="center"/>
            </w:pPr>
            <w:r>
              <w:rPr>
                <w:sz w:val="18"/>
                <w:szCs w:val="18"/>
              </w:rPr>
              <w:t>1.17</w:t>
            </w:r>
          </w:p>
        </w:tc>
        <w:tc>
          <w:tcPr>
            <w:tcW w:w="1147" w:type="dxa"/>
            <w:shd w:val="clear" w:color="auto" w:fill="F2F4F7"/>
            <w:tcMar>
              <w:top w:w="30" w:type="dxa"/>
              <w:left w:w="70" w:type="dxa"/>
              <w:bottom w:w="30" w:type="dxa"/>
              <w:right w:w="70" w:type="dxa"/>
            </w:tcMar>
          </w:tcPr>
          <w:p w14:paraId="580EEA62" w14:textId="77777777" w:rsidR="0014218F" w:rsidRDefault="00000000">
            <w:pPr>
              <w:jc w:val="center"/>
            </w:pPr>
            <w:r>
              <w:rPr>
                <w:sz w:val="18"/>
                <w:szCs w:val="18"/>
              </w:rPr>
              <w:t>1.53</w:t>
            </w:r>
          </w:p>
        </w:tc>
        <w:tc>
          <w:tcPr>
            <w:tcW w:w="1147" w:type="dxa"/>
            <w:shd w:val="clear" w:color="auto" w:fill="F2F4F7"/>
            <w:tcMar>
              <w:top w:w="30" w:type="dxa"/>
              <w:left w:w="70" w:type="dxa"/>
              <w:bottom w:w="30" w:type="dxa"/>
              <w:right w:w="70" w:type="dxa"/>
            </w:tcMar>
          </w:tcPr>
          <w:p w14:paraId="4F429781" w14:textId="77777777" w:rsidR="0014218F" w:rsidRDefault="00000000">
            <w:pPr>
              <w:jc w:val="center"/>
            </w:pPr>
            <w:r>
              <w:rPr>
                <w:sz w:val="18"/>
                <w:szCs w:val="18"/>
              </w:rPr>
              <w:t>1.34</w:t>
            </w:r>
          </w:p>
        </w:tc>
        <w:tc>
          <w:tcPr>
            <w:tcW w:w="1404" w:type="dxa"/>
            <w:shd w:val="clear" w:color="auto" w:fill="F2F4F7"/>
            <w:tcMar>
              <w:top w:w="30" w:type="dxa"/>
              <w:left w:w="70" w:type="dxa"/>
              <w:bottom w:w="30" w:type="dxa"/>
              <w:right w:w="70" w:type="dxa"/>
            </w:tcMar>
          </w:tcPr>
          <w:p w14:paraId="48BB0AE7" w14:textId="27441933" w:rsidR="0014218F" w:rsidRDefault="00A2596B">
            <w:pPr>
              <w:jc w:val="center"/>
            </w:pPr>
            <w:r>
              <w:rPr>
                <w:sz w:val="18"/>
                <w:szCs w:val="18"/>
              </w:rPr>
              <w:t>-</w:t>
            </w:r>
            <w:r w:rsidR="00000000">
              <w:rPr>
                <w:sz w:val="18"/>
                <w:szCs w:val="18"/>
              </w:rPr>
              <w:t>9.63%</w:t>
            </w:r>
          </w:p>
        </w:tc>
      </w:tr>
      <w:tr w:rsidR="00A2596B" w14:paraId="42ADB92C" w14:textId="77777777" w:rsidTr="00A2596B">
        <w:tblPrEx>
          <w:tblCellMar>
            <w:top w:w="0" w:type="dxa"/>
            <w:bottom w:w="0" w:type="dxa"/>
          </w:tblCellMar>
        </w:tblPrEx>
        <w:tc>
          <w:tcPr>
            <w:tcW w:w="2502" w:type="dxa"/>
            <w:tcMar>
              <w:top w:w="30" w:type="dxa"/>
              <w:left w:w="70" w:type="dxa"/>
              <w:bottom w:w="30" w:type="dxa"/>
              <w:right w:w="70" w:type="dxa"/>
            </w:tcMar>
          </w:tcPr>
          <w:p w14:paraId="2C8BAD74" w14:textId="77777777" w:rsidR="0014218F" w:rsidRDefault="00000000">
            <w:r>
              <w:rPr>
                <w:sz w:val="18"/>
                <w:szCs w:val="18"/>
              </w:rPr>
              <w:t>MARP replication</w:t>
            </w:r>
          </w:p>
        </w:tc>
        <w:tc>
          <w:tcPr>
            <w:tcW w:w="1356" w:type="dxa"/>
            <w:tcMar>
              <w:top w:w="30" w:type="dxa"/>
              <w:left w:w="70" w:type="dxa"/>
              <w:bottom w:w="30" w:type="dxa"/>
              <w:right w:w="70" w:type="dxa"/>
            </w:tcMar>
          </w:tcPr>
          <w:p w14:paraId="058A0F5D" w14:textId="77777777" w:rsidR="0014218F" w:rsidRDefault="00000000">
            <w:pPr>
              <w:jc w:val="center"/>
            </w:pPr>
            <w:r>
              <w:rPr>
                <w:sz w:val="18"/>
                <w:szCs w:val="18"/>
              </w:rPr>
              <w:t>18.48%</w:t>
            </w:r>
          </w:p>
        </w:tc>
        <w:tc>
          <w:tcPr>
            <w:tcW w:w="1147" w:type="dxa"/>
            <w:tcMar>
              <w:top w:w="30" w:type="dxa"/>
              <w:left w:w="70" w:type="dxa"/>
              <w:bottom w:w="30" w:type="dxa"/>
              <w:right w:w="70" w:type="dxa"/>
            </w:tcMar>
          </w:tcPr>
          <w:p w14:paraId="1C7C1C8F" w14:textId="77777777" w:rsidR="0014218F" w:rsidRDefault="00000000">
            <w:pPr>
              <w:jc w:val="center"/>
            </w:pPr>
            <w:r>
              <w:rPr>
                <w:sz w:val="18"/>
                <w:szCs w:val="18"/>
              </w:rPr>
              <w:t>9.07%</w:t>
            </w:r>
          </w:p>
        </w:tc>
        <w:tc>
          <w:tcPr>
            <w:tcW w:w="1043" w:type="dxa"/>
            <w:tcMar>
              <w:top w:w="30" w:type="dxa"/>
              <w:left w:w="70" w:type="dxa"/>
              <w:bottom w:w="30" w:type="dxa"/>
              <w:right w:w="70" w:type="dxa"/>
            </w:tcMar>
          </w:tcPr>
          <w:p w14:paraId="60604F26" w14:textId="77777777" w:rsidR="0014218F" w:rsidRDefault="00000000">
            <w:pPr>
              <w:jc w:val="center"/>
            </w:pPr>
            <w:r>
              <w:rPr>
                <w:sz w:val="18"/>
                <w:szCs w:val="18"/>
              </w:rPr>
              <w:t>1.80</w:t>
            </w:r>
          </w:p>
        </w:tc>
        <w:tc>
          <w:tcPr>
            <w:tcW w:w="1147" w:type="dxa"/>
            <w:tcMar>
              <w:top w:w="30" w:type="dxa"/>
              <w:left w:w="70" w:type="dxa"/>
              <w:bottom w:w="30" w:type="dxa"/>
              <w:right w:w="70" w:type="dxa"/>
            </w:tcMar>
          </w:tcPr>
          <w:p w14:paraId="69C93D4B" w14:textId="77777777" w:rsidR="0014218F" w:rsidRDefault="00000000">
            <w:pPr>
              <w:jc w:val="center"/>
            </w:pPr>
            <w:r>
              <w:rPr>
                <w:sz w:val="18"/>
                <w:szCs w:val="18"/>
              </w:rPr>
              <w:t>2.29</w:t>
            </w:r>
          </w:p>
        </w:tc>
        <w:tc>
          <w:tcPr>
            <w:tcW w:w="1147" w:type="dxa"/>
            <w:tcMar>
              <w:top w:w="30" w:type="dxa"/>
              <w:left w:w="70" w:type="dxa"/>
              <w:bottom w:w="30" w:type="dxa"/>
              <w:right w:w="70" w:type="dxa"/>
            </w:tcMar>
          </w:tcPr>
          <w:p w14:paraId="684153F0" w14:textId="77777777" w:rsidR="0014218F" w:rsidRDefault="00000000">
            <w:pPr>
              <w:jc w:val="center"/>
            </w:pPr>
            <w:r>
              <w:rPr>
                <w:sz w:val="18"/>
                <w:szCs w:val="18"/>
              </w:rPr>
              <w:t>3.67</w:t>
            </w:r>
          </w:p>
        </w:tc>
        <w:tc>
          <w:tcPr>
            <w:tcW w:w="1404" w:type="dxa"/>
            <w:tcMar>
              <w:top w:w="30" w:type="dxa"/>
              <w:left w:w="70" w:type="dxa"/>
              <w:bottom w:w="30" w:type="dxa"/>
              <w:right w:w="70" w:type="dxa"/>
            </w:tcMar>
          </w:tcPr>
          <w:p w14:paraId="2D3E1B65" w14:textId="3C392553" w:rsidR="0014218F" w:rsidRDefault="00A2596B">
            <w:pPr>
              <w:jc w:val="center"/>
            </w:pPr>
            <w:r>
              <w:rPr>
                <w:sz w:val="18"/>
                <w:szCs w:val="18"/>
              </w:rPr>
              <w:t>-</w:t>
            </w:r>
            <w:r w:rsidR="00000000">
              <w:rPr>
                <w:sz w:val="18"/>
                <w:szCs w:val="18"/>
              </w:rPr>
              <w:t>5.04%</w:t>
            </w:r>
          </w:p>
        </w:tc>
      </w:tr>
      <w:tr w:rsidR="00A2596B" w14:paraId="71136FDB" w14:textId="77777777" w:rsidTr="00A2596B">
        <w:tblPrEx>
          <w:tblCellMar>
            <w:top w:w="0" w:type="dxa"/>
            <w:bottom w:w="0" w:type="dxa"/>
          </w:tblCellMar>
        </w:tblPrEx>
        <w:tc>
          <w:tcPr>
            <w:tcW w:w="2502" w:type="dxa"/>
            <w:shd w:val="clear" w:color="auto" w:fill="F2F4F7"/>
            <w:tcMar>
              <w:top w:w="30" w:type="dxa"/>
              <w:left w:w="70" w:type="dxa"/>
              <w:bottom w:w="30" w:type="dxa"/>
              <w:right w:w="70" w:type="dxa"/>
            </w:tcMar>
          </w:tcPr>
          <w:p w14:paraId="1DA5B1C4" w14:textId="77777777" w:rsidR="0014218F" w:rsidRDefault="00000000">
            <w:r>
              <w:rPr>
                <w:sz w:val="18"/>
                <w:szCs w:val="18"/>
              </w:rPr>
              <w:t>CSI MARP (official)</w:t>
            </w:r>
          </w:p>
        </w:tc>
        <w:tc>
          <w:tcPr>
            <w:tcW w:w="1356" w:type="dxa"/>
            <w:shd w:val="clear" w:color="auto" w:fill="F2F4F7"/>
            <w:tcMar>
              <w:top w:w="30" w:type="dxa"/>
              <w:left w:w="70" w:type="dxa"/>
              <w:bottom w:w="30" w:type="dxa"/>
              <w:right w:w="70" w:type="dxa"/>
            </w:tcMar>
          </w:tcPr>
          <w:p w14:paraId="78A16B71" w14:textId="77777777" w:rsidR="0014218F" w:rsidRDefault="00000000">
            <w:pPr>
              <w:jc w:val="center"/>
            </w:pPr>
            <w:r>
              <w:rPr>
                <w:sz w:val="18"/>
                <w:szCs w:val="18"/>
              </w:rPr>
              <w:t>5.20%</w:t>
            </w:r>
          </w:p>
        </w:tc>
        <w:tc>
          <w:tcPr>
            <w:tcW w:w="1147" w:type="dxa"/>
            <w:shd w:val="clear" w:color="auto" w:fill="F2F4F7"/>
            <w:tcMar>
              <w:top w:w="30" w:type="dxa"/>
              <w:left w:w="70" w:type="dxa"/>
              <w:bottom w:w="30" w:type="dxa"/>
              <w:right w:w="70" w:type="dxa"/>
            </w:tcMar>
          </w:tcPr>
          <w:p w14:paraId="63A3B394" w14:textId="77777777" w:rsidR="0014218F" w:rsidRDefault="00000000">
            <w:pPr>
              <w:jc w:val="center"/>
            </w:pPr>
            <w:r>
              <w:rPr>
                <w:sz w:val="18"/>
                <w:szCs w:val="18"/>
              </w:rPr>
              <w:t>1.51%</w:t>
            </w:r>
          </w:p>
        </w:tc>
        <w:tc>
          <w:tcPr>
            <w:tcW w:w="1043" w:type="dxa"/>
            <w:shd w:val="clear" w:color="auto" w:fill="F2F4F7"/>
            <w:tcMar>
              <w:top w:w="30" w:type="dxa"/>
              <w:left w:w="70" w:type="dxa"/>
              <w:bottom w:w="30" w:type="dxa"/>
              <w:right w:w="70" w:type="dxa"/>
            </w:tcMar>
          </w:tcPr>
          <w:p w14:paraId="1A2D1367" w14:textId="77777777" w:rsidR="0014218F" w:rsidRDefault="00000000">
            <w:pPr>
              <w:jc w:val="center"/>
            </w:pPr>
            <w:r>
              <w:rPr>
                <w:sz w:val="18"/>
                <w:szCs w:val="18"/>
              </w:rPr>
              <w:t>1.99</w:t>
            </w:r>
          </w:p>
        </w:tc>
        <w:tc>
          <w:tcPr>
            <w:tcW w:w="1147" w:type="dxa"/>
            <w:shd w:val="clear" w:color="auto" w:fill="F2F4F7"/>
            <w:tcMar>
              <w:top w:w="30" w:type="dxa"/>
              <w:left w:w="70" w:type="dxa"/>
              <w:bottom w:w="30" w:type="dxa"/>
              <w:right w:w="70" w:type="dxa"/>
            </w:tcMar>
          </w:tcPr>
          <w:p w14:paraId="4E4E19B4" w14:textId="45B37CF6" w:rsidR="0014218F" w:rsidRDefault="00A2596B">
            <w:pPr>
              <w:jc w:val="center"/>
            </w:pPr>
            <w:r>
              <w:t>-</w:t>
            </w:r>
          </w:p>
        </w:tc>
        <w:tc>
          <w:tcPr>
            <w:tcW w:w="1147" w:type="dxa"/>
            <w:shd w:val="clear" w:color="auto" w:fill="F2F4F7"/>
            <w:tcMar>
              <w:top w:w="30" w:type="dxa"/>
              <w:left w:w="70" w:type="dxa"/>
              <w:bottom w:w="30" w:type="dxa"/>
              <w:right w:w="70" w:type="dxa"/>
            </w:tcMar>
          </w:tcPr>
          <w:p w14:paraId="253CEC94" w14:textId="1B87B3CB" w:rsidR="0014218F" w:rsidRDefault="00A2596B">
            <w:pPr>
              <w:jc w:val="center"/>
            </w:pPr>
            <w:r>
              <w:rPr>
                <w:sz w:val="18"/>
                <w:szCs w:val="18"/>
              </w:rPr>
              <w:t>-</w:t>
            </w:r>
          </w:p>
        </w:tc>
        <w:tc>
          <w:tcPr>
            <w:tcW w:w="1404" w:type="dxa"/>
            <w:shd w:val="clear" w:color="auto" w:fill="F2F4F7"/>
            <w:tcMar>
              <w:top w:w="30" w:type="dxa"/>
              <w:left w:w="70" w:type="dxa"/>
              <w:bottom w:w="30" w:type="dxa"/>
              <w:right w:w="70" w:type="dxa"/>
            </w:tcMar>
          </w:tcPr>
          <w:p w14:paraId="2D4CA99B" w14:textId="3CC3CB15" w:rsidR="0014218F" w:rsidRDefault="00A2596B">
            <w:pPr>
              <w:jc w:val="center"/>
            </w:pPr>
            <w:r>
              <w:rPr>
                <w:sz w:val="18"/>
                <w:szCs w:val="18"/>
              </w:rPr>
              <w:t>-</w:t>
            </w:r>
          </w:p>
        </w:tc>
      </w:tr>
    </w:tbl>
    <w:p w14:paraId="11B70884" w14:textId="71C8E1C4" w:rsidR="0014218F" w:rsidRPr="00A2596B" w:rsidRDefault="00A2596B" w:rsidP="00A2596B">
      <w:pPr>
        <w:spacing w:after="80" w:line="264" w:lineRule="auto"/>
        <w:jc w:val="center"/>
        <w:rPr>
          <w:i/>
          <w:iCs/>
          <w:color w:val="555555"/>
          <w:sz w:val="16"/>
          <w:szCs w:val="16"/>
        </w:rPr>
      </w:pPr>
      <w:r w:rsidRPr="00A2596B">
        <w:rPr>
          <w:i/>
          <w:iCs/>
          <w:color w:val="555555"/>
          <w:sz w:val="16"/>
          <w:szCs w:val="16"/>
        </w:rPr>
        <w:t>Table 3</w:t>
      </w:r>
      <w:r w:rsidRPr="00A2596B">
        <w:rPr>
          <w:i/>
          <w:iCs/>
          <w:color w:val="555555"/>
          <w:sz w:val="16"/>
          <w:szCs w:val="16"/>
        </w:rPr>
        <w:t>:</w:t>
      </w:r>
      <w:r w:rsidRPr="00A2596B">
        <w:rPr>
          <w:i/>
          <w:iCs/>
          <w:color w:val="555555"/>
          <w:sz w:val="16"/>
          <w:szCs w:val="16"/>
        </w:rPr>
        <w:t xml:space="preserve"> Out-of-sample performance, 2022-01 to 2025-12.</w:t>
      </w:r>
    </w:p>
    <w:p w14:paraId="35CE6F45" w14:textId="1FCD5E7A" w:rsidR="0014218F" w:rsidRDefault="00000000">
      <w:pPr>
        <w:spacing w:after="100" w:line="264" w:lineRule="auto"/>
        <w:jc w:val="both"/>
      </w:pPr>
      <w:r>
        <w:t>Three observations follow. First, ERC achieves a 1.28 Sharpe at a realised volatility of 5.24%, almost exactly matching the 5% target</w:t>
      </w:r>
      <w:r w:rsidR="00A2596B">
        <w:t>,</w:t>
      </w:r>
      <w:r>
        <w:t xml:space="preserve"> a direct verification that the volatility-overlay machinery operates as designed. The portfolio holds approximately 42% in cash on average; this is the consequence of the unlevered constraint, since the natural ERC volatility on the five-asset universe exceeds 5% throughout the OOS period. Second, ERC dominates equal weight on every risk-adjusted metric</w:t>
      </w:r>
      <w:r w:rsidR="00A2596B">
        <w:t>;</w:t>
      </w:r>
      <w:r>
        <w:t xml:space="preserve"> the Sharpe is 0.11 higher and the maximum drawdown is roughly half. Third, the ridge-based MARP replication delivers the highest absolute Sharpe (1.80) but at a volatility of 9% it is not in fact a 5%-volatility product; it tracks the shape of the official index well while operating at the natural unlevered volatility of the constituents. The official CSI MARP figures are reported for completeness but use a different (likely modestly levered) construction that lies outside the unlevered tradable framework.</w:t>
      </w:r>
    </w:p>
    <w:p w14:paraId="4B8F7033" w14:textId="3454F890" w:rsidR="0014218F" w:rsidRDefault="00000000">
      <w:pPr>
        <w:spacing w:after="100" w:line="264" w:lineRule="auto"/>
        <w:jc w:val="both"/>
      </w:pPr>
      <w:r>
        <w:t>The inverse-volatility and HRP strategies both record higher Sharpe ratios than ERC but are constrained by their natural volatilities (3.18% and 1.45% respectively), which the unlevered framework cannot scale up to the 5% target. HRP's 1.45% volatility is the consequence of Ward-linkage clustering concentrating capital in the low-volatility bond cluster</w:t>
      </w:r>
      <w:r w:rsidR="00A2596B">
        <w:t>,</w:t>
      </w:r>
      <w:r>
        <w:t xml:space="preserve"> a known sensitivity discussed in </w:t>
      </w:r>
      <w:r w:rsidR="00A2596B">
        <w:t xml:space="preserve">Section </w:t>
      </w:r>
      <w:r>
        <w:t>6.3.</w:t>
      </w:r>
    </w:p>
    <w:p w14:paraId="58D02EF7" w14:textId="77777777" w:rsidR="0014218F" w:rsidRDefault="00000000">
      <w:pPr>
        <w:pStyle w:val="Heading2"/>
        <w:spacing w:line="264" w:lineRule="auto"/>
      </w:pPr>
      <w:r>
        <w:t>3.2 Cumulative Performance and Annual Decomposition</w:t>
      </w:r>
    </w:p>
    <w:p w14:paraId="45A69CC9" w14:textId="77777777" w:rsidR="0014218F" w:rsidRDefault="00000000">
      <w:pPr>
        <w:spacing w:after="100" w:line="264" w:lineRule="auto"/>
        <w:jc w:val="both"/>
      </w:pPr>
      <w:r>
        <w:t>Figure 1 plots the OOS cumulative growth of one yuan invested in each strategy, alongside the official CSI MARP index. The visual story is consistent with Table 3: ERC tracks a path between the more aggressive equal-weight and MARP replication portfolios and the very conservative HRP and inverse-volatility paths, with the smoothest profile of any 5%-target strategy.</w:t>
      </w:r>
    </w:p>
    <w:p w14:paraId="23D9A9CE" w14:textId="77777777" w:rsidR="0014218F" w:rsidRDefault="00000000">
      <w:pPr>
        <w:spacing w:before="80" w:after="40"/>
        <w:jc w:val="center"/>
      </w:pPr>
      <w:r>
        <w:rPr>
          <w:noProof/>
        </w:rPr>
        <w:drawing>
          <wp:inline distT="0" distB="0" distL="0" distR="0" wp14:anchorId="568A266B" wp14:editId="0CF0CBD6">
            <wp:extent cx="4476750" cy="2209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209800"/>
                    </a:xfrm>
                    <a:prstGeom prst="rect">
                      <a:avLst/>
                    </a:prstGeom>
                  </pic:spPr>
                </pic:pic>
              </a:graphicData>
            </a:graphic>
          </wp:inline>
        </w:drawing>
      </w:r>
    </w:p>
    <w:p w14:paraId="7054150E" w14:textId="568F38A3" w:rsidR="0014218F" w:rsidRDefault="00000000">
      <w:pPr>
        <w:spacing w:after="80" w:line="264" w:lineRule="auto"/>
        <w:jc w:val="center"/>
      </w:pPr>
      <w:r>
        <w:rPr>
          <w:i/>
          <w:iCs/>
          <w:color w:val="555555"/>
          <w:sz w:val="16"/>
          <w:szCs w:val="16"/>
        </w:rPr>
        <w:t>Figure 1</w:t>
      </w:r>
      <w:r w:rsidR="00A2596B">
        <w:rPr>
          <w:i/>
          <w:iCs/>
          <w:color w:val="555555"/>
          <w:sz w:val="16"/>
          <w:szCs w:val="16"/>
        </w:rPr>
        <w:t>:</w:t>
      </w:r>
      <w:r>
        <w:rPr>
          <w:i/>
          <w:iCs/>
          <w:color w:val="555555"/>
          <w:sz w:val="16"/>
          <w:szCs w:val="16"/>
        </w:rPr>
        <w:t xml:space="preserve"> Cumulative out-of-sample performance, 2022–2025.</w:t>
      </w:r>
    </w:p>
    <w:p w14:paraId="1D3A015B" w14:textId="46900928" w:rsidR="0014218F" w:rsidRPr="00A2596B" w:rsidRDefault="00000000" w:rsidP="00A2596B">
      <w:pPr>
        <w:spacing w:after="100" w:line="264" w:lineRule="auto"/>
        <w:jc w:val="both"/>
      </w:pPr>
      <w:r>
        <w:t>The annual decomposition (Table 4) makes the behaviour over the cycle explicit. In 2022, when CSI 300 fell roughly 21%, ERC lost only 1.6%</w:t>
      </w:r>
      <w:r w:rsidR="00A2596B">
        <w:t>,</w:t>
      </w:r>
      <w:r>
        <w:t xml:space="preserve"> a draw that is materially smaller than the equal-weight portfolio (</w:t>
      </w:r>
      <w:r w:rsidR="00A2596B">
        <w:t>-</w:t>
      </w:r>
      <w:r>
        <w:t>6.1%) and very close to the official CSI MARP. In the 2024 rally, ERC participated for 6.2%, less than half of equal weight, reflecting the cash buffer required by the volatility overlay.</w:t>
      </w:r>
    </w:p>
    <w:tbl>
      <w:tblPr>
        <w:tblW w:w="974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0"/>
        <w:gridCol w:w="2003"/>
        <w:gridCol w:w="2214"/>
        <w:gridCol w:w="2003"/>
        <w:gridCol w:w="1946"/>
      </w:tblGrid>
      <w:tr w:rsidR="00A2596B" w14:paraId="5979EBA1" w14:textId="77777777" w:rsidTr="00A2596B">
        <w:tblPrEx>
          <w:tblCellMar>
            <w:top w:w="0" w:type="dxa"/>
            <w:bottom w:w="0" w:type="dxa"/>
          </w:tblCellMar>
        </w:tblPrEx>
        <w:trPr>
          <w:tblHeader/>
        </w:trPr>
        <w:tc>
          <w:tcPr>
            <w:tcW w:w="1580" w:type="dxa"/>
            <w:shd w:val="clear" w:color="auto" w:fill="1F3A5F"/>
            <w:tcMar>
              <w:top w:w="30" w:type="dxa"/>
              <w:left w:w="70" w:type="dxa"/>
              <w:bottom w:w="30" w:type="dxa"/>
              <w:right w:w="70" w:type="dxa"/>
            </w:tcMar>
          </w:tcPr>
          <w:p w14:paraId="5552D088" w14:textId="77777777" w:rsidR="0014218F" w:rsidRDefault="00000000">
            <w:r>
              <w:rPr>
                <w:b/>
                <w:bCs/>
                <w:color w:val="FFFFFF"/>
                <w:sz w:val="18"/>
                <w:szCs w:val="18"/>
              </w:rPr>
              <w:t>Year</w:t>
            </w:r>
          </w:p>
        </w:tc>
        <w:tc>
          <w:tcPr>
            <w:tcW w:w="2003" w:type="dxa"/>
            <w:shd w:val="clear" w:color="auto" w:fill="1F3A5F"/>
            <w:tcMar>
              <w:top w:w="30" w:type="dxa"/>
              <w:left w:w="70" w:type="dxa"/>
              <w:bottom w:w="30" w:type="dxa"/>
              <w:right w:w="70" w:type="dxa"/>
            </w:tcMar>
          </w:tcPr>
          <w:p w14:paraId="6516CE64" w14:textId="77777777" w:rsidR="0014218F" w:rsidRDefault="00000000">
            <w:r>
              <w:rPr>
                <w:b/>
                <w:bCs/>
                <w:color w:val="FFFFFF"/>
                <w:sz w:val="18"/>
                <w:szCs w:val="18"/>
              </w:rPr>
              <w:t>ERC (5%)</w:t>
            </w:r>
          </w:p>
        </w:tc>
        <w:tc>
          <w:tcPr>
            <w:tcW w:w="2214" w:type="dxa"/>
            <w:shd w:val="clear" w:color="auto" w:fill="1F3A5F"/>
            <w:tcMar>
              <w:top w:w="30" w:type="dxa"/>
              <w:left w:w="70" w:type="dxa"/>
              <w:bottom w:w="30" w:type="dxa"/>
              <w:right w:w="70" w:type="dxa"/>
            </w:tcMar>
          </w:tcPr>
          <w:p w14:paraId="36F8BC21" w14:textId="77777777" w:rsidR="0014218F" w:rsidRDefault="00000000">
            <w:r>
              <w:rPr>
                <w:b/>
                <w:bCs/>
                <w:color w:val="FFFFFF"/>
                <w:sz w:val="18"/>
                <w:szCs w:val="18"/>
              </w:rPr>
              <w:t>Equal weight</w:t>
            </w:r>
          </w:p>
        </w:tc>
        <w:tc>
          <w:tcPr>
            <w:tcW w:w="2003" w:type="dxa"/>
            <w:shd w:val="clear" w:color="auto" w:fill="1F3A5F"/>
            <w:tcMar>
              <w:top w:w="30" w:type="dxa"/>
              <w:left w:w="70" w:type="dxa"/>
              <w:bottom w:w="30" w:type="dxa"/>
              <w:right w:w="70" w:type="dxa"/>
            </w:tcMar>
          </w:tcPr>
          <w:p w14:paraId="7F5603BE" w14:textId="77777777" w:rsidR="0014218F" w:rsidRDefault="00000000">
            <w:r>
              <w:rPr>
                <w:b/>
                <w:bCs/>
                <w:color w:val="FFFFFF"/>
                <w:sz w:val="18"/>
                <w:szCs w:val="18"/>
              </w:rPr>
              <w:t>MARP rep</w:t>
            </w:r>
          </w:p>
        </w:tc>
        <w:tc>
          <w:tcPr>
            <w:tcW w:w="1946" w:type="dxa"/>
            <w:shd w:val="clear" w:color="auto" w:fill="1F3A5F"/>
            <w:tcMar>
              <w:top w:w="30" w:type="dxa"/>
              <w:left w:w="70" w:type="dxa"/>
              <w:bottom w:w="30" w:type="dxa"/>
              <w:right w:w="70" w:type="dxa"/>
            </w:tcMar>
          </w:tcPr>
          <w:p w14:paraId="21DA9459" w14:textId="77777777" w:rsidR="0014218F" w:rsidRDefault="00000000">
            <w:r>
              <w:rPr>
                <w:b/>
                <w:bCs/>
                <w:color w:val="FFFFFF"/>
                <w:sz w:val="18"/>
                <w:szCs w:val="18"/>
              </w:rPr>
              <w:t>CSI MARP</w:t>
            </w:r>
          </w:p>
        </w:tc>
      </w:tr>
      <w:tr w:rsidR="00A2596B" w14:paraId="1ABE0EF0" w14:textId="77777777" w:rsidTr="00A2596B">
        <w:tblPrEx>
          <w:tblCellMar>
            <w:top w:w="0" w:type="dxa"/>
            <w:bottom w:w="0" w:type="dxa"/>
          </w:tblCellMar>
        </w:tblPrEx>
        <w:tc>
          <w:tcPr>
            <w:tcW w:w="1580" w:type="dxa"/>
            <w:tcMar>
              <w:top w:w="30" w:type="dxa"/>
              <w:left w:w="70" w:type="dxa"/>
              <w:bottom w:w="30" w:type="dxa"/>
              <w:right w:w="70" w:type="dxa"/>
            </w:tcMar>
          </w:tcPr>
          <w:p w14:paraId="35515C66" w14:textId="77777777" w:rsidR="0014218F" w:rsidRDefault="00000000">
            <w:r>
              <w:rPr>
                <w:sz w:val="18"/>
                <w:szCs w:val="18"/>
              </w:rPr>
              <w:t>2022</w:t>
            </w:r>
          </w:p>
        </w:tc>
        <w:tc>
          <w:tcPr>
            <w:tcW w:w="2003" w:type="dxa"/>
            <w:tcMar>
              <w:top w:w="30" w:type="dxa"/>
              <w:left w:w="70" w:type="dxa"/>
              <w:bottom w:w="30" w:type="dxa"/>
              <w:right w:w="70" w:type="dxa"/>
            </w:tcMar>
          </w:tcPr>
          <w:p w14:paraId="0D5297E3" w14:textId="2F7AF14F" w:rsidR="0014218F" w:rsidRDefault="00A2596B">
            <w:pPr>
              <w:jc w:val="center"/>
            </w:pPr>
            <w:r>
              <w:rPr>
                <w:sz w:val="18"/>
                <w:szCs w:val="18"/>
              </w:rPr>
              <w:t>-</w:t>
            </w:r>
            <w:r w:rsidR="00000000">
              <w:rPr>
                <w:sz w:val="18"/>
                <w:szCs w:val="18"/>
              </w:rPr>
              <w:t>1.6%</w:t>
            </w:r>
          </w:p>
        </w:tc>
        <w:tc>
          <w:tcPr>
            <w:tcW w:w="2214" w:type="dxa"/>
            <w:tcMar>
              <w:top w:w="30" w:type="dxa"/>
              <w:left w:w="70" w:type="dxa"/>
              <w:bottom w:w="30" w:type="dxa"/>
              <w:right w:w="70" w:type="dxa"/>
            </w:tcMar>
          </w:tcPr>
          <w:p w14:paraId="3499A958" w14:textId="1F405D81" w:rsidR="0014218F" w:rsidRDefault="00A2596B">
            <w:pPr>
              <w:jc w:val="center"/>
            </w:pPr>
            <w:r>
              <w:rPr>
                <w:sz w:val="18"/>
                <w:szCs w:val="18"/>
              </w:rPr>
              <w:t>-</w:t>
            </w:r>
            <w:r w:rsidR="00000000">
              <w:rPr>
                <w:sz w:val="18"/>
                <w:szCs w:val="18"/>
              </w:rPr>
              <w:t>6.1%</w:t>
            </w:r>
          </w:p>
        </w:tc>
        <w:tc>
          <w:tcPr>
            <w:tcW w:w="2003" w:type="dxa"/>
            <w:tcMar>
              <w:top w:w="30" w:type="dxa"/>
              <w:left w:w="70" w:type="dxa"/>
              <w:bottom w:w="30" w:type="dxa"/>
              <w:right w:w="70" w:type="dxa"/>
            </w:tcMar>
          </w:tcPr>
          <w:p w14:paraId="0602728F" w14:textId="2860E54E" w:rsidR="0014218F" w:rsidRDefault="00A2596B">
            <w:pPr>
              <w:jc w:val="center"/>
            </w:pPr>
            <w:r>
              <w:rPr>
                <w:sz w:val="18"/>
                <w:szCs w:val="18"/>
              </w:rPr>
              <w:t>-</w:t>
            </w:r>
            <w:r w:rsidR="00000000">
              <w:rPr>
                <w:sz w:val="18"/>
                <w:szCs w:val="18"/>
              </w:rPr>
              <w:t>0.1%</w:t>
            </w:r>
          </w:p>
        </w:tc>
        <w:tc>
          <w:tcPr>
            <w:tcW w:w="1946" w:type="dxa"/>
            <w:tcMar>
              <w:top w:w="30" w:type="dxa"/>
              <w:left w:w="70" w:type="dxa"/>
              <w:bottom w:w="30" w:type="dxa"/>
              <w:right w:w="70" w:type="dxa"/>
            </w:tcMar>
          </w:tcPr>
          <w:p w14:paraId="26F18668" w14:textId="2CD895F8" w:rsidR="0014218F" w:rsidRDefault="00A2596B">
            <w:pPr>
              <w:jc w:val="center"/>
            </w:pPr>
            <w:r>
              <w:rPr>
                <w:sz w:val="18"/>
                <w:szCs w:val="18"/>
              </w:rPr>
              <w:t>-</w:t>
            </w:r>
            <w:r w:rsidR="00000000">
              <w:rPr>
                <w:sz w:val="18"/>
                <w:szCs w:val="18"/>
              </w:rPr>
              <w:t>1.5%</w:t>
            </w:r>
          </w:p>
        </w:tc>
      </w:tr>
      <w:tr w:rsidR="00A2596B" w14:paraId="1C2CFE80" w14:textId="77777777" w:rsidTr="00A2596B">
        <w:tblPrEx>
          <w:tblCellMar>
            <w:top w:w="0" w:type="dxa"/>
            <w:bottom w:w="0" w:type="dxa"/>
          </w:tblCellMar>
        </w:tblPrEx>
        <w:tc>
          <w:tcPr>
            <w:tcW w:w="1580" w:type="dxa"/>
            <w:shd w:val="clear" w:color="auto" w:fill="F2F4F7"/>
            <w:tcMar>
              <w:top w:w="30" w:type="dxa"/>
              <w:left w:w="70" w:type="dxa"/>
              <w:bottom w:w="30" w:type="dxa"/>
              <w:right w:w="70" w:type="dxa"/>
            </w:tcMar>
          </w:tcPr>
          <w:p w14:paraId="084FC7C9" w14:textId="77777777" w:rsidR="0014218F" w:rsidRDefault="00000000">
            <w:r>
              <w:rPr>
                <w:sz w:val="18"/>
                <w:szCs w:val="18"/>
              </w:rPr>
              <w:t>2023</w:t>
            </w:r>
          </w:p>
        </w:tc>
        <w:tc>
          <w:tcPr>
            <w:tcW w:w="2003" w:type="dxa"/>
            <w:shd w:val="clear" w:color="auto" w:fill="F2F4F7"/>
            <w:tcMar>
              <w:top w:w="30" w:type="dxa"/>
              <w:left w:w="70" w:type="dxa"/>
              <w:bottom w:w="30" w:type="dxa"/>
              <w:right w:w="70" w:type="dxa"/>
            </w:tcMar>
          </w:tcPr>
          <w:p w14:paraId="77B01F24" w14:textId="77777777" w:rsidR="0014218F" w:rsidRDefault="00000000">
            <w:pPr>
              <w:jc w:val="center"/>
            </w:pPr>
            <w:r>
              <w:rPr>
                <w:sz w:val="18"/>
                <w:szCs w:val="18"/>
              </w:rPr>
              <w:t>2.8%</w:t>
            </w:r>
          </w:p>
        </w:tc>
        <w:tc>
          <w:tcPr>
            <w:tcW w:w="2214" w:type="dxa"/>
            <w:shd w:val="clear" w:color="auto" w:fill="F2F4F7"/>
            <w:tcMar>
              <w:top w:w="30" w:type="dxa"/>
              <w:left w:w="70" w:type="dxa"/>
              <w:bottom w:w="30" w:type="dxa"/>
              <w:right w:w="70" w:type="dxa"/>
            </w:tcMar>
          </w:tcPr>
          <w:p w14:paraId="3AA79FF7" w14:textId="77777777" w:rsidR="0014218F" w:rsidRDefault="00000000">
            <w:pPr>
              <w:jc w:val="center"/>
            </w:pPr>
            <w:r>
              <w:rPr>
                <w:sz w:val="18"/>
                <w:szCs w:val="18"/>
              </w:rPr>
              <w:t>5.3%</w:t>
            </w:r>
          </w:p>
        </w:tc>
        <w:tc>
          <w:tcPr>
            <w:tcW w:w="2003" w:type="dxa"/>
            <w:shd w:val="clear" w:color="auto" w:fill="F2F4F7"/>
            <w:tcMar>
              <w:top w:w="30" w:type="dxa"/>
              <w:left w:w="70" w:type="dxa"/>
              <w:bottom w:w="30" w:type="dxa"/>
              <w:right w:w="70" w:type="dxa"/>
            </w:tcMar>
          </w:tcPr>
          <w:p w14:paraId="4BB0922F" w14:textId="77777777" w:rsidR="0014218F" w:rsidRDefault="00000000">
            <w:pPr>
              <w:jc w:val="center"/>
            </w:pPr>
            <w:r>
              <w:rPr>
                <w:sz w:val="18"/>
                <w:szCs w:val="18"/>
              </w:rPr>
              <w:t>4.8%</w:t>
            </w:r>
          </w:p>
        </w:tc>
        <w:tc>
          <w:tcPr>
            <w:tcW w:w="1946" w:type="dxa"/>
            <w:shd w:val="clear" w:color="auto" w:fill="F2F4F7"/>
            <w:tcMar>
              <w:top w:w="30" w:type="dxa"/>
              <w:left w:w="70" w:type="dxa"/>
              <w:bottom w:w="30" w:type="dxa"/>
              <w:right w:w="70" w:type="dxa"/>
            </w:tcMar>
          </w:tcPr>
          <w:p w14:paraId="4FE4EB8A" w14:textId="77777777" w:rsidR="0014218F" w:rsidRDefault="00000000">
            <w:pPr>
              <w:jc w:val="center"/>
            </w:pPr>
            <w:r>
              <w:rPr>
                <w:sz w:val="18"/>
                <w:szCs w:val="18"/>
              </w:rPr>
              <w:t>2.3%</w:t>
            </w:r>
          </w:p>
        </w:tc>
      </w:tr>
      <w:tr w:rsidR="00A2596B" w14:paraId="4AB09710" w14:textId="77777777" w:rsidTr="00A2596B">
        <w:tblPrEx>
          <w:tblCellMar>
            <w:top w:w="0" w:type="dxa"/>
            <w:bottom w:w="0" w:type="dxa"/>
          </w:tblCellMar>
        </w:tblPrEx>
        <w:tc>
          <w:tcPr>
            <w:tcW w:w="1580" w:type="dxa"/>
            <w:tcMar>
              <w:top w:w="30" w:type="dxa"/>
              <w:left w:w="70" w:type="dxa"/>
              <w:bottom w:w="30" w:type="dxa"/>
              <w:right w:w="70" w:type="dxa"/>
            </w:tcMar>
          </w:tcPr>
          <w:p w14:paraId="052C4786" w14:textId="77777777" w:rsidR="0014218F" w:rsidRDefault="00000000">
            <w:r>
              <w:rPr>
                <w:sz w:val="18"/>
                <w:szCs w:val="18"/>
              </w:rPr>
              <w:t>2024</w:t>
            </w:r>
          </w:p>
        </w:tc>
        <w:tc>
          <w:tcPr>
            <w:tcW w:w="2003" w:type="dxa"/>
            <w:tcMar>
              <w:top w:w="30" w:type="dxa"/>
              <w:left w:w="70" w:type="dxa"/>
              <w:bottom w:w="30" w:type="dxa"/>
              <w:right w:w="70" w:type="dxa"/>
            </w:tcMar>
          </w:tcPr>
          <w:p w14:paraId="0EC09D0D" w14:textId="77777777" w:rsidR="0014218F" w:rsidRDefault="00000000">
            <w:pPr>
              <w:jc w:val="center"/>
            </w:pPr>
            <w:r>
              <w:rPr>
                <w:sz w:val="18"/>
                <w:szCs w:val="18"/>
              </w:rPr>
              <w:t>6.2%</w:t>
            </w:r>
          </w:p>
        </w:tc>
        <w:tc>
          <w:tcPr>
            <w:tcW w:w="2214" w:type="dxa"/>
            <w:tcMar>
              <w:top w:w="30" w:type="dxa"/>
              <w:left w:w="70" w:type="dxa"/>
              <w:bottom w:w="30" w:type="dxa"/>
              <w:right w:w="70" w:type="dxa"/>
            </w:tcMar>
          </w:tcPr>
          <w:p w14:paraId="0E55A623" w14:textId="77777777" w:rsidR="0014218F" w:rsidRDefault="00000000">
            <w:pPr>
              <w:jc w:val="center"/>
            </w:pPr>
            <w:r>
              <w:rPr>
                <w:sz w:val="18"/>
                <w:szCs w:val="18"/>
              </w:rPr>
              <w:t>14.2%</w:t>
            </w:r>
          </w:p>
        </w:tc>
        <w:tc>
          <w:tcPr>
            <w:tcW w:w="2003" w:type="dxa"/>
            <w:tcMar>
              <w:top w:w="30" w:type="dxa"/>
              <w:left w:w="70" w:type="dxa"/>
              <w:bottom w:w="30" w:type="dxa"/>
              <w:right w:w="70" w:type="dxa"/>
            </w:tcMar>
          </w:tcPr>
          <w:p w14:paraId="06D338DA" w14:textId="77777777" w:rsidR="0014218F" w:rsidRDefault="00000000">
            <w:pPr>
              <w:jc w:val="center"/>
            </w:pPr>
            <w:r>
              <w:rPr>
                <w:sz w:val="18"/>
                <w:szCs w:val="18"/>
              </w:rPr>
              <w:t>15.1%</w:t>
            </w:r>
          </w:p>
        </w:tc>
        <w:tc>
          <w:tcPr>
            <w:tcW w:w="1946" w:type="dxa"/>
            <w:tcMar>
              <w:top w:w="30" w:type="dxa"/>
              <w:left w:w="70" w:type="dxa"/>
              <w:bottom w:w="30" w:type="dxa"/>
              <w:right w:w="70" w:type="dxa"/>
            </w:tcMar>
          </w:tcPr>
          <w:p w14:paraId="7038B625" w14:textId="77777777" w:rsidR="0014218F" w:rsidRDefault="00000000">
            <w:pPr>
              <w:jc w:val="center"/>
            </w:pPr>
            <w:r>
              <w:rPr>
                <w:sz w:val="18"/>
                <w:szCs w:val="18"/>
              </w:rPr>
              <w:t>6.8%</w:t>
            </w:r>
          </w:p>
        </w:tc>
      </w:tr>
      <w:tr w:rsidR="00A2596B" w14:paraId="2BEEC5F6" w14:textId="77777777" w:rsidTr="00A2596B">
        <w:tblPrEx>
          <w:tblCellMar>
            <w:top w:w="0" w:type="dxa"/>
            <w:bottom w:w="0" w:type="dxa"/>
          </w:tblCellMar>
        </w:tblPrEx>
        <w:tc>
          <w:tcPr>
            <w:tcW w:w="1580" w:type="dxa"/>
            <w:shd w:val="clear" w:color="auto" w:fill="F2F4F7"/>
            <w:tcMar>
              <w:top w:w="30" w:type="dxa"/>
              <w:left w:w="70" w:type="dxa"/>
              <w:bottom w:w="30" w:type="dxa"/>
              <w:right w:w="70" w:type="dxa"/>
            </w:tcMar>
          </w:tcPr>
          <w:p w14:paraId="73A010C2" w14:textId="77777777" w:rsidR="0014218F" w:rsidRDefault="00000000">
            <w:r>
              <w:rPr>
                <w:sz w:val="18"/>
                <w:szCs w:val="18"/>
              </w:rPr>
              <w:t>2025</w:t>
            </w:r>
          </w:p>
        </w:tc>
        <w:tc>
          <w:tcPr>
            <w:tcW w:w="2003" w:type="dxa"/>
            <w:shd w:val="clear" w:color="auto" w:fill="F2F4F7"/>
            <w:tcMar>
              <w:top w:w="30" w:type="dxa"/>
              <w:left w:w="70" w:type="dxa"/>
              <w:bottom w:w="30" w:type="dxa"/>
              <w:right w:w="70" w:type="dxa"/>
            </w:tcMar>
          </w:tcPr>
          <w:p w14:paraId="5EAFDB69" w14:textId="77777777" w:rsidR="0014218F" w:rsidRDefault="00000000">
            <w:pPr>
              <w:jc w:val="center"/>
            </w:pPr>
            <w:r>
              <w:rPr>
                <w:sz w:val="18"/>
                <w:szCs w:val="18"/>
              </w:rPr>
              <w:t>7.1%</w:t>
            </w:r>
          </w:p>
        </w:tc>
        <w:tc>
          <w:tcPr>
            <w:tcW w:w="2214" w:type="dxa"/>
            <w:shd w:val="clear" w:color="auto" w:fill="F2F4F7"/>
            <w:tcMar>
              <w:top w:w="30" w:type="dxa"/>
              <w:left w:w="70" w:type="dxa"/>
              <w:bottom w:w="30" w:type="dxa"/>
              <w:right w:w="70" w:type="dxa"/>
            </w:tcMar>
          </w:tcPr>
          <w:p w14:paraId="1B812B6E" w14:textId="77777777" w:rsidR="0014218F" w:rsidRDefault="00000000">
            <w:pPr>
              <w:jc w:val="center"/>
            </w:pPr>
            <w:r>
              <w:rPr>
                <w:sz w:val="18"/>
                <w:szCs w:val="18"/>
              </w:rPr>
              <w:t>12.8%</w:t>
            </w:r>
          </w:p>
        </w:tc>
        <w:tc>
          <w:tcPr>
            <w:tcW w:w="2003" w:type="dxa"/>
            <w:shd w:val="clear" w:color="auto" w:fill="F2F4F7"/>
            <w:tcMar>
              <w:top w:w="30" w:type="dxa"/>
              <w:left w:w="70" w:type="dxa"/>
              <w:bottom w:w="30" w:type="dxa"/>
              <w:right w:w="70" w:type="dxa"/>
            </w:tcMar>
          </w:tcPr>
          <w:p w14:paraId="456BDE19" w14:textId="77777777" w:rsidR="0014218F" w:rsidRDefault="00000000">
            <w:pPr>
              <w:jc w:val="center"/>
            </w:pPr>
            <w:r>
              <w:rPr>
                <w:sz w:val="18"/>
                <w:szCs w:val="18"/>
              </w:rPr>
              <w:t>16.7%</w:t>
            </w:r>
          </w:p>
        </w:tc>
        <w:tc>
          <w:tcPr>
            <w:tcW w:w="1946" w:type="dxa"/>
            <w:shd w:val="clear" w:color="auto" w:fill="F2F4F7"/>
            <w:tcMar>
              <w:top w:w="30" w:type="dxa"/>
              <w:left w:w="70" w:type="dxa"/>
              <w:bottom w:w="30" w:type="dxa"/>
              <w:right w:w="70" w:type="dxa"/>
            </w:tcMar>
          </w:tcPr>
          <w:p w14:paraId="56343554" w14:textId="77777777" w:rsidR="0014218F" w:rsidRDefault="00000000">
            <w:pPr>
              <w:jc w:val="center"/>
            </w:pPr>
            <w:r>
              <w:rPr>
                <w:sz w:val="18"/>
                <w:szCs w:val="18"/>
              </w:rPr>
              <w:t>7.2%</w:t>
            </w:r>
          </w:p>
        </w:tc>
      </w:tr>
    </w:tbl>
    <w:p w14:paraId="022D3E2B" w14:textId="11BC4704" w:rsidR="0014218F" w:rsidRDefault="00A2596B" w:rsidP="00A2596B">
      <w:pPr>
        <w:spacing w:after="80" w:line="264" w:lineRule="auto"/>
        <w:jc w:val="center"/>
      </w:pPr>
      <w:r w:rsidRPr="00A2596B">
        <w:rPr>
          <w:i/>
          <w:iCs/>
          <w:color w:val="555555"/>
          <w:sz w:val="16"/>
          <w:szCs w:val="16"/>
        </w:rPr>
        <w:t>Table 4</w:t>
      </w:r>
      <w:r>
        <w:rPr>
          <w:i/>
          <w:iCs/>
          <w:color w:val="555555"/>
          <w:sz w:val="16"/>
          <w:szCs w:val="16"/>
        </w:rPr>
        <w:t>:</w:t>
      </w:r>
      <w:r w:rsidRPr="00A2596B">
        <w:rPr>
          <w:i/>
          <w:iCs/>
          <w:color w:val="555555"/>
          <w:sz w:val="16"/>
          <w:szCs w:val="16"/>
        </w:rPr>
        <w:t xml:space="preserve"> Annual returns by strategy.</w:t>
      </w:r>
    </w:p>
    <w:p w14:paraId="3BE006DB" w14:textId="77777777" w:rsidR="00A2596B" w:rsidRDefault="00A2596B">
      <w:pPr>
        <w:rPr>
          <w:b/>
          <w:bCs/>
          <w:color w:val="1F3A5F"/>
          <w:sz w:val="24"/>
          <w:szCs w:val="24"/>
        </w:rPr>
      </w:pPr>
      <w:r>
        <w:br w:type="page"/>
      </w:r>
    </w:p>
    <w:p w14:paraId="1CB6BC42" w14:textId="52665BE3" w:rsidR="0014218F" w:rsidRDefault="00000000">
      <w:pPr>
        <w:pStyle w:val="Heading1"/>
        <w:spacing w:line="264" w:lineRule="auto"/>
      </w:pPr>
      <w:r>
        <w:lastRenderedPageBreak/>
        <w:t>4. Factor and Regime Analysis</w:t>
      </w:r>
    </w:p>
    <w:p w14:paraId="2960F224" w14:textId="77777777" w:rsidR="0014218F" w:rsidRDefault="00000000">
      <w:pPr>
        <w:pStyle w:val="Heading2"/>
        <w:spacing w:line="264" w:lineRule="auto"/>
      </w:pPr>
      <w:r>
        <w:t>4.1 Factor Decomposition</w:t>
      </w:r>
    </w:p>
    <w:p w14:paraId="43BB51D2" w14:textId="446EA567" w:rsidR="0014218F" w:rsidRDefault="00000000" w:rsidP="00A2596B">
      <w:pPr>
        <w:spacing w:after="100" w:line="264" w:lineRule="auto"/>
        <w:jc w:val="both"/>
      </w:pPr>
      <w:r>
        <w:t xml:space="preserve">To establish whether the OOS performance reflects genuine diversification or merely a hidden equity tilt, we regress daily strategy returns on two tradable factors constructed from the same universe: the market excess return (CSI 300 minus the risk-free rate) and a size-style proxy (CSI 500 minus CSI 300). A value factor is unavailable from this ETF universe and is omitted; this limitation is revisited in </w:t>
      </w:r>
      <w:r w:rsidR="00A2596B">
        <w:t xml:space="preserve">Section </w:t>
      </w:r>
      <w:r>
        <w:t>7. Table 5 reports the OLS estimates over the OOS window with t-statistics.</w:t>
      </w:r>
    </w:p>
    <w:p w14:paraId="0607935E" w14:textId="77777777" w:rsidR="00A2596B" w:rsidRPr="00A2596B" w:rsidRDefault="00A2596B" w:rsidP="00A2596B">
      <w:pPr>
        <w:spacing w:after="100" w:line="264" w:lineRule="auto"/>
        <w:jc w:val="both"/>
      </w:pPr>
    </w:p>
    <w:tbl>
      <w:tblPr>
        <w:tblW w:w="974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1"/>
        <w:gridCol w:w="2072"/>
        <w:gridCol w:w="1904"/>
        <w:gridCol w:w="1906"/>
        <w:gridCol w:w="1583"/>
      </w:tblGrid>
      <w:tr w:rsidR="00A2596B" w14:paraId="6C6A6A08" w14:textId="77777777" w:rsidTr="00A2596B">
        <w:tblPrEx>
          <w:tblCellMar>
            <w:top w:w="0" w:type="dxa"/>
            <w:bottom w:w="0" w:type="dxa"/>
          </w:tblCellMar>
        </w:tblPrEx>
        <w:trPr>
          <w:tblHeader/>
        </w:trPr>
        <w:tc>
          <w:tcPr>
            <w:tcW w:w="2281" w:type="dxa"/>
            <w:shd w:val="clear" w:color="auto" w:fill="1F3A5F"/>
            <w:tcMar>
              <w:top w:w="30" w:type="dxa"/>
              <w:left w:w="70" w:type="dxa"/>
              <w:bottom w:w="30" w:type="dxa"/>
              <w:right w:w="70" w:type="dxa"/>
            </w:tcMar>
          </w:tcPr>
          <w:p w14:paraId="043EB10C" w14:textId="77777777" w:rsidR="0014218F" w:rsidRDefault="00000000">
            <w:r>
              <w:rPr>
                <w:b/>
                <w:bCs/>
                <w:color w:val="FFFFFF"/>
                <w:sz w:val="18"/>
                <w:szCs w:val="18"/>
              </w:rPr>
              <w:t>Strategy</w:t>
            </w:r>
          </w:p>
        </w:tc>
        <w:tc>
          <w:tcPr>
            <w:tcW w:w="2072" w:type="dxa"/>
            <w:shd w:val="clear" w:color="auto" w:fill="1F3A5F"/>
            <w:tcMar>
              <w:top w:w="30" w:type="dxa"/>
              <w:left w:w="70" w:type="dxa"/>
              <w:bottom w:w="30" w:type="dxa"/>
              <w:right w:w="70" w:type="dxa"/>
            </w:tcMar>
          </w:tcPr>
          <w:p w14:paraId="741ABEF8" w14:textId="77777777" w:rsidR="0014218F" w:rsidRDefault="00000000">
            <w:r>
              <w:rPr>
                <w:b/>
                <w:bCs/>
                <w:color w:val="FFFFFF"/>
                <w:sz w:val="18"/>
                <w:szCs w:val="18"/>
              </w:rPr>
              <w:t>α (annualised)</w:t>
            </w:r>
          </w:p>
        </w:tc>
        <w:tc>
          <w:tcPr>
            <w:tcW w:w="1904" w:type="dxa"/>
            <w:shd w:val="clear" w:color="auto" w:fill="1F3A5F"/>
            <w:tcMar>
              <w:top w:w="30" w:type="dxa"/>
              <w:left w:w="70" w:type="dxa"/>
              <w:bottom w:w="30" w:type="dxa"/>
              <w:right w:w="70" w:type="dxa"/>
            </w:tcMar>
          </w:tcPr>
          <w:p w14:paraId="411D3757" w14:textId="77777777" w:rsidR="0014218F" w:rsidRDefault="00000000">
            <w:r>
              <w:rPr>
                <w:b/>
                <w:bCs/>
                <w:color w:val="FFFFFF"/>
                <w:sz w:val="18"/>
                <w:szCs w:val="18"/>
              </w:rPr>
              <w:t>β_mkt</w:t>
            </w:r>
          </w:p>
        </w:tc>
        <w:tc>
          <w:tcPr>
            <w:tcW w:w="1906" w:type="dxa"/>
            <w:shd w:val="clear" w:color="auto" w:fill="1F3A5F"/>
            <w:tcMar>
              <w:top w:w="30" w:type="dxa"/>
              <w:left w:w="70" w:type="dxa"/>
              <w:bottom w:w="30" w:type="dxa"/>
              <w:right w:w="70" w:type="dxa"/>
            </w:tcMar>
          </w:tcPr>
          <w:p w14:paraId="18E0D934" w14:textId="77777777" w:rsidR="0014218F" w:rsidRDefault="00000000">
            <w:r>
              <w:rPr>
                <w:b/>
                <w:bCs/>
                <w:color w:val="FFFFFF"/>
                <w:sz w:val="18"/>
                <w:szCs w:val="18"/>
              </w:rPr>
              <w:t>β_smb</w:t>
            </w:r>
          </w:p>
        </w:tc>
        <w:tc>
          <w:tcPr>
            <w:tcW w:w="1583" w:type="dxa"/>
            <w:shd w:val="clear" w:color="auto" w:fill="1F3A5F"/>
            <w:tcMar>
              <w:top w:w="30" w:type="dxa"/>
              <w:left w:w="70" w:type="dxa"/>
              <w:bottom w:w="30" w:type="dxa"/>
              <w:right w:w="70" w:type="dxa"/>
            </w:tcMar>
          </w:tcPr>
          <w:p w14:paraId="04F95625" w14:textId="77777777" w:rsidR="0014218F" w:rsidRDefault="00000000">
            <w:r>
              <w:rPr>
                <w:b/>
                <w:bCs/>
                <w:color w:val="FFFFFF"/>
                <w:sz w:val="18"/>
                <w:szCs w:val="18"/>
              </w:rPr>
              <w:t>R²</w:t>
            </w:r>
          </w:p>
        </w:tc>
      </w:tr>
      <w:tr w:rsidR="00A2596B" w14:paraId="49620445" w14:textId="77777777" w:rsidTr="00A2596B">
        <w:tblPrEx>
          <w:tblCellMar>
            <w:top w:w="0" w:type="dxa"/>
            <w:bottom w:w="0" w:type="dxa"/>
          </w:tblCellMar>
        </w:tblPrEx>
        <w:tc>
          <w:tcPr>
            <w:tcW w:w="2281" w:type="dxa"/>
            <w:tcMar>
              <w:top w:w="30" w:type="dxa"/>
              <w:left w:w="70" w:type="dxa"/>
              <w:bottom w:w="30" w:type="dxa"/>
              <w:right w:w="70" w:type="dxa"/>
            </w:tcMar>
          </w:tcPr>
          <w:p w14:paraId="4972B5A2" w14:textId="77777777" w:rsidR="0014218F" w:rsidRDefault="00000000">
            <w:r>
              <w:rPr>
                <w:sz w:val="18"/>
                <w:szCs w:val="18"/>
              </w:rPr>
              <w:t>ERC (5%)</w:t>
            </w:r>
          </w:p>
        </w:tc>
        <w:tc>
          <w:tcPr>
            <w:tcW w:w="2072" w:type="dxa"/>
            <w:tcMar>
              <w:top w:w="30" w:type="dxa"/>
              <w:left w:w="70" w:type="dxa"/>
              <w:bottom w:w="30" w:type="dxa"/>
              <w:right w:w="70" w:type="dxa"/>
            </w:tcMar>
          </w:tcPr>
          <w:p w14:paraId="50AEE3F0" w14:textId="77777777" w:rsidR="0014218F" w:rsidRDefault="00000000">
            <w:pPr>
              <w:jc w:val="center"/>
            </w:pPr>
            <w:r>
              <w:rPr>
                <w:sz w:val="18"/>
                <w:szCs w:val="18"/>
              </w:rPr>
              <w:t>5.2% (3.8)</w:t>
            </w:r>
          </w:p>
        </w:tc>
        <w:tc>
          <w:tcPr>
            <w:tcW w:w="1904" w:type="dxa"/>
            <w:tcMar>
              <w:top w:w="30" w:type="dxa"/>
              <w:left w:w="70" w:type="dxa"/>
              <w:bottom w:w="30" w:type="dxa"/>
              <w:right w:w="70" w:type="dxa"/>
            </w:tcMar>
          </w:tcPr>
          <w:p w14:paraId="606B5117" w14:textId="77777777" w:rsidR="0014218F" w:rsidRDefault="00000000">
            <w:pPr>
              <w:jc w:val="center"/>
            </w:pPr>
            <w:r>
              <w:rPr>
                <w:sz w:val="18"/>
                <w:szCs w:val="18"/>
              </w:rPr>
              <w:t>0.35 (8.4)</w:t>
            </w:r>
          </w:p>
        </w:tc>
        <w:tc>
          <w:tcPr>
            <w:tcW w:w="1906" w:type="dxa"/>
            <w:tcMar>
              <w:top w:w="30" w:type="dxa"/>
              <w:left w:w="70" w:type="dxa"/>
              <w:bottom w:w="30" w:type="dxa"/>
              <w:right w:w="70" w:type="dxa"/>
            </w:tcMar>
          </w:tcPr>
          <w:p w14:paraId="1012D692" w14:textId="77777777" w:rsidR="0014218F" w:rsidRDefault="00000000">
            <w:pPr>
              <w:jc w:val="center"/>
            </w:pPr>
            <w:r>
              <w:rPr>
                <w:sz w:val="18"/>
                <w:szCs w:val="18"/>
              </w:rPr>
              <w:t>0.19 (3.1)</w:t>
            </w:r>
          </w:p>
        </w:tc>
        <w:tc>
          <w:tcPr>
            <w:tcW w:w="1583" w:type="dxa"/>
            <w:tcMar>
              <w:top w:w="30" w:type="dxa"/>
              <w:left w:w="70" w:type="dxa"/>
              <w:bottom w:w="30" w:type="dxa"/>
              <w:right w:w="70" w:type="dxa"/>
            </w:tcMar>
          </w:tcPr>
          <w:p w14:paraId="3DBE5224" w14:textId="77777777" w:rsidR="0014218F" w:rsidRDefault="00000000">
            <w:pPr>
              <w:jc w:val="center"/>
            </w:pPr>
            <w:r>
              <w:rPr>
                <w:sz w:val="18"/>
                <w:szCs w:val="18"/>
              </w:rPr>
              <w:t>0.76</w:t>
            </w:r>
          </w:p>
        </w:tc>
      </w:tr>
      <w:tr w:rsidR="00A2596B" w14:paraId="14B82D91" w14:textId="77777777" w:rsidTr="00A2596B">
        <w:tblPrEx>
          <w:tblCellMar>
            <w:top w:w="0" w:type="dxa"/>
            <w:bottom w:w="0" w:type="dxa"/>
          </w:tblCellMar>
        </w:tblPrEx>
        <w:tc>
          <w:tcPr>
            <w:tcW w:w="2281" w:type="dxa"/>
            <w:shd w:val="clear" w:color="auto" w:fill="F2F4F7"/>
            <w:tcMar>
              <w:top w:w="30" w:type="dxa"/>
              <w:left w:w="70" w:type="dxa"/>
              <w:bottom w:w="30" w:type="dxa"/>
              <w:right w:w="70" w:type="dxa"/>
            </w:tcMar>
          </w:tcPr>
          <w:p w14:paraId="504AB90F" w14:textId="77777777" w:rsidR="0014218F" w:rsidRDefault="00000000">
            <w:r>
              <w:rPr>
                <w:sz w:val="18"/>
                <w:szCs w:val="18"/>
              </w:rPr>
              <w:t>Equal weight</w:t>
            </w:r>
          </w:p>
        </w:tc>
        <w:tc>
          <w:tcPr>
            <w:tcW w:w="2072" w:type="dxa"/>
            <w:shd w:val="clear" w:color="auto" w:fill="F2F4F7"/>
            <w:tcMar>
              <w:top w:w="30" w:type="dxa"/>
              <w:left w:w="70" w:type="dxa"/>
              <w:bottom w:w="30" w:type="dxa"/>
              <w:right w:w="70" w:type="dxa"/>
            </w:tcMar>
          </w:tcPr>
          <w:p w14:paraId="5DAA672A" w14:textId="77777777" w:rsidR="0014218F" w:rsidRDefault="00000000">
            <w:pPr>
              <w:jc w:val="center"/>
            </w:pPr>
            <w:r>
              <w:rPr>
                <w:sz w:val="18"/>
                <w:szCs w:val="18"/>
              </w:rPr>
              <w:t>3.8% (2.7)</w:t>
            </w:r>
          </w:p>
        </w:tc>
        <w:tc>
          <w:tcPr>
            <w:tcW w:w="1904" w:type="dxa"/>
            <w:shd w:val="clear" w:color="auto" w:fill="F2F4F7"/>
            <w:tcMar>
              <w:top w:w="30" w:type="dxa"/>
              <w:left w:w="70" w:type="dxa"/>
              <w:bottom w:w="30" w:type="dxa"/>
              <w:right w:w="70" w:type="dxa"/>
            </w:tcMar>
          </w:tcPr>
          <w:p w14:paraId="6D44939E" w14:textId="77777777" w:rsidR="0014218F" w:rsidRDefault="00000000">
            <w:pPr>
              <w:jc w:val="center"/>
            </w:pPr>
            <w:r>
              <w:rPr>
                <w:sz w:val="18"/>
                <w:szCs w:val="18"/>
              </w:rPr>
              <w:t>0.52 (10.2)</w:t>
            </w:r>
          </w:p>
        </w:tc>
        <w:tc>
          <w:tcPr>
            <w:tcW w:w="1906" w:type="dxa"/>
            <w:shd w:val="clear" w:color="auto" w:fill="F2F4F7"/>
            <w:tcMar>
              <w:top w:w="30" w:type="dxa"/>
              <w:left w:w="70" w:type="dxa"/>
              <w:bottom w:w="30" w:type="dxa"/>
              <w:right w:w="70" w:type="dxa"/>
            </w:tcMar>
          </w:tcPr>
          <w:p w14:paraId="7ADFFAAC" w14:textId="2B6B0661" w:rsidR="0014218F" w:rsidRDefault="00A2596B">
            <w:pPr>
              <w:jc w:val="center"/>
            </w:pPr>
            <w:r>
              <w:rPr>
                <w:sz w:val="18"/>
                <w:szCs w:val="18"/>
              </w:rPr>
              <w:t>-</w:t>
            </w:r>
            <w:r w:rsidR="00000000">
              <w:rPr>
                <w:sz w:val="18"/>
                <w:szCs w:val="18"/>
              </w:rPr>
              <w:t>0.05 (</w:t>
            </w:r>
            <w:r>
              <w:rPr>
                <w:sz w:val="18"/>
                <w:szCs w:val="18"/>
              </w:rPr>
              <w:t>-</w:t>
            </w:r>
            <w:r w:rsidR="00000000">
              <w:rPr>
                <w:sz w:val="18"/>
                <w:szCs w:val="18"/>
              </w:rPr>
              <w:t>0.9)</w:t>
            </w:r>
          </w:p>
        </w:tc>
        <w:tc>
          <w:tcPr>
            <w:tcW w:w="1583" w:type="dxa"/>
            <w:shd w:val="clear" w:color="auto" w:fill="F2F4F7"/>
            <w:tcMar>
              <w:top w:w="30" w:type="dxa"/>
              <w:left w:w="70" w:type="dxa"/>
              <w:bottom w:w="30" w:type="dxa"/>
              <w:right w:w="70" w:type="dxa"/>
            </w:tcMar>
          </w:tcPr>
          <w:p w14:paraId="7DA0966F" w14:textId="77777777" w:rsidR="0014218F" w:rsidRDefault="00000000">
            <w:pPr>
              <w:jc w:val="center"/>
            </w:pPr>
            <w:r>
              <w:rPr>
                <w:sz w:val="18"/>
                <w:szCs w:val="18"/>
              </w:rPr>
              <w:t>0.55</w:t>
            </w:r>
          </w:p>
        </w:tc>
      </w:tr>
      <w:tr w:rsidR="00A2596B" w14:paraId="36DFC336" w14:textId="77777777" w:rsidTr="00A2596B">
        <w:tblPrEx>
          <w:tblCellMar>
            <w:top w:w="0" w:type="dxa"/>
            <w:bottom w:w="0" w:type="dxa"/>
          </w:tblCellMar>
        </w:tblPrEx>
        <w:tc>
          <w:tcPr>
            <w:tcW w:w="2281" w:type="dxa"/>
            <w:tcMar>
              <w:top w:w="30" w:type="dxa"/>
              <w:left w:w="70" w:type="dxa"/>
              <w:bottom w:w="30" w:type="dxa"/>
              <w:right w:w="70" w:type="dxa"/>
            </w:tcMar>
          </w:tcPr>
          <w:p w14:paraId="78B8D649" w14:textId="77777777" w:rsidR="0014218F" w:rsidRDefault="00000000">
            <w:r>
              <w:rPr>
                <w:sz w:val="18"/>
                <w:szCs w:val="18"/>
              </w:rPr>
              <w:t>MARP replication</w:t>
            </w:r>
          </w:p>
        </w:tc>
        <w:tc>
          <w:tcPr>
            <w:tcW w:w="2072" w:type="dxa"/>
            <w:tcMar>
              <w:top w:w="30" w:type="dxa"/>
              <w:left w:w="70" w:type="dxa"/>
              <w:bottom w:w="30" w:type="dxa"/>
              <w:right w:w="70" w:type="dxa"/>
            </w:tcMar>
          </w:tcPr>
          <w:p w14:paraId="66019AB7" w14:textId="77777777" w:rsidR="0014218F" w:rsidRDefault="00000000">
            <w:pPr>
              <w:jc w:val="center"/>
            </w:pPr>
            <w:r>
              <w:rPr>
                <w:sz w:val="18"/>
                <w:szCs w:val="18"/>
              </w:rPr>
              <w:t>6.1% (3.4)</w:t>
            </w:r>
          </w:p>
        </w:tc>
        <w:tc>
          <w:tcPr>
            <w:tcW w:w="1904" w:type="dxa"/>
            <w:tcMar>
              <w:top w:w="30" w:type="dxa"/>
              <w:left w:w="70" w:type="dxa"/>
              <w:bottom w:w="30" w:type="dxa"/>
              <w:right w:w="70" w:type="dxa"/>
            </w:tcMar>
          </w:tcPr>
          <w:p w14:paraId="66994368" w14:textId="77777777" w:rsidR="0014218F" w:rsidRDefault="00000000">
            <w:pPr>
              <w:jc w:val="center"/>
            </w:pPr>
            <w:r>
              <w:rPr>
                <w:sz w:val="18"/>
                <w:szCs w:val="18"/>
              </w:rPr>
              <w:t>0.41 (7.6)</w:t>
            </w:r>
          </w:p>
        </w:tc>
        <w:tc>
          <w:tcPr>
            <w:tcW w:w="1906" w:type="dxa"/>
            <w:tcMar>
              <w:top w:w="30" w:type="dxa"/>
              <w:left w:w="70" w:type="dxa"/>
              <w:bottom w:w="30" w:type="dxa"/>
              <w:right w:w="70" w:type="dxa"/>
            </w:tcMar>
          </w:tcPr>
          <w:p w14:paraId="20BBE053" w14:textId="32F902C8" w:rsidR="0014218F" w:rsidRDefault="00A2596B">
            <w:pPr>
              <w:jc w:val="center"/>
            </w:pPr>
            <w:r>
              <w:rPr>
                <w:sz w:val="18"/>
                <w:szCs w:val="18"/>
              </w:rPr>
              <w:t>-</w:t>
            </w:r>
            <w:r w:rsidR="00000000">
              <w:rPr>
                <w:sz w:val="18"/>
                <w:szCs w:val="18"/>
              </w:rPr>
              <w:t>0.03 (</w:t>
            </w:r>
            <w:r>
              <w:rPr>
                <w:sz w:val="18"/>
                <w:szCs w:val="18"/>
              </w:rPr>
              <w:t>-</w:t>
            </w:r>
            <w:r w:rsidR="00000000">
              <w:rPr>
                <w:sz w:val="18"/>
                <w:szCs w:val="18"/>
              </w:rPr>
              <w:t>0.4)</w:t>
            </w:r>
          </w:p>
        </w:tc>
        <w:tc>
          <w:tcPr>
            <w:tcW w:w="1583" w:type="dxa"/>
            <w:tcMar>
              <w:top w:w="30" w:type="dxa"/>
              <w:left w:w="70" w:type="dxa"/>
              <w:bottom w:w="30" w:type="dxa"/>
              <w:right w:w="70" w:type="dxa"/>
            </w:tcMar>
          </w:tcPr>
          <w:p w14:paraId="62998713" w14:textId="77777777" w:rsidR="0014218F" w:rsidRDefault="00000000">
            <w:pPr>
              <w:jc w:val="center"/>
            </w:pPr>
            <w:r>
              <w:rPr>
                <w:sz w:val="18"/>
                <w:szCs w:val="18"/>
              </w:rPr>
              <w:t>0.42</w:t>
            </w:r>
          </w:p>
        </w:tc>
      </w:tr>
    </w:tbl>
    <w:p w14:paraId="4150CA41" w14:textId="28C42CB2" w:rsidR="0014218F" w:rsidRDefault="00A2596B" w:rsidP="00A2596B">
      <w:pPr>
        <w:spacing w:after="80" w:line="264" w:lineRule="auto"/>
        <w:jc w:val="center"/>
      </w:pPr>
      <w:r w:rsidRPr="00A2596B">
        <w:rPr>
          <w:i/>
          <w:iCs/>
          <w:color w:val="555555"/>
          <w:sz w:val="16"/>
          <w:szCs w:val="16"/>
        </w:rPr>
        <w:t>Table 5</w:t>
      </w:r>
      <w:r>
        <w:rPr>
          <w:i/>
          <w:iCs/>
          <w:color w:val="555555"/>
          <w:sz w:val="16"/>
          <w:szCs w:val="16"/>
        </w:rPr>
        <w:t>:</w:t>
      </w:r>
      <w:r w:rsidRPr="00A2596B">
        <w:rPr>
          <w:i/>
          <w:iCs/>
          <w:color w:val="555555"/>
          <w:sz w:val="16"/>
          <w:szCs w:val="16"/>
        </w:rPr>
        <w:t xml:space="preserve"> Factor regression on out-of-sample returns.</w:t>
      </w:r>
    </w:p>
    <w:p w14:paraId="536BFF12" w14:textId="77777777" w:rsidR="0014218F" w:rsidRDefault="00000000">
      <w:pPr>
        <w:spacing w:after="100" w:line="264" w:lineRule="auto"/>
        <w:jc w:val="both"/>
      </w:pPr>
      <w:r>
        <w:t>t-statistics in parentheses. ERC's market beta of 0.35 is materially below the equal-weight value of 0.52, confirming that the bond, gold, and cash legs deliver real equity-risk diversification. The annualised alpha of 5.2% is significant at the 1% level; we caveat, however, that part of this alpha mechanically reflects the cash leg earning the risk-free rate while the regression contains no cash factor. The R² of 0.76 indicates that the two-factor model captures most of the systematic variation, with the unexplained residual concentrated in bond and commodity beta.</w:t>
      </w:r>
    </w:p>
    <w:p w14:paraId="71253F1C" w14:textId="77777777" w:rsidR="0014218F" w:rsidRDefault="00000000">
      <w:pPr>
        <w:pStyle w:val="Heading2"/>
        <w:spacing w:line="264" w:lineRule="auto"/>
      </w:pPr>
      <w:r>
        <w:t>4.2 Regime Decomposition</w:t>
      </w:r>
    </w:p>
    <w:p w14:paraId="3CF312C1" w14:textId="702F91B7" w:rsidR="0014218F" w:rsidRDefault="00000000">
      <w:pPr>
        <w:spacing w:after="100" w:line="264" w:lineRule="auto"/>
        <w:jc w:val="both"/>
      </w:pPr>
      <w:r>
        <w:t>Table 6 splits the OOS window into five distinct regimes defined by CSI 300 price action. The regime split makes the asymmetric protection thesis testable directly. During the 2022 sell-off, ERC drew down 2.0% against the equal-weight portfolio's 14.2% and pure equity's 26.2%</w:t>
      </w:r>
      <w:r w:rsidR="00A2596B">
        <w:t>,</w:t>
      </w:r>
      <w:r>
        <w:t xml:space="preserve"> a seven-fold reduction in downside relative to the simplest competing rule. In the 2024 stimulus-driven rally, ERC participated for 10.5% versus equal weight's 28.4%, capturing roughly 37% of the upside, consistent with its 58% risk-asset weight.</w:t>
      </w:r>
    </w:p>
    <w:p w14:paraId="54233A13" w14:textId="6D649CFE" w:rsidR="0014218F" w:rsidRDefault="0014218F">
      <w:pPr>
        <w:spacing w:before="60" w:after="40" w:line="264" w:lineRule="auto"/>
      </w:pPr>
    </w:p>
    <w:tbl>
      <w:tblPr>
        <w:tblW w:w="974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6"/>
        <w:gridCol w:w="2131"/>
        <w:gridCol w:w="1598"/>
        <w:gridCol w:w="1385"/>
        <w:gridCol w:w="1385"/>
        <w:gridCol w:w="1221"/>
      </w:tblGrid>
      <w:tr w:rsidR="00A2596B" w14:paraId="16A0CAE1" w14:textId="77777777" w:rsidTr="00A2596B">
        <w:tblPrEx>
          <w:tblCellMar>
            <w:top w:w="0" w:type="dxa"/>
            <w:bottom w:w="0" w:type="dxa"/>
          </w:tblCellMar>
        </w:tblPrEx>
        <w:trPr>
          <w:tblHeader/>
        </w:trPr>
        <w:tc>
          <w:tcPr>
            <w:tcW w:w="2026" w:type="dxa"/>
            <w:shd w:val="clear" w:color="auto" w:fill="1F3A5F"/>
            <w:tcMar>
              <w:top w:w="30" w:type="dxa"/>
              <w:left w:w="70" w:type="dxa"/>
              <w:bottom w:w="30" w:type="dxa"/>
              <w:right w:w="70" w:type="dxa"/>
            </w:tcMar>
          </w:tcPr>
          <w:p w14:paraId="6677BB13" w14:textId="77777777" w:rsidR="0014218F" w:rsidRDefault="00000000">
            <w:r>
              <w:rPr>
                <w:b/>
                <w:bCs/>
                <w:color w:val="FFFFFF"/>
                <w:sz w:val="18"/>
                <w:szCs w:val="18"/>
              </w:rPr>
              <w:t>Regime</w:t>
            </w:r>
          </w:p>
        </w:tc>
        <w:tc>
          <w:tcPr>
            <w:tcW w:w="2131" w:type="dxa"/>
            <w:shd w:val="clear" w:color="auto" w:fill="1F3A5F"/>
            <w:tcMar>
              <w:top w:w="30" w:type="dxa"/>
              <w:left w:w="70" w:type="dxa"/>
              <w:bottom w:w="30" w:type="dxa"/>
              <w:right w:w="70" w:type="dxa"/>
            </w:tcMar>
          </w:tcPr>
          <w:p w14:paraId="1A50AF62" w14:textId="77777777" w:rsidR="0014218F" w:rsidRDefault="00000000">
            <w:r>
              <w:rPr>
                <w:b/>
                <w:bCs/>
                <w:color w:val="FFFFFF"/>
                <w:sz w:val="18"/>
                <w:szCs w:val="18"/>
              </w:rPr>
              <w:t>Period</w:t>
            </w:r>
          </w:p>
        </w:tc>
        <w:tc>
          <w:tcPr>
            <w:tcW w:w="1598" w:type="dxa"/>
            <w:shd w:val="clear" w:color="auto" w:fill="1F3A5F"/>
            <w:tcMar>
              <w:top w:w="30" w:type="dxa"/>
              <w:left w:w="70" w:type="dxa"/>
              <w:bottom w:w="30" w:type="dxa"/>
              <w:right w:w="70" w:type="dxa"/>
            </w:tcMar>
          </w:tcPr>
          <w:p w14:paraId="2464F029" w14:textId="77777777" w:rsidR="0014218F" w:rsidRDefault="00000000">
            <w:r>
              <w:rPr>
                <w:b/>
                <w:bCs/>
                <w:color w:val="FFFFFF"/>
                <w:sz w:val="18"/>
                <w:szCs w:val="18"/>
              </w:rPr>
              <w:t>CSI 300</w:t>
            </w:r>
          </w:p>
        </w:tc>
        <w:tc>
          <w:tcPr>
            <w:tcW w:w="1385" w:type="dxa"/>
            <w:shd w:val="clear" w:color="auto" w:fill="1F3A5F"/>
            <w:tcMar>
              <w:top w:w="30" w:type="dxa"/>
              <w:left w:w="70" w:type="dxa"/>
              <w:bottom w:w="30" w:type="dxa"/>
              <w:right w:w="70" w:type="dxa"/>
            </w:tcMar>
          </w:tcPr>
          <w:p w14:paraId="4F5E1927" w14:textId="77777777" w:rsidR="0014218F" w:rsidRDefault="00000000">
            <w:r>
              <w:rPr>
                <w:b/>
                <w:bCs/>
                <w:color w:val="FFFFFF"/>
                <w:sz w:val="18"/>
                <w:szCs w:val="18"/>
              </w:rPr>
              <w:t>ERC</w:t>
            </w:r>
          </w:p>
        </w:tc>
        <w:tc>
          <w:tcPr>
            <w:tcW w:w="1385" w:type="dxa"/>
            <w:shd w:val="clear" w:color="auto" w:fill="1F3A5F"/>
            <w:tcMar>
              <w:top w:w="30" w:type="dxa"/>
              <w:left w:w="70" w:type="dxa"/>
              <w:bottom w:w="30" w:type="dxa"/>
              <w:right w:w="70" w:type="dxa"/>
            </w:tcMar>
          </w:tcPr>
          <w:p w14:paraId="67F7D936" w14:textId="77777777" w:rsidR="0014218F" w:rsidRDefault="00000000">
            <w:r>
              <w:rPr>
                <w:b/>
                <w:bCs/>
                <w:color w:val="FFFFFF"/>
                <w:sz w:val="18"/>
                <w:szCs w:val="18"/>
              </w:rPr>
              <w:t>Equal</w:t>
            </w:r>
          </w:p>
        </w:tc>
        <w:tc>
          <w:tcPr>
            <w:tcW w:w="1221" w:type="dxa"/>
            <w:shd w:val="clear" w:color="auto" w:fill="1F3A5F"/>
            <w:tcMar>
              <w:top w:w="30" w:type="dxa"/>
              <w:left w:w="70" w:type="dxa"/>
              <w:bottom w:w="30" w:type="dxa"/>
              <w:right w:w="70" w:type="dxa"/>
            </w:tcMar>
          </w:tcPr>
          <w:p w14:paraId="2A54E9F9" w14:textId="77777777" w:rsidR="0014218F" w:rsidRDefault="00000000">
            <w:r>
              <w:rPr>
                <w:b/>
                <w:bCs/>
                <w:color w:val="FFFFFF"/>
                <w:sz w:val="18"/>
                <w:szCs w:val="18"/>
              </w:rPr>
              <w:t>MARP rep</w:t>
            </w:r>
          </w:p>
        </w:tc>
      </w:tr>
      <w:tr w:rsidR="00A2596B" w14:paraId="5A7FA80C" w14:textId="77777777" w:rsidTr="00A2596B">
        <w:tblPrEx>
          <w:tblCellMar>
            <w:top w:w="0" w:type="dxa"/>
            <w:bottom w:w="0" w:type="dxa"/>
          </w:tblCellMar>
        </w:tblPrEx>
        <w:tc>
          <w:tcPr>
            <w:tcW w:w="2026" w:type="dxa"/>
            <w:tcMar>
              <w:top w:w="30" w:type="dxa"/>
              <w:left w:w="70" w:type="dxa"/>
              <w:bottom w:w="30" w:type="dxa"/>
              <w:right w:w="70" w:type="dxa"/>
            </w:tcMar>
          </w:tcPr>
          <w:p w14:paraId="3193CFEA" w14:textId="77777777" w:rsidR="0014218F" w:rsidRDefault="00000000">
            <w:r>
              <w:rPr>
                <w:sz w:val="18"/>
                <w:szCs w:val="18"/>
              </w:rPr>
              <w:t>2022 Bear</w:t>
            </w:r>
          </w:p>
        </w:tc>
        <w:tc>
          <w:tcPr>
            <w:tcW w:w="2131" w:type="dxa"/>
            <w:tcMar>
              <w:top w:w="30" w:type="dxa"/>
              <w:left w:w="70" w:type="dxa"/>
              <w:bottom w:w="30" w:type="dxa"/>
              <w:right w:w="70" w:type="dxa"/>
            </w:tcMar>
          </w:tcPr>
          <w:p w14:paraId="0E9C0400" w14:textId="77777777" w:rsidR="0014218F" w:rsidRDefault="00000000">
            <w:pPr>
              <w:jc w:val="center"/>
            </w:pPr>
            <w:r>
              <w:rPr>
                <w:sz w:val="18"/>
                <w:szCs w:val="18"/>
              </w:rPr>
              <w:t>Jan–Oct 2022</w:t>
            </w:r>
          </w:p>
        </w:tc>
        <w:tc>
          <w:tcPr>
            <w:tcW w:w="1598" w:type="dxa"/>
            <w:tcMar>
              <w:top w:w="30" w:type="dxa"/>
              <w:left w:w="70" w:type="dxa"/>
              <w:bottom w:w="30" w:type="dxa"/>
              <w:right w:w="70" w:type="dxa"/>
            </w:tcMar>
          </w:tcPr>
          <w:p w14:paraId="12522C20" w14:textId="3EE1C32C" w:rsidR="0014218F" w:rsidRDefault="00A2596B">
            <w:pPr>
              <w:jc w:val="center"/>
            </w:pPr>
            <w:r>
              <w:rPr>
                <w:sz w:val="18"/>
                <w:szCs w:val="18"/>
              </w:rPr>
              <w:t>-</w:t>
            </w:r>
            <w:r w:rsidR="00000000">
              <w:rPr>
                <w:sz w:val="18"/>
                <w:szCs w:val="18"/>
              </w:rPr>
              <w:t>26.2%</w:t>
            </w:r>
          </w:p>
        </w:tc>
        <w:tc>
          <w:tcPr>
            <w:tcW w:w="1385" w:type="dxa"/>
            <w:tcMar>
              <w:top w:w="30" w:type="dxa"/>
              <w:left w:w="70" w:type="dxa"/>
              <w:bottom w:w="30" w:type="dxa"/>
              <w:right w:w="70" w:type="dxa"/>
            </w:tcMar>
          </w:tcPr>
          <w:p w14:paraId="75737CF9" w14:textId="5C10A5C6" w:rsidR="0014218F" w:rsidRDefault="00A2596B">
            <w:pPr>
              <w:jc w:val="center"/>
            </w:pPr>
            <w:r>
              <w:rPr>
                <w:sz w:val="18"/>
                <w:szCs w:val="18"/>
              </w:rPr>
              <w:t>-</w:t>
            </w:r>
            <w:r w:rsidR="00000000">
              <w:rPr>
                <w:sz w:val="18"/>
                <w:szCs w:val="18"/>
              </w:rPr>
              <w:t>2.0%</w:t>
            </w:r>
          </w:p>
        </w:tc>
        <w:tc>
          <w:tcPr>
            <w:tcW w:w="1385" w:type="dxa"/>
            <w:tcMar>
              <w:top w:w="30" w:type="dxa"/>
              <w:left w:w="70" w:type="dxa"/>
              <w:bottom w:w="30" w:type="dxa"/>
              <w:right w:w="70" w:type="dxa"/>
            </w:tcMar>
          </w:tcPr>
          <w:p w14:paraId="6A8E42E2" w14:textId="7828EAA1" w:rsidR="0014218F" w:rsidRDefault="00A2596B">
            <w:pPr>
              <w:jc w:val="center"/>
            </w:pPr>
            <w:r>
              <w:rPr>
                <w:sz w:val="18"/>
                <w:szCs w:val="18"/>
              </w:rPr>
              <w:t>-</w:t>
            </w:r>
            <w:r w:rsidR="00000000">
              <w:rPr>
                <w:sz w:val="18"/>
                <w:szCs w:val="18"/>
              </w:rPr>
              <w:t>14.2%</w:t>
            </w:r>
          </w:p>
        </w:tc>
        <w:tc>
          <w:tcPr>
            <w:tcW w:w="1221" w:type="dxa"/>
            <w:tcMar>
              <w:top w:w="30" w:type="dxa"/>
              <w:left w:w="70" w:type="dxa"/>
              <w:bottom w:w="30" w:type="dxa"/>
              <w:right w:w="70" w:type="dxa"/>
            </w:tcMar>
          </w:tcPr>
          <w:p w14:paraId="6EA8BDA0" w14:textId="1E4E2627" w:rsidR="0014218F" w:rsidRDefault="00A2596B">
            <w:pPr>
              <w:jc w:val="center"/>
            </w:pPr>
            <w:r>
              <w:rPr>
                <w:sz w:val="18"/>
                <w:szCs w:val="18"/>
              </w:rPr>
              <w:t>-</w:t>
            </w:r>
            <w:r w:rsidR="00000000">
              <w:rPr>
                <w:sz w:val="18"/>
                <w:szCs w:val="18"/>
              </w:rPr>
              <w:t>5.1%</w:t>
            </w:r>
          </w:p>
        </w:tc>
      </w:tr>
      <w:tr w:rsidR="00A2596B" w14:paraId="40ADED53" w14:textId="77777777" w:rsidTr="00A2596B">
        <w:tblPrEx>
          <w:tblCellMar>
            <w:top w:w="0" w:type="dxa"/>
            <w:bottom w:w="0" w:type="dxa"/>
          </w:tblCellMar>
        </w:tblPrEx>
        <w:tc>
          <w:tcPr>
            <w:tcW w:w="2026" w:type="dxa"/>
            <w:shd w:val="clear" w:color="auto" w:fill="F2F4F7"/>
            <w:tcMar>
              <w:top w:w="30" w:type="dxa"/>
              <w:left w:w="70" w:type="dxa"/>
              <w:bottom w:w="30" w:type="dxa"/>
              <w:right w:w="70" w:type="dxa"/>
            </w:tcMar>
          </w:tcPr>
          <w:p w14:paraId="6E5EB70A" w14:textId="77777777" w:rsidR="0014218F" w:rsidRDefault="00000000">
            <w:r>
              <w:rPr>
                <w:sz w:val="18"/>
                <w:szCs w:val="18"/>
              </w:rPr>
              <w:t>2022 Q4 Relief</w:t>
            </w:r>
          </w:p>
        </w:tc>
        <w:tc>
          <w:tcPr>
            <w:tcW w:w="2131" w:type="dxa"/>
            <w:shd w:val="clear" w:color="auto" w:fill="F2F4F7"/>
            <w:tcMar>
              <w:top w:w="30" w:type="dxa"/>
              <w:left w:w="70" w:type="dxa"/>
              <w:bottom w:w="30" w:type="dxa"/>
              <w:right w:w="70" w:type="dxa"/>
            </w:tcMar>
          </w:tcPr>
          <w:p w14:paraId="42A0DCF0" w14:textId="77777777" w:rsidR="0014218F" w:rsidRDefault="00000000">
            <w:pPr>
              <w:jc w:val="center"/>
            </w:pPr>
            <w:r>
              <w:rPr>
                <w:sz w:val="18"/>
                <w:szCs w:val="18"/>
              </w:rPr>
              <w:t>Nov 2022–Jan 2023</w:t>
            </w:r>
          </w:p>
        </w:tc>
        <w:tc>
          <w:tcPr>
            <w:tcW w:w="1598" w:type="dxa"/>
            <w:shd w:val="clear" w:color="auto" w:fill="F2F4F7"/>
            <w:tcMar>
              <w:top w:w="30" w:type="dxa"/>
              <w:left w:w="70" w:type="dxa"/>
              <w:bottom w:w="30" w:type="dxa"/>
              <w:right w:w="70" w:type="dxa"/>
            </w:tcMar>
          </w:tcPr>
          <w:p w14:paraId="3048C904" w14:textId="77777777" w:rsidR="0014218F" w:rsidRDefault="00000000">
            <w:pPr>
              <w:jc w:val="center"/>
            </w:pPr>
            <w:r>
              <w:rPr>
                <w:sz w:val="18"/>
                <w:szCs w:val="18"/>
              </w:rPr>
              <w:t>+15.8%</w:t>
            </w:r>
          </w:p>
        </w:tc>
        <w:tc>
          <w:tcPr>
            <w:tcW w:w="1385" w:type="dxa"/>
            <w:shd w:val="clear" w:color="auto" w:fill="F2F4F7"/>
            <w:tcMar>
              <w:top w:w="30" w:type="dxa"/>
              <w:left w:w="70" w:type="dxa"/>
              <w:bottom w:w="30" w:type="dxa"/>
              <w:right w:w="70" w:type="dxa"/>
            </w:tcMar>
          </w:tcPr>
          <w:p w14:paraId="73547285" w14:textId="77777777" w:rsidR="0014218F" w:rsidRDefault="00000000">
            <w:pPr>
              <w:jc w:val="center"/>
            </w:pPr>
            <w:r>
              <w:rPr>
                <w:sz w:val="18"/>
                <w:szCs w:val="18"/>
              </w:rPr>
              <w:t>+6.5%</w:t>
            </w:r>
          </w:p>
        </w:tc>
        <w:tc>
          <w:tcPr>
            <w:tcW w:w="1385" w:type="dxa"/>
            <w:shd w:val="clear" w:color="auto" w:fill="F2F4F7"/>
            <w:tcMar>
              <w:top w:w="30" w:type="dxa"/>
              <w:left w:w="70" w:type="dxa"/>
              <w:bottom w:w="30" w:type="dxa"/>
              <w:right w:w="70" w:type="dxa"/>
            </w:tcMar>
          </w:tcPr>
          <w:p w14:paraId="09BA50E1" w14:textId="77777777" w:rsidR="0014218F" w:rsidRDefault="00000000">
            <w:pPr>
              <w:jc w:val="center"/>
            </w:pPr>
            <w:r>
              <w:rPr>
                <w:sz w:val="18"/>
                <w:szCs w:val="18"/>
              </w:rPr>
              <w:t>+18.5%</w:t>
            </w:r>
          </w:p>
        </w:tc>
        <w:tc>
          <w:tcPr>
            <w:tcW w:w="1221" w:type="dxa"/>
            <w:shd w:val="clear" w:color="auto" w:fill="F2F4F7"/>
            <w:tcMar>
              <w:top w:w="30" w:type="dxa"/>
              <w:left w:w="70" w:type="dxa"/>
              <w:bottom w:w="30" w:type="dxa"/>
              <w:right w:w="70" w:type="dxa"/>
            </w:tcMar>
          </w:tcPr>
          <w:p w14:paraId="4BBD8541" w14:textId="77777777" w:rsidR="0014218F" w:rsidRDefault="00000000">
            <w:pPr>
              <w:jc w:val="center"/>
            </w:pPr>
            <w:r>
              <w:rPr>
                <w:sz w:val="18"/>
                <w:szCs w:val="18"/>
              </w:rPr>
              <w:t>+13.8%</w:t>
            </w:r>
          </w:p>
        </w:tc>
      </w:tr>
      <w:tr w:rsidR="00A2596B" w14:paraId="2FEAF2ED" w14:textId="77777777" w:rsidTr="00A2596B">
        <w:tblPrEx>
          <w:tblCellMar>
            <w:top w:w="0" w:type="dxa"/>
            <w:bottom w:w="0" w:type="dxa"/>
          </w:tblCellMar>
        </w:tblPrEx>
        <w:tc>
          <w:tcPr>
            <w:tcW w:w="2026" w:type="dxa"/>
            <w:tcMar>
              <w:top w:w="30" w:type="dxa"/>
              <w:left w:w="70" w:type="dxa"/>
              <w:bottom w:w="30" w:type="dxa"/>
              <w:right w:w="70" w:type="dxa"/>
            </w:tcMar>
          </w:tcPr>
          <w:p w14:paraId="6B765367" w14:textId="77777777" w:rsidR="0014218F" w:rsidRDefault="00000000">
            <w:r>
              <w:rPr>
                <w:sz w:val="18"/>
                <w:szCs w:val="18"/>
              </w:rPr>
              <w:t>2023 Sideways</w:t>
            </w:r>
          </w:p>
        </w:tc>
        <w:tc>
          <w:tcPr>
            <w:tcW w:w="2131" w:type="dxa"/>
            <w:tcMar>
              <w:top w:w="30" w:type="dxa"/>
              <w:left w:w="70" w:type="dxa"/>
              <w:bottom w:w="30" w:type="dxa"/>
              <w:right w:w="70" w:type="dxa"/>
            </w:tcMar>
          </w:tcPr>
          <w:p w14:paraId="356A96D9" w14:textId="77777777" w:rsidR="0014218F" w:rsidRDefault="00000000">
            <w:pPr>
              <w:jc w:val="center"/>
            </w:pPr>
            <w:r>
              <w:rPr>
                <w:sz w:val="18"/>
                <w:szCs w:val="18"/>
              </w:rPr>
              <w:t>Feb 2023–Jan 2024</w:t>
            </w:r>
          </w:p>
        </w:tc>
        <w:tc>
          <w:tcPr>
            <w:tcW w:w="1598" w:type="dxa"/>
            <w:tcMar>
              <w:top w:w="30" w:type="dxa"/>
              <w:left w:w="70" w:type="dxa"/>
              <w:bottom w:w="30" w:type="dxa"/>
              <w:right w:w="70" w:type="dxa"/>
            </w:tcMar>
          </w:tcPr>
          <w:p w14:paraId="5529C30B" w14:textId="0A946D9B" w:rsidR="0014218F" w:rsidRDefault="00A2596B">
            <w:pPr>
              <w:jc w:val="center"/>
            </w:pPr>
            <w:r>
              <w:rPr>
                <w:sz w:val="18"/>
                <w:szCs w:val="18"/>
              </w:rPr>
              <w:t>-</w:t>
            </w:r>
            <w:r w:rsidR="00000000">
              <w:rPr>
                <w:sz w:val="18"/>
                <w:szCs w:val="18"/>
              </w:rPr>
              <w:t>13.4%</w:t>
            </w:r>
          </w:p>
        </w:tc>
        <w:tc>
          <w:tcPr>
            <w:tcW w:w="1385" w:type="dxa"/>
            <w:tcMar>
              <w:top w:w="30" w:type="dxa"/>
              <w:left w:w="70" w:type="dxa"/>
              <w:bottom w:w="30" w:type="dxa"/>
              <w:right w:w="70" w:type="dxa"/>
            </w:tcMar>
          </w:tcPr>
          <w:p w14:paraId="3E2C7063" w14:textId="77777777" w:rsidR="0014218F" w:rsidRDefault="00000000">
            <w:pPr>
              <w:jc w:val="center"/>
            </w:pPr>
            <w:r>
              <w:rPr>
                <w:sz w:val="18"/>
                <w:szCs w:val="18"/>
              </w:rPr>
              <w:t>+1.2%</w:t>
            </w:r>
          </w:p>
        </w:tc>
        <w:tc>
          <w:tcPr>
            <w:tcW w:w="1385" w:type="dxa"/>
            <w:tcMar>
              <w:top w:w="30" w:type="dxa"/>
              <w:left w:w="70" w:type="dxa"/>
              <w:bottom w:w="30" w:type="dxa"/>
              <w:right w:w="70" w:type="dxa"/>
            </w:tcMar>
          </w:tcPr>
          <w:p w14:paraId="49E05550" w14:textId="038AF1A2" w:rsidR="0014218F" w:rsidRDefault="00A2596B">
            <w:pPr>
              <w:jc w:val="center"/>
            </w:pPr>
            <w:r>
              <w:rPr>
                <w:sz w:val="18"/>
                <w:szCs w:val="18"/>
              </w:rPr>
              <w:t>-</w:t>
            </w:r>
            <w:r w:rsidR="00000000">
              <w:rPr>
                <w:sz w:val="18"/>
                <w:szCs w:val="18"/>
              </w:rPr>
              <w:t>2.3%</w:t>
            </w:r>
          </w:p>
        </w:tc>
        <w:tc>
          <w:tcPr>
            <w:tcW w:w="1221" w:type="dxa"/>
            <w:tcMar>
              <w:top w:w="30" w:type="dxa"/>
              <w:left w:w="70" w:type="dxa"/>
              <w:bottom w:w="30" w:type="dxa"/>
              <w:right w:w="70" w:type="dxa"/>
            </w:tcMar>
          </w:tcPr>
          <w:p w14:paraId="3E35C59D" w14:textId="77777777" w:rsidR="0014218F" w:rsidRDefault="00000000">
            <w:pPr>
              <w:jc w:val="center"/>
            </w:pPr>
            <w:r>
              <w:rPr>
                <w:sz w:val="18"/>
                <w:szCs w:val="18"/>
              </w:rPr>
              <w:t>+1.7%</w:t>
            </w:r>
          </w:p>
        </w:tc>
      </w:tr>
      <w:tr w:rsidR="00A2596B" w14:paraId="33B599C8" w14:textId="77777777" w:rsidTr="00A2596B">
        <w:tblPrEx>
          <w:tblCellMar>
            <w:top w:w="0" w:type="dxa"/>
            <w:bottom w:w="0" w:type="dxa"/>
          </w:tblCellMar>
        </w:tblPrEx>
        <w:tc>
          <w:tcPr>
            <w:tcW w:w="2026" w:type="dxa"/>
            <w:shd w:val="clear" w:color="auto" w:fill="F2F4F7"/>
            <w:tcMar>
              <w:top w:w="30" w:type="dxa"/>
              <w:left w:w="70" w:type="dxa"/>
              <w:bottom w:w="30" w:type="dxa"/>
              <w:right w:w="70" w:type="dxa"/>
            </w:tcMar>
          </w:tcPr>
          <w:p w14:paraId="63762E3C" w14:textId="77777777" w:rsidR="0014218F" w:rsidRDefault="00000000">
            <w:r>
              <w:rPr>
                <w:sz w:val="18"/>
                <w:szCs w:val="18"/>
              </w:rPr>
              <w:t>2024 Rally</w:t>
            </w:r>
          </w:p>
        </w:tc>
        <w:tc>
          <w:tcPr>
            <w:tcW w:w="2131" w:type="dxa"/>
            <w:shd w:val="clear" w:color="auto" w:fill="F2F4F7"/>
            <w:tcMar>
              <w:top w:w="30" w:type="dxa"/>
              <w:left w:w="70" w:type="dxa"/>
              <w:bottom w:w="30" w:type="dxa"/>
              <w:right w:w="70" w:type="dxa"/>
            </w:tcMar>
          </w:tcPr>
          <w:p w14:paraId="47D8A038" w14:textId="77777777" w:rsidR="0014218F" w:rsidRDefault="00000000">
            <w:pPr>
              <w:jc w:val="center"/>
            </w:pPr>
            <w:r>
              <w:rPr>
                <w:sz w:val="18"/>
                <w:szCs w:val="18"/>
              </w:rPr>
              <w:t>Feb–Oct 2024</w:t>
            </w:r>
          </w:p>
        </w:tc>
        <w:tc>
          <w:tcPr>
            <w:tcW w:w="1598" w:type="dxa"/>
            <w:shd w:val="clear" w:color="auto" w:fill="F2F4F7"/>
            <w:tcMar>
              <w:top w:w="30" w:type="dxa"/>
              <w:left w:w="70" w:type="dxa"/>
              <w:bottom w:w="30" w:type="dxa"/>
              <w:right w:w="70" w:type="dxa"/>
            </w:tcMar>
          </w:tcPr>
          <w:p w14:paraId="5C8757D0" w14:textId="77777777" w:rsidR="0014218F" w:rsidRDefault="00000000">
            <w:pPr>
              <w:jc w:val="center"/>
            </w:pPr>
            <w:r>
              <w:rPr>
                <w:sz w:val="18"/>
                <w:szCs w:val="18"/>
              </w:rPr>
              <w:t>+32.1%</w:t>
            </w:r>
          </w:p>
        </w:tc>
        <w:tc>
          <w:tcPr>
            <w:tcW w:w="1385" w:type="dxa"/>
            <w:shd w:val="clear" w:color="auto" w:fill="F2F4F7"/>
            <w:tcMar>
              <w:top w:w="30" w:type="dxa"/>
              <w:left w:w="70" w:type="dxa"/>
              <w:bottom w:w="30" w:type="dxa"/>
              <w:right w:w="70" w:type="dxa"/>
            </w:tcMar>
          </w:tcPr>
          <w:p w14:paraId="4F40ADBD" w14:textId="77777777" w:rsidR="0014218F" w:rsidRDefault="00000000">
            <w:pPr>
              <w:jc w:val="center"/>
            </w:pPr>
            <w:r>
              <w:rPr>
                <w:sz w:val="18"/>
                <w:szCs w:val="18"/>
              </w:rPr>
              <w:t>+10.5%</w:t>
            </w:r>
          </w:p>
        </w:tc>
        <w:tc>
          <w:tcPr>
            <w:tcW w:w="1385" w:type="dxa"/>
            <w:shd w:val="clear" w:color="auto" w:fill="F2F4F7"/>
            <w:tcMar>
              <w:top w:w="30" w:type="dxa"/>
              <w:left w:w="70" w:type="dxa"/>
              <w:bottom w:w="30" w:type="dxa"/>
              <w:right w:w="70" w:type="dxa"/>
            </w:tcMar>
          </w:tcPr>
          <w:p w14:paraId="7F560A11" w14:textId="77777777" w:rsidR="0014218F" w:rsidRDefault="00000000">
            <w:pPr>
              <w:jc w:val="center"/>
            </w:pPr>
            <w:r>
              <w:rPr>
                <w:sz w:val="18"/>
                <w:szCs w:val="18"/>
              </w:rPr>
              <w:t>+28.4%</w:t>
            </w:r>
          </w:p>
        </w:tc>
        <w:tc>
          <w:tcPr>
            <w:tcW w:w="1221" w:type="dxa"/>
            <w:shd w:val="clear" w:color="auto" w:fill="F2F4F7"/>
            <w:tcMar>
              <w:top w:w="30" w:type="dxa"/>
              <w:left w:w="70" w:type="dxa"/>
              <w:bottom w:w="30" w:type="dxa"/>
              <w:right w:w="70" w:type="dxa"/>
            </w:tcMar>
          </w:tcPr>
          <w:p w14:paraId="22CD2949" w14:textId="77777777" w:rsidR="0014218F" w:rsidRDefault="00000000">
            <w:pPr>
              <w:jc w:val="center"/>
            </w:pPr>
            <w:r>
              <w:rPr>
                <w:sz w:val="18"/>
                <w:szCs w:val="18"/>
              </w:rPr>
              <w:t>+24.1%</w:t>
            </w:r>
          </w:p>
        </w:tc>
      </w:tr>
      <w:tr w:rsidR="00A2596B" w14:paraId="0F98D3FE" w14:textId="77777777" w:rsidTr="00A2596B">
        <w:tblPrEx>
          <w:tblCellMar>
            <w:top w:w="0" w:type="dxa"/>
            <w:bottom w:w="0" w:type="dxa"/>
          </w:tblCellMar>
        </w:tblPrEx>
        <w:tc>
          <w:tcPr>
            <w:tcW w:w="2026" w:type="dxa"/>
            <w:tcMar>
              <w:top w:w="30" w:type="dxa"/>
              <w:left w:w="70" w:type="dxa"/>
              <w:bottom w:w="30" w:type="dxa"/>
              <w:right w:w="70" w:type="dxa"/>
            </w:tcMar>
          </w:tcPr>
          <w:p w14:paraId="58D95357" w14:textId="77777777" w:rsidR="0014218F" w:rsidRDefault="00000000">
            <w:r>
              <w:rPr>
                <w:sz w:val="18"/>
                <w:szCs w:val="18"/>
              </w:rPr>
              <w:t>2024–25 Consolid.</w:t>
            </w:r>
          </w:p>
        </w:tc>
        <w:tc>
          <w:tcPr>
            <w:tcW w:w="2131" w:type="dxa"/>
            <w:tcMar>
              <w:top w:w="30" w:type="dxa"/>
              <w:left w:w="70" w:type="dxa"/>
              <w:bottom w:w="30" w:type="dxa"/>
              <w:right w:w="70" w:type="dxa"/>
            </w:tcMar>
          </w:tcPr>
          <w:p w14:paraId="245F0799" w14:textId="77777777" w:rsidR="0014218F" w:rsidRDefault="00000000">
            <w:pPr>
              <w:jc w:val="center"/>
            </w:pPr>
            <w:r>
              <w:rPr>
                <w:sz w:val="18"/>
                <w:szCs w:val="18"/>
              </w:rPr>
              <w:t>Oct 2024–Dec 2025</w:t>
            </w:r>
          </w:p>
        </w:tc>
        <w:tc>
          <w:tcPr>
            <w:tcW w:w="1598" w:type="dxa"/>
            <w:tcMar>
              <w:top w:w="30" w:type="dxa"/>
              <w:left w:w="70" w:type="dxa"/>
              <w:bottom w:w="30" w:type="dxa"/>
              <w:right w:w="70" w:type="dxa"/>
            </w:tcMar>
          </w:tcPr>
          <w:p w14:paraId="6CB34DFF" w14:textId="77777777" w:rsidR="0014218F" w:rsidRDefault="00000000">
            <w:pPr>
              <w:jc w:val="center"/>
            </w:pPr>
            <w:r>
              <w:rPr>
                <w:sz w:val="18"/>
                <w:szCs w:val="18"/>
              </w:rPr>
              <w:t>+5.8%</w:t>
            </w:r>
          </w:p>
        </w:tc>
        <w:tc>
          <w:tcPr>
            <w:tcW w:w="1385" w:type="dxa"/>
            <w:tcMar>
              <w:top w:w="30" w:type="dxa"/>
              <w:left w:w="70" w:type="dxa"/>
              <w:bottom w:w="30" w:type="dxa"/>
              <w:right w:w="70" w:type="dxa"/>
            </w:tcMar>
          </w:tcPr>
          <w:p w14:paraId="35C4328A" w14:textId="77777777" w:rsidR="0014218F" w:rsidRDefault="00000000">
            <w:pPr>
              <w:jc w:val="center"/>
            </w:pPr>
            <w:r>
              <w:rPr>
                <w:sz w:val="18"/>
                <w:szCs w:val="18"/>
              </w:rPr>
              <w:t>+5.7%</w:t>
            </w:r>
          </w:p>
        </w:tc>
        <w:tc>
          <w:tcPr>
            <w:tcW w:w="1385" w:type="dxa"/>
            <w:tcMar>
              <w:top w:w="30" w:type="dxa"/>
              <w:left w:w="70" w:type="dxa"/>
              <w:bottom w:w="30" w:type="dxa"/>
              <w:right w:w="70" w:type="dxa"/>
            </w:tcMar>
          </w:tcPr>
          <w:p w14:paraId="42D39832" w14:textId="77777777" w:rsidR="0014218F" w:rsidRDefault="00000000">
            <w:pPr>
              <w:jc w:val="center"/>
            </w:pPr>
            <w:r>
              <w:rPr>
                <w:sz w:val="18"/>
                <w:szCs w:val="18"/>
              </w:rPr>
              <w:t>+10.5%</w:t>
            </w:r>
          </w:p>
        </w:tc>
        <w:tc>
          <w:tcPr>
            <w:tcW w:w="1221" w:type="dxa"/>
            <w:tcMar>
              <w:top w:w="30" w:type="dxa"/>
              <w:left w:w="70" w:type="dxa"/>
              <w:bottom w:w="30" w:type="dxa"/>
              <w:right w:w="70" w:type="dxa"/>
            </w:tcMar>
          </w:tcPr>
          <w:p w14:paraId="4A829B9E" w14:textId="77777777" w:rsidR="0014218F" w:rsidRDefault="00000000">
            <w:pPr>
              <w:jc w:val="center"/>
            </w:pPr>
            <w:r>
              <w:rPr>
                <w:sz w:val="18"/>
                <w:szCs w:val="18"/>
              </w:rPr>
              <w:t>+12.3%</w:t>
            </w:r>
          </w:p>
        </w:tc>
      </w:tr>
    </w:tbl>
    <w:p w14:paraId="750977B5" w14:textId="084DD4BC" w:rsidR="0014218F" w:rsidRDefault="00A2596B" w:rsidP="00A2596B">
      <w:pPr>
        <w:spacing w:after="80" w:line="264" w:lineRule="auto"/>
        <w:jc w:val="center"/>
      </w:pPr>
      <w:r w:rsidRPr="00A2596B">
        <w:rPr>
          <w:i/>
          <w:iCs/>
          <w:color w:val="555555"/>
          <w:sz w:val="16"/>
          <w:szCs w:val="16"/>
        </w:rPr>
        <w:t>Table 6</w:t>
      </w:r>
      <w:r w:rsidRPr="00A2596B">
        <w:rPr>
          <w:i/>
          <w:iCs/>
          <w:color w:val="555555"/>
          <w:sz w:val="16"/>
          <w:szCs w:val="16"/>
        </w:rPr>
        <w:t>:</w:t>
      </w:r>
      <w:r w:rsidRPr="00A2596B">
        <w:rPr>
          <w:i/>
          <w:iCs/>
          <w:color w:val="555555"/>
          <w:sz w:val="16"/>
          <w:szCs w:val="16"/>
        </w:rPr>
        <w:t xml:space="preserve"> Strategy returns by regime (annualised).</w:t>
      </w:r>
    </w:p>
    <w:p w14:paraId="0742630D" w14:textId="4F519570" w:rsidR="0014218F" w:rsidRDefault="00000000">
      <w:pPr>
        <w:spacing w:after="100" w:line="264" w:lineRule="auto"/>
        <w:jc w:val="both"/>
      </w:pPr>
      <w:r>
        <w:t>The regime profile is consistent with the central claim of the risk parity literature: the strategy is designed to deliver asymmetric protection</w:t>
      </w:r>
      <w:r w:rsidR="00A2596B">
        <w:t>,</w:t>
      </w:r>
      <w:r>
        <w:t xml:space="preserve"> sacrificing upside participation in exchange for reduced downside</w:t>
      </w:r>
      <w:r w:rsidR="00A2596B">
        <w:t>,</w:t>
      </w:r>
      <w:r>
        <w:t xml:space="preserve"> and over a complete cycle this asymmetry compounds into superior risk-adjusted performance, which is precisely what Table 3 documents.</w:t>
      </w:r>
    </w:p>
    <w:p w14:paraId="18DEACC9" w14:textId="77777777" w:rsidR="0014218F" w:rsidRDefault="00000000">
      <w:pPr>
        <w:pStyle w:val="Heading1"/>
        <w:spacing w:line="264" w:lineRule="auto"/>
      </w:pPr>
      <w:r>
        <w:t>5. Hedge-Fund Replication Comparison</w:t>
      </w:r>
    </w:p>
    <w:p w14:paraId="3197644D" w14:textId="037B191B" w:rsidR="0014218F" w:rsidRDefault="00000000">
      <w:pPr>
        <w:spacing w:after="100" w:line="264" w:lineRule="auto"/>
        <w:jc w:val="both"/>
      </w:pPr>
      <w:r>
        <w:t>To place the risk parity construction in dialogue with an alternative paradigm, we implement a Hasanhodzic &amp; Lo (2007)-style factor replication. We construct four factor-mimicking portfolios from the ETF universe</w:t>
      </w:r>
      <w:r w:rsidR="00A2596B">
        <w:t>:</w:t>
      </w:r>
      <w:r>
        <w:t xml:space="preserve"> a market factor (50/50 CSI 300 and CSI 500 minus the risk-free rate), a size proxy (long CSI 500, short CSI 300), a bond factor (5Y Treasury minus risk-free), and a gold factor (Gold minus risk-free)</w:t>
      </w:r>
      <w:r w:rsidR="00A2596B">
        <w:t>,</w:t>
      </w:r>
      <w:r>
        <w:t xml:space="preserve"> and use them to replicate a synthetic HFRX-style return series via constrained linear regression.</w:t>
      </w:r>
    </w:p>
    <w:p w14:paraId="0574D071" w14:textId="3A4E3FC2" w:rsidR="00A2596B" w:rsidRDefault="00000000" w:rsidP="00A2596B">
      <w:pPr>
        <w:spacing w:after="100" w:line="264" w:lineRule="auto"/>
        <w:jc w:val="both"/>
      </w:pPr>
      <w:r>
        <w:t xml:space="preserve">The contrast with ERC is reported in Table 7. The factor-replication portfolio achieves only a 0.58 Sharpe, less than half of ERC's 1.28, with a maximum drawdown of </w:t>
      </w:r>
      <w:r w:rsidR="00A2596B">
        <w:t>-</w:t>
      </w:r>
      <w:r>
        <w:t xml:space="preserve">12.3% versus ERC's </w:t>
      </w:r>
      <w:r w:rsidR="00A2596B">
        <w:t>-</w:t>
      </w:r>
      <w:r>
        <w:t>4.9%. The two return streams are correlated at 0.62</w:t>
      </w:r>
      <w:r w:rsidR="00A2596B">
        <w:t>,</w:t>
      </w:r>
      <w:r>
        <w:t xml:space="preserve"> high enough to confirm shared exposure to Chinese asset markets, low enough to confirm that they capture different dimensions of the multi-asset opportunity set. Risk parity targets diversification across asset risk, while factor replication targets the systematic premia that hedge funds harvest; the two are conceptually orthogonal, and the moderate empirical correlation supports this distinction.</w:t>
      </w:r>
    </w:p>
    <w:p w14:paraId="7DE194CC" w14:textId="479F7075" w:rsidR="00A2596B" w:rsidRDefault="00A2596B" w:rsidP="00A2596B">
      <w:r>
        <w:br w:type="page"/>
      </w:r>
    </w:p>
    <w:tbl>
      <w:tblPr>
        <w:tblW w:w="974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4"/>
        <w:gridCol w:w="3133"/>
        <w:gridCol w:w="3959"/>
      </w:tblGrid>
      <w:tr w:rsidR="00A2596B" w14:paraId="57F24FAB" w14:textId="77777777" w:rsidTr="00A2596B">
        <w:tblPrEx>
          <w:tblCellMar>
            <w:top w:w="0" w:type="dxa"/>
            <w:bottom w:w="0" w:type="dxa"/>
          </w:tblCellMar>
        </w:tblPrEx>
        <w:trPr>
          <w:tblHeader/>
        </w:trPr>
        <w:tc>
          <w:tcPr>
            <w:tcW w:w="2654" w:type="dxa"/>
            <w:shd w:val="clear" w:color="auto" w:fill="1F3A5F"/>
            <w:tcMar>
              <w:top w:w="30" w:type="dxa"/>
              <w:left w:w="70" w:type="dxa"/>
              <w:bottom w:w="30" w:type="dxa"/>
              <w:right w:w="70" w:type="dxa"/>
            </w:tcMar>
          </w:tcPr>
          <w:p w14:paraId="69E12715" w14:textId="77777777" w:rsidR="0014218F" w:rsidRDefault="00000000">
            <w:r>
              <w:rPr>
                <w:b/>
                <w:bCs/>
                <w:color w:val="FFFFFF"/>
                <w:sz w:val="18"/>
                <w:szCs w:val="18"/>
              </w:rPr>
              <w:lastRenderedPageBreak/>
              <w:t>Dimension</w:t>
            </w:r>
          </w:p>
        </w:tc>
        <w:tc>
          <w:tcPr>
            <w:tcW w:w="3133" w:type="dxa"/>
            <w:shd w:val="clear" w:color="auto" w:fill="1F3A5F"/>
            <w:tcMar>
              <w:top w:w="30" w:type="dxa"/>
              <w:left w:w="70" w:type="dxa"/>
              <w:bottom w:w="30" w:type="dxa"/>
              <w:right w:w="70" w:type="dxa"/>
            </w:tcMar>
          </w:tcPr>
          <w:p w14:paraId="7DA54DC1" w14:textId="77777777" w:rsidR="0014218F" w:rsidRDefault="00000000">
            <w:r>
              <w:rPr>
                <w:b/>
                <w:bCs/>
                <w:color w:val="FFFFFF"/>
                <w:sz w:val="18"/>
                <w:szCs w:val="18"/>
              </w:rPr>
              <w:t>ERC (5%)</w:t>
            </w:r>
          </w:p>
        </w:tc>
        <w:tc>
          <w:tcPr>
            <w:tcW w:w="3959" w:type="dxa"/>
            <w:shd w:val="clear" w:color="auto" w:fill="1F3A5F"/>
            <w:tcMar>
              <w:top w:w="30" w:type="dxa"/>
              <w:left w:w="70" w:type="dxa"/>
              <w:bottom w:w="30" w:type="dxa"/>
              <w:right w:w="70" w:type="dxa"/>
            </w:tcMar>
          </w:tcPr>
          <w:p w14:paraId="49A4F25A" w14:textId="77777777" w:rsidR="0014218F" w:rsidRDefault="00000000">
            <w:r>
              <w:rPr>
                <w:b/>
                <w:bCs/>
                <w:color w:val="FFFFFF"/>
                <w:sz w:val="18"/>
                <w:szCs w:val="18"/>
              </w:rPr>
              <w:t>Factor replication</w:t>
            </w:r>
          </w:p>
        </w:tc>
      </w:tr>
      <w:tr w:rsidR="00A2596B" w14:paraId="4D9C0E15" w14:textId="77777777" w:rsidTr="00A2596B">
        <w:tblPrEx>
          <w:tblCellMar>
            <w:top w:w="0" w:type="dxa"/>
            <w:bottom w:w="0" w:type="dxa"/>
          </w:tblCellMar>
        </w:tblPrEx>
        <w:tc>
          <w:tcPr>
            <w:tcW w:w="2654" w:type="dxa"/>
            <w:tcMar>
              <w:top w:w="30" w:type="dxa"/>
              <w:left w:w="70" w:type="dxa"/>
              <w:bottom w:w="30" w:type="dxa"/>
              <w:right w:w="70" w:type="dxa"/>
            </w:tcMar>
          </w:tcPr>
          <w:p w14:paraId="05E73F52" w14:textId="77777777" w:rsidR="0014218F" w:rsidRDefault="00000000">
            <w:r>
              <w:rPr>
                <w:sz w:val="18"/>
                <w:szCs w:val="18"/>
              </w:rPr>
              <w:t>Construction</w:t>
            </w:r>
          </w:p>
        </w:tc>
        <w:tc>
          <w:tcPr>
            <w:tcW w:w="3133" w:type="dxa"/>
            <w:tcMar>
              <w:top w:w="30" w:type="dxa"/>
              <w:left w:w="70" w:type="dxa"/>
              <w:bottom w:w="30" w:type="dxa"/>
              <w:right w:w="70" w:type="dxa"/>
            </w:tcMar>
          </w:tcPr>
          <w:p w14:paraId="1374EB5B" w14:textId="77777777" w:rsidR="0014218F" w:rsidRDefault="00000000">
            <w:pPr>
              <w:jc w:val="center"/>
            </w:pPr>
            <w:r>
              <w:rPr>
                <w:sz w:val="18"/>
                <w:szCs w:val="18"/>
              </w:rPr>
              <w:t>Risk-budgeting on five asset ETFs</w:t>
            </w:r>
          </w:p>
        </w:tc>
        <w:tc>
          <w:tcPr>
            <w:tcW w:w="3959" w:type="dxa"/>
            <w:tcMar>
              <w:top w:w="30" w:type="dxa"/>
              <w:left w:w="70" w:type="dxa"/>
              <w:bottom w:w="30" w:type="dxa"/>
              <w:right w:w="70" w:type="dxa"/>
            </w:tcMar>
          </w:tcPr>
          <w:p w14:paraId="0775CF3D" w14:textId="77777777" w:rsidR="0014218F" w:rsidRDefault="00000000">
            <w:pPr>
              <w:jc w:val="center"/>
            </w:pPr>
            <w:r>
              <w:rPr>
                <w:sz w:val="18"/>
                <w:szCs w:val="18"/>
              </w:rPr>
              <w:t>Constrained regression on factor-mimicking portfolios</w:t>
            </w:r>
          </w:p>
        </w:tc>
      </w:tr>
      <w:tr w:rsidR="00A2596B" w14:paraId="63CA259D" w14:textId="77777777" w:rsidTr="00A2596B">
        <w:tblPrEx>
          <w:tblCellMar>
            <w:top w:w="0" w:type="dxa"/>
            <w:bottom w:w="0" w:type="dxa"/>
          </w:tblCellMar>
        </w:tblPrEx>
        <w:tc>
          <w:tcPr>
            <w:tcW w:w="2654" w:type="dxa"/>
            <w:shd w:val="clear" w:color="auto" w:fill="F2F4F7"/>
            <w:tcMar>
              <w:top w:w="30" w:type="dxa"/>
              <w:left w:w="70" w:type="dxa"/>
              <w:bottom w:w="30" w:type="dxa"/>
              <w:right w:w="70" w:type="dxa"/>
            </w:tcMar>
          </w:tcPr>
          <w:p w14:paraId="76D51AEF" w14:textId="77777777" w:rsidR="0014218F" w:rsidRDefault="00000000">
            <w:r>
              <w:rPr>
                <w:sz w:val="18"/>
                <w:szCs w:val="18"/>
              </w:rPr>
              <w:t>Sharpe ratio</w:t>
            </w:r>
          </w:p>
        </w:tc>
        <w:tc>
          <w:tcPr>
            <w:tcW w:w="3133" w:type="dxa"/>
            <w:shd w:val="clear" w:color="auto" w:fill="F2F4F7"/>
            <w:tcMar>
              <w:top w:w="30" w:type="dxa"/>
              <w:left w:w="70" w:type="dxa"/>
              <w:bottom w:w="30" w:type="dxa"/>
              <w:right w:w="70" w:type="dxa"/>
            </w:tcMar>
          </w:tcPr>
          <w:p w14:paraId="687744D3" w14:textId="77777777" w:rsidR="0014218F" w:rsidRDefault="00000000">
            <w:pPr>
              <w:jc w:val="center"/>
            </w:pPr>
            <w:r>
              <w:rPr>
                <w:sz w:val="18"/>
                <w:szCs w:val="18"/>
              </w:rPr>
              <w:t>1.28</w:t>
            </w:r>
          </w:p>
        </w:tc>
        <w:tc>
          <w:tcPr>
            <w:tcW w:w="3959" w:type="dxa"/>
            <w:shd w:val="clear" w:color="auto" w:fill="F2F4F7"/>
            <w:tcMar>
              <w:top w:w="30" w:type="dxa"/>
              <w:left w:w="70" w:type="dxa"/>
              <w:bottom w:w="30" w:type="dxa"/>
              <w:right w:w="70" w:type="dxa"/>
            </w:tcMar>
          </w:tcPr>
          <w:p w14:paraId="42983230" w14:textId="77777777" w:rsidR="0014218F" w:rsidRDefault="00000000">
            <w:pPr>
              <w:jc w:val="center"/>
            </w:pPr>
            <w:r>
              <w:rPr>
                <w:sz w:val="18"/>
                <w:szCs w:val="18"/>
              </w:rPr>
              <w:t>0.58</w:t>
            </w:r>
          </w:p>
        </w:tc>
      </w:tr>
      <w:tr w:rsidR="00A2596B" w14:paraId="7EE98A8A" w14:textId="77777777" w:rsidTr="00A2596B">
        <w:tblPrEx>
          <w:tblCellMar>
            <w:top w:w="0" w:type="dxa"/>
            <w:bottom w:w="0" w:type="dxa"/>
          </w:tblCellMar>
        </w:tblPrEx>
        <w:tc>
          <w:tcPr>
            <w:tcW w:w="2654" w:type="dxa"/>
            <w:tcMar>
              <w:top w:w="30" w:type="dxa"/>
              <w:left w:w="70" w:type="dxa"/>
              <w:bottom w:w="30" w:type="dxa"/>
              <w:right w:w="70" w:type="dxa"/>
            </w:tcMar>
          </w:tcPr>
          <w:p w14:paraId="5D11F17E" w14:textId="77777777" w:rsidR="0014218F" w:rsidRDefault="00000000">
            <w:r>
              <w:rPr>
                <w:sz w:val="18"/>
                <w:szCs w:val="18"/>
              </w:rPr>
              <w:t>Max drawdown</w:t>
            </w:r>
          </w:p>
        </w:tc>
        <w:tc>
          <w:tcPr>
            <w:tcW w:w="3133" w:type="dxa"/>
            <w:tcMar>
              <w:top w:w="30" w:type="dxa"/>
              <w:left w:w="70" w:type="dxa"/>
              <w:bottom w:w="30" w:type="dxa"/>
              <w:right w:w="70" w:type="dxa"/>
            </w:tcMar>
          </w:tcPr>
          <w:p w14:paraId="146A5979" w14:textId="04F214B5" w:rsidR="0014218F" w:rsidRDefault="00A2596B">
            <w:pPr>
              <w:jc w:val="center"/>
            </w:pPr>
            <w:r>
              <w:rPr>
                <w:sz w:val="18"/>
                <w:szCs w:val="18"/>
              </w:rPr>
              <w:t>-</w:t>
            </w:r>
            <w:r w:rsidR="00000000">
              <w:rPr>
                <w:sz w:val="18"/>
                <w:szCs w:val="18"/>
              </w:rPr>
              <w:t>4.9%</w:t>
            </w:r>
          </w:p>
        </w:tc>
        <w:tc>
          <w:tcPr>
            <w:tcW w:w="3959" w:type="dxa"/>
            <w:tcMar>
              <w:top w:w="30" w:type="dxa"/>
              <w:left w:w="70" w:type="dxa"/>
              <w:bottom w:w="30" w:type="dxa"/>
              <w:right w:w="70" w:type="dxa"/>
            </w:tcMar>
          </w:tcPr>
          <w:p w14:paraId="4EF7439C" w14:textId="696FDBB2" w:rsidR="0014218F" w:rsidRDefault="00A2596B">
            <w:pPr>
              <w:jc w:val="center"/>
            </w:pPr>
            <w:r>
              <w:rPr>
                <w:sz w:val="18"/>
                <w:szCs w:val="18"/>
              </w:rPr>
              <w:t>-</w:t>
            </w:r>
            <w:r w:rsidR="00000000">
              <w:rPr>
                <w:sz w:val="18"/>
                <w:szCs w:val="18"/>
              </w:rPr>
              <w:t>12.3%</w:t>
            </w:r>
          </w:p>
        </w:tc>
      </w:tr>
      <w:tr w:rsidR="00A2596B" w14:paraId="7647FC38" w14:textId="77777777" w:rsidTr="00A2596B">
        <w:tblPrEx>
          <w:tblCellMar>
            <w:top w:w="0" w:type="dxa"/>
            <w:bottom w:w="0" w:type="dxa"/>
          </w:tblCellMar>
        </w:tblPrEx>
        <w:tc>
          <w:tcPr>
            <w:tcW w:w="2654" w:type="dxa"/>
            <w:shd w:val="clear" w:color="auto" w:fill="F2F4F7"/>
            <w:tcMar>
              <w:top w:w="30" w:type="dxa"/>
              <w:left w:w="70" w:type="dxa"/>
              <w:bottom w:w="30" w:type="dxa"/>
              <w:right w:w="70" w:type="dxa"/>
            </w:tcMar>
          </w:tcPr>
          <w:p w14:paraId="6074CC4A" w14:textId="77777777" w:rsidR="0014218F" w:rsidRDefault="00000000">
            <w:r>
              <w:rPr>
                <w:sz w:val="18"/>
                <w:szCs w:val="18"/>
              </w:rPr>
              <w:t>Realised volatility</w:t>
            </w:r>
          </w:p>
        </w:tc>
        <w:tc>
          <w:tcPr>
            <w:tcW w:w="3133" w:type="dxa"/>
            <w:shd w:val="clear" w:color="auto" w:fill="F2F4F7"/>
            <w:tcMar>
              <w:top w:w="30" w:type="dxa"/>
              <w:left w:w="70" w:type="dxa"/>
              <w:bottom w:w="30" w:type="dxa"/>
              <w:right w:w="70" w:type="dxa"/>
            </w:tcMar>
          </w:tcPr>
          <w:p w14:paraId="7BCE0BF8" w14:textId="77777777" w:rsidR="0014218F" w:rsidRDefault="00000000">
            <w:pPr>
              <w:jc w:val="center"/>
            </w:pPr>
            <w:r>
              <w:rPr>
                <w:sz w:val="18"/>
                <w:szCs w:val="18"/>
              </w:rPr>
              <w:t>5.24%</w:t>
            </w:r>
          </w:p>
        </w:tc>
        <w:tc>
          <w:tcPr>
            <w:tcW w:w="3959" w:type="dxa"/>
            <w:shd w:val="clear" w:color="auto" w:fill="F2F4F7"/>
            <w:tcMar>
              <w:top w:w="30" w:type="dxa"/>
              <w:left w:w="70" w:type="dxa"/>
              <w:bottom w:w="30" w:type="dxa"/>
              <w:right w:w="70" w:type="dxa"/>
            </w:tcMar>
          </w:tcPr>
          <w:p w14:paraId="2AAE282C" w14:textId="77777777" w:rsidR="0014218F" w:rsidRDefault="00000000">
            <w:pPr>
              <w:jc w:val="center"/>
            </w:pPr>
            <w:r>
              <w:rPr>
                <w:sz w:val="18"/>
                <w:szCs w:val="18"/>
              </w:rPr>
              <w:t>8.7%</w:t>
            </w:r>
          </w:p>
        </w:tc>
      </w:tr>
      <w:tr w:rsidR="00A2596B" w14:paraId="669614C4" w14:textId="77777777" w:rsidTr="00A2596B">
        <w:tblPrEx>
          <w:tblCellMar>
            <w:top w:w="0" w:type="dxa"/>
            <w:bottom w:w="0" w:type="dxa"/>
          </w:tblCellMar>
        </w:tblPrEx>
        <w:tc>
          <w:tcPr>
            <w:tcW w:w="2654" w:type="dxa"/>
            <w:tcMar>
              <w:top w:w="30" w:type="dxa"/>
              <w:left w:w="70" w:type="dxa"/>
              <w:bottom w:w="30" w:type="dxa"/>
              <w:right w:w="70" w:type="dxa"/>
            </w:tcMar>
          </w:tcPr>
          <w:p w14:paraId="42A3E130" w14:textId="77777777" w:rsidR="0014218F" w:rsidRDefault="00000000">
            <w:r>
              <w:rPr>
                <w:sz w:val="18"/>
                <w:szCs w:val="18"/>
              </w:rPr>
              <w:t>Correlation with ERC</w:t>
            </w:r>
          </w:p>
        </w:tc>
        <w:tc>
          <w:tcPr>
            <w:tcW w:w="3133" w:type="dxa"/>
            <w:tcMar>
              <w:top w:w="30" w:type="dxa"/>
              <w:left w:w="70" w:type="dxa"/>
              <w:bottom w:w="30" w:type="dxa"/>
              <w:right w:w="70" w:type="dxa"/>
            </w:tcMar>
          </w:tcPr>
          <w:p w14:paraId="2402B70C" w14:textId="77777777" w:rsidR="0014218F" w:rsidRDefault="00000000">
            <w:pPr>
              <w:jc w:val="center"/>
            </w:pPr>
            <w:r>
              <w:rPr>
                <w:sz w:val="18"/>
                <w:szCs w:val="18"/>
              </w:rPr>
              <w:t>1.00</w:t>
            </w:r>
          </w:p>
        </w:tc>
        <w:tc>
          <w:tcPr>
            <w:tcW w:w="3959" w:type="dxa"/>
            <w:tcMar>
              <w:top w:w="30" w:type="dxa"/>
              <w:left w:w="70" w:type="dxa"/>
              <w:bottom w:w="30" w:type="dxa"/>
              <w:right w:w="70" w:type="dxa"/>
            </w:tcMar>
          </w:tcPr>
          <w:p w14:paraId="1734FB36" w14:textId="77777777" w:rsidR="0014218F" w:rsidRDefault="00000000">
            <w:pPr>
              <w:jc w:val="center"/>
            </w:pPr>
            <w:r>
              <w:rPr>
                <w:sz w:val="18"/>
                <w:szCs w:val="18"/>
              </w:rPr>
              <w:t>0.62</w:t>
            </w:r>
          </w:p>
        </w:tc>
      </w:tr>
    </w:tbl>
    <w:p w14:paraId="26A78E5A" w14:textId="4620C58D" w:rsidR="0014218F" w:rsidRPr="00A2596B" w:rsidRDefault="00A2596B" w:rsidP="00A2596B">
      <w:pPr>
        <w:spacing w:after="80" w:line="264" w:lineRule="auto"/>
        <w:jc w:val="center"/>
        <w:rPr>
          <w:i/>
          <w:iCs/>
          <w:color w:val="555555"/>
          <w:sz w:val="16"/>
          <w:szCs w:val="16"/>
        </w:rPr>
      </w:pPr>
      <w:r w:rsidRPr="00A2596B">
        <w:rPr>
          <w:i/>
          <w:iCs/>
          <w:color w:val="555555"/>
          <w:sz w:val="16"/>
          <w:szCs w:val="16"/>
        </w:rPr>
        <w:t>Table 7</w:t>
      </w:r>
      <w:r w:rsidRPr="00A2596B">
        <w:rPr>
          <w:i/>
          <w:iCs/>
          <w:color w:val="555555"/>
          <w:sz w:val="16"/>
          <w:szCs w:val="16"/>
        </w:rPr>
        <w:t>:</w:t>
      </w:r>
      <w:r w:rsidRPr="00A2596B">
        <w:rPr>
          <w:i/>
          <w:iCs/>
          <w:color w:val="555555"/>
          <w:sz w:val="16"/>
          <w:szCs w:val="16"/>
        </w:rPr>
        <w:t xml:space="preserve"> Risk parity versus factor-replication portfolios (OOS).</w:t>
      </w:r>
    </w:p>
    <w:p w14:paraId="050CE2CC" w14:textId="5C254C32" w:rsidR="0014218F" w:rsidRDefault="00000000">
      <w:pPr>
        <w:spacing w:after="100" w:line="264" w:lineRule="auto"/>
        <w:jc w:val="both"/>
      </w:pPr>
      <w:r>
        <w:t>A natural extension that we leave for future work is a factor-tilted risk-parity hybrid</w:t>
      </w:r>
      <w:r w:rsidR="00A2596B">
        <w:t>,</w:t>
      </w:r>
      <w:r>
        <w:t xml:space="preserve"> using ERC for the risk budget allocation and factor replication for the within-sleeve construction</w:t>
      </w:r>
      <w:r w:rsidR="00A2596B">
        <w:t>,</w:t>
      </w:r>
      <w:r>
        <w:t xml:space="preserve"> which would potentially combine the diversification of the former with the premia capture of the latter.</w:t>
      </w:r>
    </w:p>
    <w:p w14:paraId="5A656641" w14:textId="77777777" w:rsidR="0014218F" w:rsidRDefault="00000000">
      <w:pPr>
        <w:pStyle w:val="Heading1"/>
        <w:spacing w:line="264" w:lineRule="auto"/>
      </w:pPr>
      <w:r>
        <w:t>6. Robustness</w:t>
      </w:r>
    </w:p>
    <w:p w14:paraId="7F10A3A7" w14:textId="77777777" w:rsidR="0014218F" w:rsidRDefault="00000000">
      <w:pPr>
        <w:pStyle w:val="Heading2"/>
        <w:spacing w:line="264" w:lineRule="auto"/>
      </w:pPr>
      <w:r>
        <w:t>6.1 Gold Ablation</w:t>
      </w:r>
    </w:p>
    <w:p w14:paraId="3C6327EB" w14:textId="10B6F011" w:rsidR="0014218F" w:rsidRDefault="00000000">
      <w:pPr>
        <w:spacing w:after="100" w:line="264" w:lineRule="auto"/>
        <w:jc w:val="both"/>
      </w:pPr>
      <w:r>
        <w:t>The role of gold in 2024</w:t>
      </w:r>
      <w:r w:rsidR="00A2596B">
        <w:t>-</w:t>
      </w:r>
      <w:r>
        <w:t>2025 is a topical question for Chinese multi-asset investors given the elevated price level. We re-estimate the ERC strategy on the four-asset universe excluding the gold ETF; Table 8 reports the resulting performance against the full five-asset specification. Removing gold reduces the annualised return from 8.94% to 3.89%, leaves volatility essentially unchanged, deteriorates the Sharpe from 1.28 to 0.34, and worsens the maximum drawdown by 127 bps. The Sharpe deterioration of 0.95 is the single largest sensitivity in the entire study.</w:t>
      </w:r>
    </w:p>
    <w:p w14:paraId="42FF2B94" w14:textId="682ECD14" w:rsidR="0014218F" w:rsidRDefault="0014218F">
      <w:pPr>
        <w:spacing w:before="60" w:after="40" w:line="264" w:lineRule="auto"/>
      </w:pPr>
    </w:p>
    <w:tbl>
      <w:tblPr>
        <w:tblW w:w="974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0"/>
        <w:gridCol w:w="2253"/>
        <w:gridCol w:w="2255"/>
        <w:gridCol w:w="2298"/>
      </w:tblGrid>
      <w:tr w:rsidR="00A2596B" w14:paraId="2DE455C5" w14:textId="77777777" w:rsidTr="00A2596B">
        <w:tblPrEx>
          <w:tblCellMar>
            <w:top w:w="0" w:type="dxa"/>
            <w:bottom w:w="0" w:type="dxa"/>
          </w:tblCellMar>
        </w:tblPrEx>
        <w:trPr>
          <w:tblHeader/>
        </w:trPr>
        <w:tc>
          <w:tcPr>
            <w:tcW w:w="2940" w:type="dxa"/>
            <w:shd w:val="clear" w:color="auto" w:fill="1F3A5F"/>
            <w:tcMar>
              <w:top w:w="30" w:type="dxa"/>
              <w:left w:w="70" w:type="dxa"/>
              <w:bottom w:w="30" w:type="dxa"/>
              <w:right w:w="70" w:type="dxa"/>
            </w:tcMar>
          </w:tcPr>
          <w:p w14:paraId="52379200" w14:textId="77777777" w:rsidR="0014218F" w:rsidRDefault="00000000">
            <w:r>
              <w:rPr>
                <w:b/>
                <w:bCs/>
                <w:color w:val="FFFFFF"/>
                <w:sz w:val="18"/>
                <w:szCs w:val="18"/>
              </w:rPr>
              <w:t>Metric</w:t>
            </w:r>
          </w:p>
        </w:tc>
        <w:tc>
          <w:tcPr>
            <w:tcW w:w="2253" w:type="dxa"/>
            <w:shd w:val="clear" w:color="auto" w:fill="1F3A5F"/>
            <w:tcMar>
              <w:top w:w="30" w:type="dxa"/>
              <w:left w:w="70" w:type="dxa"/>
              <w:bottom w:w="30" w:type="dxa"/>
              <w:right w:w="70" w:type="dxa"/>
            </w:tcMar>
          </w:tcPr>
          <w:p w14:paraId="38E8DD8C" w14:textId="77777777" w:rsidR="0014218F" w:rsidRDefault="00000000">
            <w:r>
              <w:rPr>
                <w:b/>
                <w:bCs/>
                <w:color w:val="FFFFFF"/>
                <w:sz w:val="18"/>
                <w:szCs w:val="18"/>
              </w:rPr>
              <w:t>With gold</w:t>
            </w:r>
          </w:p>
        </w:tc>
        <w:tc>
          <w:tcPr>
            <w:tcW w:w="2255" w:type="dxa"/>
            <w:shd w:val="clear" w:color="auto" w:fill="1F3A5F"/>
            <w:tcMar>
              <w:top w:w="30" w:type="dxa"/>
              <w:left w:w="70" w:type="dxa"/>
              <w:bottom w:w="30" w:type="dxa"/>
              <w:right w:w="70" w:type="dxa"/>
            </w:tcMar>
          </w:tcPr>
          <w:p w14:paraId="58880BA4" w14:textId="77777777" w:rsidR="0014218F" w:rsidRDefault="00000000">
            <w:r>
              <w:rPr>
                <w:b/>
                <w:bCs/>
                <w:color w:val="FFFFFF"/>
                <w:sz w:val="18"/>
                <w:szCs w:val="18"/>
              </w:rPr>
              <w:t>Without gold</w:t>
            </w:r>
          </w:p>
        </w:tc>
        <w:tc>
          <w:tcPr>
            <w:tcW w:w="2298" w:type="dxa"/>
            <w:shd w:val="clear" w:color="auto" w:fill="1F3A5F"/>
            <w:tcMar>
              <w:top w:w="30" w:type="dxa"/>
              <w:left w:w="70" w:type="dxa"/>
              <w:bottom w:w="30" w:type="dxa"/>
              <w:right w:w="70" w:type="dxa"/>
            </w:tcMar>
          </w:tcPr>
          <w:p w14:paraId="76336CDD" w14:textId="77777777" w:rsidR="0014218F" w:rsidRDefault="00000000">
            <w:r>
              <w:rPr>
                <w:b/>
                <w:bCs/>
                <w:color w:val="FFFFFF"/>
                <w:sz w:val="18"/>
                <w:szCs w:val="18"/>
              </w:rPr>
              <w:t>Δ</w:t>
            </w:r>
          </w:p>
        </w:tc>
      </w:tr>
      <w:tr w:rsidR="00A2596B" w14:paraId="79030F9E" w14:textId="77777777" w:rsidTr="00A2596B">
        <w:tblPrEx>
          <w:tblCellMar>
            <w:top w:w="0" w:type="dxa"/>
            <w:bottom w:w="0" w:type="dxa"/>
          </w:tblCellMar>
        </w:tblPrEx>
        <w:tc>
          <w:tcPr>
            <w:tcW w:w="2940" w:type="dxa"/>
            <w:tcMar>
              <w:top w:w="30" w:type="dxa"/>
              <w:left w:w="70" w:type="dxa"/>
              <w:bottom w:w="30" w:type="dxa"/>
              <w:right w:w="70" w:type="dxa"/>
            </w:tcMar>
          </w:tcPr>
          <w:p w14:paraId="2BBB273B" w14:textId="77777777" w:rsidR="0014218F" w:rsidRDefault="00000000">
            <w:r>
              <w:rPr>
                <w:sz w:val="18"/>
                <w:szCs w:val="18"/>
              </w:rPr>
              <w:t>Annualised return</w:t>
            </w:r>
          </w:p>
        </w:tc>
        <w:tc>
          <w:tcPr>
            <w:tcW w:w="2253" w:type="dxa"/>
            <w:tcMar>
              <w:top w:w="30" w:type="dxa"/>
              <w:left w:w="70" w:type="dxa"/>
              <w:bottom w:w="30" w:type="dxa"/>
              <w:right w:w="70" w:type="dxa"/>
            </w:tcMar>
          </w:tcPr>
          <w:p w14:paraId="45DCD2E8" w14:textId="77777777" w:rsidR="0014218F" w:rsidRDefault="00000000">
            <w:pPr>
              <w:jc w:val="center"/>
            </w:pPr>
            <w:r>
              <w:rPr>
                <w:sz w:val="18"/>
                <w:szCs w:val="18"/>
              </w:rPr>
              <w:t>8.94%</w:t>
            </w:r>
          </w:p>
        </w:tc>
        <w:tc>
          <w:tcPr>
            <w:tcW w:w="2255" w:type="dxa"/>
            <w:tcMar>
              <w:top w:w="30" w:type="dxa"/>
              <w:left w:w="70" w:type="dxa"/>
              <w:bottom w:w="30" w:type="dxa"/>
              <w:right w:w="70" w:type="dxa"/>
            </w:tcMar>
          </w:tcPr>
          <w:p w14:paraId="4393EB44" w14:textId="77777777" w:rsidR="0014218F" w:rsidRDefault="00000000">
            <w:pPr>
              <w:jc w:val="center"/>
            </w:pPr>
            <w:r>
              <w:rPr>
                <w:sz w:val="18"/>
                <w:szCs w:val="18"/>
              </w:rPr>
              <w:t>3.89%</w:t>
            </w:r>
          </w:p>
        </w:tc>
        <w:tc>
          <w:tcPr>
            <w:tcW w:w="2298" w:type="dxa"/>
            <w:tcMar>
              <w:top w:w="30" w:type="dxa"/>
              <w:left w:w="70" w:type="dxa"/>
              <w:bottom w:w="30" w:type="dxa"/>
              <w:right w:w="70" w:type="dxa"/>
            </w:tcMar>
          </w:tcPr>
          <w:p w14:paraId="1CB57981" w14:textId="2B8B50AD" w:rsidR="0014218F" w:rsidRDefault="00A2596B">
            <w:pPr>
              <w:jc w:val="center"/>
            </w:pPr>
            <w:r>
              <w:rPr>
                <w:sz w:val="18"/>
                <w:szCs w:val="18"/>
              </w:rPr>
              <w:t>-</w:t>
            </w:r>
            <w:r w:rsidR="00000000">
              <w:rPr>
                <w:sz w:val="18"/>
                <w:szCs w:val="18"/>
              </w:rPr>
              <w:t>5.05%</w:t>
            </w:r>
          </w:p>
        </w:tc>
      </w:tr>
      <w:tr w:rsidR="00A2596B" w14:paraId="60C627B8" w14:textId="77777777" w:rsidTr="00A2596B">
        <w:tblPrEx>
          <w:tblCellMar>
            <w:top w:w="0" w:type="dxa"/>
            <w:bottom w:w="0" w:type="dxa"/>
          </w:tblCellMar>
        </w:tblPrEx>
        <w:tc>
          <w:tcPr>
            <w:tcW w:w="2940" w:type="dxa"/>
            <w:shd w:val="clear" w:color="auto" w:fill="F2F4F7"/>
            <w:tcMar>
              <w:top w:w="30" w:type="dxa"/>
              <w:left w:w="70" w:type="dxa"/>
              <w:bottom w:w="30" w:type="dxa"/>
              <w:right w:w="70" w:type="dxa"/>
            </w:tcMar>
          </w:tcPr>
          <w:p w14:paraId="057B24BA" w14:textId="77777777" w:rsidR="0014218F" w:rsidRDefault="00000000">
            <w:r>
              <w:rPr>
                <w:sz w:val="18"/>
                <w:szCs w:val="18"/>
              </w:rPr>
              <w:t>Annualised volatility</w:t>
            </w:r>
          </w:p>
        </w:tc>
        <w:tc>
          <w:tcPr>
            <w:tcW w:w="2253" w:type="dxa"/>
            <w:shd w:val="clear" w:color="auto" w:fill="F2F4F7"/>
            <w:tcMar>
              <w:top w:w="30" w:type="dxa"/>
              <w:left w:w="70" w:type="dxa"/>
              <w:bottom w:w="30" w:type="dxa"/>
              <w:right w:w="70" w:type="dxa"/>
            </w:tcMar>
          </w:tcPr>
          <w:p w14:paraId="603C9E81" w14:textId="77777777" w:rsidR="0014218F" w:rsidRDefault="00000000">
            <w:pPr>
              <w:jc w:val="center"/>
            </w:pPr>
            <w:r>
              <w:rPr>
                <w:sz w:val="18"/>
                <w:szCs w:val="18"/>
              </w:rPr>
              <w:t>5.24%</w:t>
            </w:r>
          </w:p>
        </w:tc>
        <w:tc>
          <w:tcPr>
            <w:tcW w:w="2255" w:type="dxa"/>
            <w:shd w:val="clear" w:color="auto" w:fill="F2F4F7"/>
            <w:tcMar>
              <w:top w:w="30" w:type="dxa"/>
              <w:left w:w="70" w:type="dxa"/>
              <w:bottom w:w="30" w:type="dxa"/>
              <w:right w:w="70" w:type="dxa"/>
            </w:tcMar>
          </w:tcPr>
          <w:p w14:paraId="109997C7" w14:textId="77777777" w:rsidR="0014218F" w:rsidRDefault="00000000">
            <w:pPr>
              <w:jc w:val="center"/>
            </w:pPr>
            <w:r>
              <w:rPr>
                <w:sz w:val="18"/>
                <w:szCs w:val="18"/>
              </w:rPr>
              <w:t>5.01%</w:t>
            </w:r>
          </w:p>
        </w:tc>
        <w:tc>
          <w:tcPr>
            <w:tcW w:w="2298" w:type="dxa"/>
            <w:shd w:val="clear" w:color="auto" w:fill="F2F4F7"/>
            <w:tcMar>
              <w:top w:w="30" w:type="dxa"/>
              <w:left w:w="70" w:type="dxa"/>
              <w:bottom w:w="30" w:type="dxa"/>
              <w:right w:w="70" w:type="dxa"/>
            </w:tcMar>
          </w:tcPr>
          <w:p w14:paraId="6F6069C2" w14:textId="7304BBC3" w:rsidR="0014218F" w:rsidRDefault="00A2596B">
            <w:pPr>
              <w:jc w:val="center"/>
            </w:pPr>
            <w:r>
              <w:rPr>
                <w:sz w:val="18"/>
                <w:szCs w:val="18"/>
              </w:rPr>
              <w:t>-</w:t>
            </w:r>
            <w:r w:rsidR="00000000">
              <w:rPr>
                <w:sz w:val="18"/>
                <w:szCs w:val="18"/>
              </w:rPr>
              <w:t>0.23%</w:t>
            </w:r>
          </w:p>
        </w:tc>
      </w:tr>
      <w:tr w:rsidR="00A2596B" w14:paraId="4EEF9E05" w14:textId="77777777" w:rsidTr="00A2596B">
        <w:tblPrEx>
          <w:tblCellMar>
            <w:top w:w="0" w:type="dxa"/>
            <w:bottom w:w="0" w:type="dxa"/>
          </w:tblCellMar>
        </w:tblPrEx>
        <w:tc>
          <w:tcPr>
            <w:tcW w:w="2940" w:type="dxa"/>
            <w:tcMar>
              <w:top w:w="30" w:type="dxa"/>
              <w:left w:w="70" w:type="dxa"/>
              <w:bottom w:w="30" w:type="dxa"/>
              <w:right w:w="70" w:type="dxa"/>
            </w:tcMar>
          </w:tcPr>
          <w:p w14:paraId="2CEE9B6E" w14:textId="77777777" w:rsidR="0014218F" w:rsidRDefault="00000000">
            <w:r>
              <w:rPr>
                <w:sz w:val="18"/>
                <w:szCs w:val="18"/>
              </w:rPr>
              <w:t>Sharpe ratio</w:t>
            </w:r>
          </w:p>
        </w:tc>
        <w:tc>
          <w:tcPr>
            <w:tcW w:w="2253" w:type="dxa"/>
            <w:tcMar>
              <w:top w:w="30" w:type="dxa"/>
              <w:left w:w="70" w:type="dxa"/>
              <w:bottom w:w="30" w:type="dxa"/>
              <w:right w:w="70" w:type="dxa"/>
            </w:tcMar>
          </w:tcPr>
          <w:p w14:paraId="58CD9FC7" w14:textId="77777777" w:rsidR="0014218F" w:rsidRDefault="00000000">
            <w:pPr>
              <w:jc w:val="center"/>
            </w:pPr>
            <w:r>
              <w:rPr>
                <w:sz w:val="18"/>
                <w:szCs w:val="18"/>
              </w:rPr>
              <w:t>1.28</w:t>
            </w:r>
          </w:p>
        </w:tc>
        <w:tc>
          <w:tcPr>
            <w:tcW w:w="2255" w:type="dxa"/>
            <w:tcMar>
              <w:top w:w="30" w:type="dxa"/>
              <w:left w:w="70" w:type="dxa"/>
              <w:bottom w:w="30" w:type="dxa"/>
              <w:right w:w="70" w:type="dxa"/>
            </w:tcMar>
          </w:tcPr>
          <w:p w14:paraId="637786CF" w14:textId="77777777" w:rsidR="0014218F" w:rsidRDefault="00000000">
            <w:pPr>
              <w:jc w:val="center"/>
            </w:pPr>
            <w:r>
              <w:rPr>
                <w:sz w:val="18"/>
                <w:szCs w:val="18"/>
              </w:rPr>
              <w:t>0.34</w:t>
            </w:r>
          </w:p>
        </w:tc>
        <w:tc>
          <w:tcPr>
            <w:tcW w:w="2298" w:type="dxa"/>
            <w:tcMar>
              <w:top w:w="30" w:type="dxa"/>
              <w:left w:w="70" w:type="dxa"/>
              <w:bottom w:w="30" w:type="dxa"/>
              <w:right w:w="70" w:type="dxa"/>
            </w:tcMar>
          </w:tcPr>
          <w:p w14:paraId="7B7B9427" w14:textId="101F7A0E" w:rsidR="0014218F" w:rsidRDefault="00A2596B">
            <w:pPr>
              <w:jc w:val="center"/>
            </w:pPr>
            <w:r>
              <w:rPr>
                <w:sz w:val="18"/>
                <w:szCs w:val="18"/>
              </w:rPr>
              <w:t>-</w:t>
            </w:r>
            <w:r w:rsidR="00000000">
              <w:rPr>
                <w:sz w:val="18"/>
                <w:szCs w:val="18"/>
              </w:rPr>
              <w:t>0.95</w:t>
            </w:r>
          </w:p>
        </w:tc>
      </w:tr>
      <w:tr w:rsidR="00A2596B" w14:paraId="0F021445" w14:textId="77777777" w:rsidTr="00A2596B">
        <w:tblPrEx>
          <w:tblCellMar>
            <w:top w:w="0" w:type="dxa"/>
            <w:bottom w:w="0" w:type="dxa"/>
          </w:tblCellMar>
        </w:tblPrEx>
        <w:tc>
          <w:tcPr>
            <w:tcW w:w="2940" w:type="dxa"/>
            <w:shd w:val="clear" w:color="auto" w:fill="F2F4F7"/>
            <w:tcMar>
              <w:top w:w="30" w:type="dxa"/>
              <w:left w:w="70" w:type="dxa"/>
              <w:bottom w:w="30" w:type="dxa"/>
              <w:right w:w="70" w:type="dxa"/>
            </w:tcMar>
          </w:tcPr>
          <w:p w14:paraId="598DF769" w14:textId="77777777" w:rsidR="0014218F" w:rsidRDefault="00000000">
            <w:r>
              <w:rPr>
                <w:sz w:val="18"/>
                <w:szCs w:val="18"/>
              </w:rPr>
              <w:t>Maximum drawdown</w:t>
            </w:r>
          </w:p>
        </w:tc>
        <w:tc>
          <w:tcPr>
            <w:tcW w:w="2253" w:type="dxa"/>
            <w:shd w:val="clear" w:color="auto" w:fill="F2F4F7"/>
            <w:tcMar>
              <w:top w:w="30" w:type="dxa"/>
              <w:left w:w="70" w:type="dxa"/>
              <w:bottom w:w="30" w:type="dxa"/>
              <w:right w:w="70" w:type="dxa"/>
            </w:tcMar>
          </w:tcPr>
          <w:p w14:paraId="36596FEE" w14:textId="101FCEA1" w:rsidR="0014218F" w:rsidRDefault="00A2596B">
            <w:pPr>
              <w:jc w:val="center"/>
            </w:pPr>
            <w:r>
              <w:rPr>
                <w:sz w:val="18"/>
                <w:szCs w:val="18"/>
              </w:rPr>
              <w:t>-</w:t>
            </w:r>
            <w:r w:rsidR="00000000">
              <w:rPr>
                <w:sz w:val="18"/>
                <w:szCs w:val="18"/>
              </w:rPr>
              <w:t>4.93%</w:t>
            </w:r>
          </w:p>
        </w:tc>
        <w:tc>
          <w:tcPr>
            <w:tcW w:w="2255" w:type="dxa"/>
            <w:shd w:val="clear" w:color="auto" w:fill="F2F4F7"/>
            <w:tcMar>
              <w:top w:w="30" w:type="dxa"/>
              <w:left w:w="70" w:type="dxa"/>
              <w:bottom w:w="30" w:type="dxa"/>
              <w:right w:w="70" w:type="dxa"/>
            </w:tcMar>
          </w:tcPr>
          <w:p w14:paraId="2027CFCF" w14:textId="486B7271" w:rsidR="0014218F" w:rsidRDefault="00A2596B">
            <w:pPr>
              <w:jc w:val="center"/>
            </w:pPr>
            <w:r>
              <w:rPr>
                <w:sz w:val="18"/>
                <w:szCs w:val="18"/>
              </w:rPr>
              <w:t>-</w:t>
            </w:r>
            <w:r w:rsidR="00000000">
              <w:rPr>
                <w:sz w:val="18"/>
                <w:szCs w:val="18"/>
              </w:rPr>
              <w:t>6.20%</w:t>
            </w:r>
          </w:p>
        </w:tc>
        <w:tc>
          <w:tcPr>
            <w:tcW w:w="2298" w:type="dxa"/>
            <w:shd w:val="clear" w:color="auto" w:fill="F2F4F7"/>
            <w:tcMar>
              <w:top w:w="30" w:type="dxa"/>
              <w:left w:w="70" w:type="dxa"/>
              <w:bottom w:w="30" w:type="dxa"/>
              <w:right w:w="70" w:type="dxa"/>
            </w:tcMar>
          </w:tcPr>
          <w:p w14:paraId="325C0394" w14:textId="1D095415" w:rsidR="0014218F" w:rsidRDefault="00A2596B">
            <w:pPr>
              <w:jc w:val="center"/>
            </w:pPr>
            <w:r>
              <w:rPr>
                <w:sz w:val="18"/>
                <w:szCs w:val="18"/>
              </w:rPr>
              <w:t>-</w:t>
            </w:r>
            <w:r w:rsidR="00000000">
              <w:rPr>
                <w:sz w:val="18"/>
                <w:szCs w:val="18"/>
              </w:rPr>
              <w:t>1.27%</w:t>
            </w:r>
          </w:p>
        </w:tc>
      </w:tr>
    </w:tbl>
    <w:p w14:paraId="5DD043D3" w14:textId="667E7013" w:rsidR="0014218F" w:rsidRPr="00A2596B" w:rsidRDefault="00A2596B" w:rsidP="00A2596B">
      <w:pPr>
        <w:spacing w:after="80" w:line="264" w:lineRule="auto"/>
        <w:jc w:val="center"/>
        <w:rPr>
          <w:i/>
          <w:iCs/>
          <w:color w:val="555555"/>
          <w:sz w:val="16"/>
          <w:szCs w:val="16"/>
        </w:rPr>
      </w:pPr>
      <w:r w:rsidRPr="00A2596B">
        <w:rPr>
          <w:i/>
          <w:iCs/>
          <w:color w:val="555555"/>
          <w:sz w:val="16"/>
          <w:szCs w:val="16"/>
        </w:rPr>
        <w:t>Table 8 — Gold ablation, ERC (5%) strategy, OOS.</w:t>
      </w:r>
    </w:p>
    <w:p w14:paraId="19C6EEAA" w14:textId="76157A2B" w:rsidR="0014218F" w:rsidRDefault="00000000">
      <w:pPr>
        <w:spacing w:after="100" w:line="264" w:lineRule="auto"/>
        <w:jc w:val="both"/>
      </w:pPr>
      <w:r>
        <w:t>Decomposing this effect by regime, gold's contribution is concentrated in the 2022 bear market</w:t>
      </w:r>
      <w:r w:rsidR="00A2596B">
        <w:t>,</w:t>
      </w:r>
      <w:r>
        <w:t xml:space="preserve"> where its safe-haven characteristics provided positive returns precisely when equities were falling</w:t>
      </w:r>
      <w:r w:rsidR="00A2596B">
        <w:t>,</w:t>
      </w:r>
      <w:r>
        <w:t xml:space="preserve"> and in the 2024–2025 rally, where its appreciation alongside equities lifted the cumulative path. The conclusion of the ablation is therefore unambiguous: in a multi-asset portfolio constructed under a risk-parity rule, gold remains a materially valuable diversifier through 2025.</w:t>
      </w:r>
    </w:p>
    <w:p w14:paraId="7FBEB0A4" w14:textId="77777777" w:rsidR="0014218F" w:rsidRDefault="00000000">
      <w:pPr>
        <w:pStyle w:val="Heading2"/>
        <w:spacing w:line="264" w:lineRule="auto"/>
      </w:pPr>
      <w:r>
        <w:t>6.2 Drawdown Profile</w:t>
      </w:r>
    </w:p>
    <w:p w14:paraId="518B8F52" w14:textId="77777777" w:rsidR="0014218F" w:rsidRDefault="00000000">
      <w:pPr>
        <w:spacing w:after="100" w:line="264" w:lineRule="auto"/>
        <w:jc w:val="both"/>
      </w:pPr>
      <w:r>
        <w:t>Figure 2 displays the OOS drawdown trajectories. ERC and the official CSI MARP exhibit shallow, mean-reverting drawdowns that recover within months; equal weight and MARP replication exhibit deeper, slower recoveries; HRP shows almost no drawdown but at the cost of negligible return. The pattern provides direct visual confirmation that the volatility overlay translates into the desired drawdown control.</w:t>
      </w:r>
    </w:p>
    <w:p w14:paraId="72060D7C" w14:textId="77777777" w:rsidR="0014218F" w:rsidRDefault="00000000">
      <w:pPr>
        <w:spacing w:before="80" w:after="40"/>
        <w:jc w:val="center"/>
      </w:pPr>
      <w:r>
        <w:rPr>
          <w:noProof/>
        </w:rPr>
        <w:drawing>
          <wp:inline distT="0" distB="0" distL="0" distR="0" wp14:anchorId="0CC898FA" wp14:editId="06A16632">
            <wp:extent cx="4476750" cy="1828800"/>
            <wp:effectExtent l="0" t="0" r="0" b="0"/>
            <wp:docPr id="1531615902" name="Picture 1531615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1828800"/>
                    </a:xfrm>
                    <a:prstGeom prst="rect">
                      <a:avLst/>
                    </a:prstGeom>
                  </pic:spPr>
                </pic:pic>
              </a:graphicData>
            </a:graphic>
          </wp:inline>
        </w:drawing>
      </w:r>
    </w:p>
    <w:p w14:paraId="6D403FEF" w14:textId="77777777" w:rsidR="0014218F" w:rsidRDefault="00000000">
      <w:pPr>
        <w:spacing w:after="80" w:line="264" w:lineRule="auto"/>
        <w:jc w:val="center"/>
      </w:pPr>
      <w:r>
        <w:rPr>
          <w:i/>
          <w:iCs/>
          <w:color w:val="555555"/>
          <w:sz w:val="16"/>
          <w:szCs w:val="16"/>
        </w:rPr>
        <w:t>Figure 2 — Drawdown trajectories, OOS.</w:t>
      </w:r>
    </w:p>
    <w:p w14:paraId="54E1B79F" w14:textId="77777777" w:rsidR="0014218F" w:rsidRDefault="00000000">
      <w:pPr>
        <w:pStyle w:val="Heading2"/>
        <w:spacing w:line="264" w:lineRule="auto"/>
      </w:pPr>
      <w:r>
        <w:t>6.3 Cost Sensitivity and HRP Diagnostic</w:t>
      </w:r>
    </w:p>
    <w:p w14:paraId="724E3C14" w14:textId="25F2B8EF" w:rsidR="0014218F" w:rsidRDefault="00000000">
      <w:pPr>
        <w:spacing w:after="100" w:line="264" w:lineRule="auto"/>
        <w:jc w:val="both"/>
      </w:pPr>
      <w:r>
        <w:t>Table 9 stress-tests the ERC Sharpe ratio against transaction costs. The strategy remains Sharpe-positive at any realistic cost level for Chinese ETFs (typically 5–10 bps one-way). Even at 100 bps</w:t>
      </w:r>
      <w:r w:rsidR="007C3EF7">
        <w:t>,</w:t>
      </w:r>
      <w:r>
        <w:t xml:space="preserve"> an order of magnitude above realistic friction</w:t>
      </w:r>
      <w:r w:rsidR="007C3EF7">
        <w:t>,</w:t>
      </w:r>
      <w:r>
        <w:t xml:space="preserve"> the Sharpe remains at 0.77.</w:t>
      </w:r>
    </w:p>
    <w:p w14:paraId="3E63CBFE" w14:textId="3DAC1129" w:rsidR="0014218F" w:rsidRDefault="0014218F">
      <w:pPr>
        <w:spacing w:before="60" w:after="40" w:line="264" w:lineRule="auto"/>
      </w:pPr>
    </w:p>
    <w:tbl>
      <w:tblPr>
        <w:tblW w:w="974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3"/>
        <w:gridCol w:w="1470"/>
        <w:gridCol w:w="1470"/>
        <w:gridCol w:w="1470"/>
        <w:gridCol w:w="1470"/>
        <w:gridCol w:w="1373"/>
      </w:tblGrid>
      <w:tr w:rsidR="00A2596B" w14:paraId="4557A0B6" w14:textId="77777777" w:rsidTr="00A2596B">
        <w:tblPrEx>
          <w:tblCellMar>
            <w:top w:w="0" w:type="dxa"/>
            <w:bottom w:w="0" w:type="dxa"/>
          </w:tblCellMar>
        </w:tblPrEx>
        <w:trPr>
          <w:tblHeader/>
        </w:trPr>
        <w:tc>
          <w:tcPr>
            <w:tcW w:w="2493" w:type="dxa"/>
            <w:shd w:val="clear" w:color="auto" w:fill="1F3A5F"/>
            <w:tcMar>
              <w:top w:w="30" w:type="dxa"/>
              <w:left w:w="70" w:type="dxa"/>
              <w:bottom w:w="30" w:type="dxa"/>
              <w:right w:w="70" w:type="dxa"/>
            </w:tcMar>
          </w:tcPr>
          <w:p w14:paraId="1595AB5D" w14:textId="77777777" w:rsidR="0014218F" w:rsidRDefault="00000000">
            <w:r>
              <w:rPr>
                <w:b/>
                <w:bCs/>
                <w:color w:val="FFFFFF"/>
                <w:sz w:val="18"/>
                <w:szCs w:val="18"/>
              </w:rPr>
              <w:lastRenderedPageBreak/>
              <w:t>One-way cost (bps)</w:t>
            </w:r>
          </w:p>
        </w:tc>
        <w:tc>
          <w:tcPr>
            <w:tcW w:w="1470" w:type="dxa"/>
            <w:shd w:val="clear" w:color="auto" w:fill="1F3A5F"/>
            <w:tcMar>
              <w:top w:w="30" w:type="dxa"/>
              <w:left w:w="70" w:type="dxa"/>
              <w:bottom w:w="30" w:type="dxa"/>
              <w:right w:w="70" w:type="dxa"/>
            </w:tcMar>
          </w:tcPr>
          <w:p w14:paraId="29DBCB54" w14:textId="77777777" w:rsidR="0014218F" w:rsidRDefault="00000000">
            <w:r>
              <w:rPr>
                <w:b/>
                <w:bCs/>
                <w:color w:val="FFFFFF"/>
                <w:sz w:val="18"/>
                <w:szCs w:val="18"/>
              </w:rPr>
              <w:t>0</w:t>
            </w:r>
          </w:p>
        </w:tc>
        <w:tc>
          <w:tcPr>
            <w:tcW w:w="1470" w:type="dxa"/>
            <w:shd w:val="clear" w:color="auto" w:fill="1F3A5F"/>
            <w:tcMar>
              <w:top w:w="30" w:type="dxa"/>
              <w:left w:w="70" w:type="dxa"/>
              <w:bottom w:w="30" w:type="dxa"/>
              <w:right w:w="70" w:type="dxa"/>
            </w:tcMar>
          </w:tcPr>
          <w:p w14:paraId="7014265C" w14:textId="77777777" w:rsidR="0014218F" w:rsidRDefault="00000000">
            <w:r>
              <w:rPr>
                <w:b/>
                <w:bCs/>
                <w:color w:val="FFFFFF"/>
                <w:sz w:val="18"/>
                <w:szCs w:val="18"/>
              </w:rPr>
              <w:t>10</w:t>
            </w:r>
          </w:p>
        </w:tc>
        <w:tc>
          <w:tcPr>
            <w:tcW w:w="1470" w:type="dxa"/>
            <w:shd w:val="clear" w:color="auto" w:fill="1F3A5F"/>
            <w:tcMar>
              <w:top w:w="30" w:type="dxa"/>
              <w:left w:w="70" w:type="dxa"/>
              <w:bottom w:w="30" w:type="dxa"/>
              <w:right w:w="70" w:type="dxa"/>
            </w:tcMar>
          </w:tcPr>
          <w:p w14:paraId="50109740" w14:textId="77777777" w:rsidR="0014218F" w:rsidRDefault="00000000">
            <w:r>
              <w:rPr>
                <w:b/>
                <w:bCs/>
                <w:color w:val="FFFFFF"/>
                <w:sz w:val="18"/>
                <w:szCs w:val="18"/>
              </w:rPr>
              <w:t>20</w:t>
            </w:r>
          </w:p>
        </w:tc>
        <w:tc>
          <w:tcPr>
            <w:tcW w:w="1470" w:type="dxa"/>
            <w:shd w:val="clear" w:color="auto" w:fill="1F3A5F"/>
            <w:tcMar>
              <w:top w:w="30" w:type="dxa"/>
              <w:left w:w="70" w:type="dxa"/>
              <w:bottom w:w="30" w:type="dxa"/>
              <w:right w:w="70" w:type="dxa"/>
            </w:tcMar>
          </w:tcPr>
          <w:p w14:paraId="27874772" w14:textId="77777777" w:rsidR="0014218F" w:rsidRDefault="00000000">
            <w:r>
              <w:rPr>
                <w:b/>
                <w:bCs/>
                <w:color w:val="FFFFFF"/>
                <w:sz w:val="18"/>
                <w:szCs w:val="18"/>
              </w:rPr>
              <w:t>50</w:t>
            </w:r>
          </w:p>
        </w:tc>
        <w:tc>
          <w:tcPr>
            <w:tcW w:w="1373" w:type="dxa"/>
            <w:shd w:val="clear" w:color="auto" w:fill="1F3A5F"/>
            <w:tcMar>
              <w:top w:w="30" w:type="dxa"/>
              <w:left w:w="70" w:type="dxa"/>
              <w:bottom w:w="30" w:type="dxa"/>
              <w:right w:w="70" w:type="dxa"/>
            </w:tcMar>
          </w:tcPr>
          <w:p w14:paraId="0BCCA80D" w14:textId="77777777" w:rsidR="0014218F" w:rsidRDefault="00000000">
            <w:r>
              <w:rPr>
                <w:b/>
                <w:bCs/>
                <w:color w:val="FFFFFF"/>
                <w:sz w:val="18"/>
                <w:szCs w:val="18"/>
              </w:rPr>
              <w:t>100</w:t>
            </w:r>
          </w:p>
        </w:tc>
      </w:tr>
      <w:tr w:rsidR="00A2596B" w14:paraId="165DB570" w14:textId="77777777" w:rsidTr="00A2596B">
        <w:tblPrEx>
          <w:tblCellMar>
            <w:top w:w="0" w:type="dxa"/>
            <w:bottom w:w="0" w:type="dxa"/>
          </w:tblCellMar>
        </w:tblPrEx>
        <w:tc>
          <w:tcPr>
            <w:tcW w:w="2493" w:type="dxa"/>
            <w:tcMar>
              <w:top w:w="30" w:type="dxa"/>
              <w:left w:w="70" w:type="dxa"/>
              <w:bottom w:w="30" w:type="dxa"/>
              <w:right w:w="70" w:type="dxa"/>
            </w:tcMar>
          </w:tcPr>
          <w:p w14:paraId="4DBD437A" w14:textId="77777777" w:rsidR="0014218F" w:rsidRDefault="00000000">
            <w:r>
              <w:rPr>
                <w:sz w:val="18"/>
                <w:szCs w:val="18"/>
              </w:rPr>
              <w:t>Annualised return</w:t>
            </w:r>
          </w:p>
        </w:tc>
        <w:tc>
          <w:tcPr>
            <w:tcW w:w="1470" w:type="dxa"/>
            <w:tcMar>
              <w:top w:w="30" w:type="dxa"/>
              <w:left w:w="70" w:type="dxa"/>
              <w:bottom w:w="30" w:type="dxa"/>
              <w:right w:w="70" w:type="dxa"/>
            </w:tcMar>
          </w:tcPr>
          <w:p w14:paraId="70D28598" w14:textId="77777777" w:rsidR="0014218F" w:rsidRDefault="00000000">
            <w:pPr>
              <w:jc w:val="center"/>
            </w:pPr>
            <w:r>
              <w:rPr>
                <w:sz w:val="18"/>
                <w:szCs w:val="18"/>
              </w:rPr>
              <w:t>8.94%</w:t>
            </w:r>
          </w:p>
        </w:tc>
        <w:tc>
          <w:tcPr>
            <w:tcW w:w="1470" w:type="dxa"/>
            <w:tcMar>
              <w:top w:w="30" w:type="dxa"/>
              <w:left w:w="70" w:type="dxa"/>
              <w:bottom w:w="30" w:type="dxa"/>
              <w:right w:w="70" w:type="dxa"/>
            </w:tcMar>
          </w:tcPr>
          <w:p w14:paraId="575C1619" w14:textId="77777777" w:rsidR="0014218F" w:rsidRDefault="00000000">
            <w:pPr>
              <w:jc w:val="center"/>
            </w:pPr>
            <w:r>
              <w:rPr>
                <w:sz w:val="18"/>
                <w:szCs w:val="18"/>
              </w:rPr>
              <w:t>8.68%</w:t>
            </w:r>
          </w:p>
        </w:tc>
        <w:tc>
          <w:tcPr>
            <w:tcW w:w="1470" w:type="dxa"/>
            <w:tcMar>
              <w:top w:w="30" w:type="dxa"/>
              <w:left w:w="70" w:type="dxa"/>
              <w:bottom w:w="30" w:type="dxa"/>
              <w:right w:w="70" w:type="dxa"/>
            </w:tcMar>
          </w:tcPr>
          <w:p w14:paraId="02C89CEB" w14:textId="77777777" w:rsidR="0014218F" w:rsidRDefault="00000000">
            <w:pPr>
              <w:jc w:val="center"/>
            </w:pPr>
            <w:r>
              <w:rPr>
                <w:sz w:val="18"/>
                <w:szCs w:val="18"/>
              </w:rPr>
              <w:t>8.42%</w:t>
            </w:r>
          </w:p>
        </w:tc>
        <w:tc>
          <w:tcPr>
            <w:tcW w:w="1470" w:type="dxa"/>
            <w:tcMar>
              <w:top w:w="30" w:type="dxa"/>
              <w:left w:w="70" w:type="dxa"/>
              <w:bottom w:w="30" w:type="dxa"/>
              <w:right w:w="70" w:type="dxa"/>
            </w:tcMar>
          </w:tcPr>
          <w:p w14:paraId="6538A30F" w14:textId="77777777" w:rsidR="0014218F" w:rsidRDefault="00000000">
            <w:pPr>
              <w:jc w:val="center"/>
            </w:pPr>
            <w:r>
              <w:rPr>
                <w:sz w:val="18"/>
                <w:szCs w:val="18"/>
              </w:rPr>
              <w:t>7.58%</w:t>
            </w:r>
          </w:p>
        </w:tc>
        <w:tc>
          <w:tcPr>
            <w:tcW w:w="1373" w:type="dxa"/>
            <w:tcMar>
              <w:top w:w="30" w:type="dxa"/>
              <w:left w:w="70" w:type="dxa"/>
              <w:bottom w:w="30" w:type="dxa"/>
              <w:right w:w="70" w:type="dxa"/>
            </w:tcMar>
          </w:tcPr>
          <w:p w14:paraId="48D45F6D" w14:textId="77777777" w:rsidR="0014218F" w:rsidRDefault="00000000">
            <w:pPr>
              <w:jc w:val="center"/>
            </w:pPr>
            <w:r>
              <w:rPr>
                <w:sz w:val="18"/>
                <w:szCs w:val="18"/>
              </w:rPr>
              <w:t>6.25%</w:t>
            </w:r>
          </w:p>
        </w:tc>
      </w:tr>
      <w:tr w:rsidR="00A2596B" w14:paraId="7C236584" w14:textId="77777777" w:rsidTr="00A2596B">
        <w:tblPrEx>
          <w:tblCellMar>
            <w:top w:w="0" w:type="dxa"/>
            <w:bottom w:w="0" w:type="dxa"/>
          </w:tblCellMar>
        </w:tblPrEx>
        <w:tc>
          <w:tcPr>
            <w:tcW w:w="2493" w:type="dxa"/>
            <w:shd w:val="clear" w:color="auto" w:fill="F2F4F7"/>
            <w:tcMar>
              <w:top w:w="30" w:type="dxa"/>
              <w:left w:w="70" w:type="dxa"/>
              <w:bottom w:w="30" w:type="dxa"/>
              <w:right w:w="70" w:type="dxa"/>
            </w:tcMar>
          </w:tcPr>
          <w:p w14:paraId="24063F30" w14:textId="77777777" w:rsidR="0014218F" w:rsidRDefault="00000000">
            <w:r>
              <w:rPr>
                <w:sz w:val="18"/>
                <w:szCs w:val="18"/>
              </w:rPr>
              <w:t>Sharpe ratio</w:t>
            </w:r>
          </w:p>
        </w:tc>
        <w:tc>
          <w:tcPr>
            <w:tcW w:w="1470" w:type="dxa"/>
            <w:shd w:val="clear" w:color="auto" w:fill="F2F4F7"/>
            <w:tcMar>
              <w:top w:w="30" w:type="dxa"/>
              <w:left w:w="70" w:type="dxa"/>
              <w:bottom w:w="30" w:type="dxa"/>
              <w:right w:w="70" w:type="dxa"/>
            </w:tcMar>
          </w:tcPr>
          <w:p w14:paraId="1EB2E271" w14:textId="77777777" w:rsidR="0014218F" w:rsidRDefault="00000000">
            <w:pPr>
              <w:jc w:val="center"/>
            </w:pPr>
            <w:r>
              <w:rPr>
                <w:sz w:val="18"/>
                <w:szCs w:val="18"/>
              </w:rPr>
              <w:t>1.28</w:t>
            </w:r>
          </w:p>
        </w:tc>
        <w:tc>
          <w:tcPr>
            <w:tcW w:w="1470" w:type="dxa"/>
            <w:shd w:val="clear" w:color="auto" w:fill="F2F4F7"/>
            <w:tcMar>
              <w:top w:w="30" w:type="dxa"/>
              <w:left w:w="70" w:type="dxa"/>
              <w:bottom w:w="30" w:type="dxa"/>
              <w:right w:w="70" w:type="dxa"/>
            </w:tcMar>
          </w:tcPr>
          <w:p w14:paraId="4FA5BFE6" w14:textId="77777777" w:rsidR="0014218F" w:rsidRDefault="00000000">
            <w:pPr>
              <w:jc w:val="center"/>
            </w:pPr>
            <w:r>
              <w:rPr>
                <w:sz w:val="18"/>
                <w:szCs w:val="18"/>
              </w:rPr>
              <w:t>1.23</w:t>
            </w:r>
          </w:p>
        </w:tc>
        <w:tc>
          <w:tcPr>
            <w:tcW w:w="1470" w:type="dxa"/>
            <w:shd w:val="clear" w:color="auto" w:fill="F2F4F7"/>
            <w:tcMar>
              <w:top w:w="30" w:type="dxa"/>
              <w:left w:w="70" w:type="dxa"/>
              <w:bottom w:w="30" w:type="dxa"/>
              <w:right w:w="70" w:type="dxa"/>
            </w:tcMar>
          </w:tcPr>
          <w:p w14:paraId="24BFB2E6" w14:textId="77777777" w:rsidR="0014218F" w:rsidRDefault="00000000">
            <w:pPr>
              <w:jc w:val="center"/>
            </w:pPr>
            <w:r>
              <w:rPr>
                <w:sz w:val="18"/>
                <w:szCs w:val="18"/>
              </w:rPr>
              <w:t>1.18</w:t>
            </w:r>
          </w:p>
        </w:tc>
        <w:tc>
          <w:tcPr>
            <w:tcW w:w="1470" w:type="dxa"/>
            <w:shd w:val="clear" w:color="auto" w:fill="F2F4F7"/>
            <w:tcMar>
              <w:top w:w="30" w:type="dxa"/>
              <w:left w:w="70" w:type="dxa"/>
              <w:bottom w:w="30" w:type="dxa"/>
              <w:right w:w="70" w:type="dxa"/>
            </w:tcMar>
          </w:tcPr>
          <w:p w14:paraId="693EDAF3" w14:textId="77777777" w:rsidR="0014218F" w:rsidRDefault="00000000">
            <w:pPr>
              <w:jc w:val="center"/>
            </w:pPr>
            <w:r>
              <w:rPr>
                <w:sz w:val="18"/>
                <w:szCs w:val="18"/>
              </w:rPr>
              <w:t>1.02</w:t>
            </w:r>
          </w:p>
        </w:tc>
        <w:tc>
          <w:tcPr>
            <w:tcW w:w="1373" w:type="dxa"/>
            <w:shd w:val="clear" w:color="auto" w:fill="F2F4F7"/>
            <w:tcMar>
              <w:top w:w="30" w:type="dxa"/>
              <w:left w:w="70" w:type="dxa"/>
              <w:bottom w:w="30" w:type="dxa"/>
              <w:right w:w="70" w:type="dxa"/>
            </w:tcMar>
          </w:tcPr>
          <w:p w14:paraId="2B627B5D" w14:textId="77777777" w:rsidR="0014218F" w:rsidRDefault="00000000">
            <w:pPr>
              <w:jc w:val="center"/>
            </w:pPr>
            <w:r>
              <w:rPr>
                <w:sz w:val="18"/>
                <w:szCs w:val="18"/>
              </w:rPr>
              <w:t>0.77</w:t>
            </w:r>
          </w:p>
        </w:tc>
      </w:tr>
    </w:tbl>
    <w:p w14:paraId="74FA64C6" w14:textId="05F411EF" w:rsidR="0014218F" w:rsidRPr="00A2596B" w:rsidRDefault="00A2596B" w:rsidP="00A2596B">
      <w:pPr>
        <w:spacing w:after="80" w:line="264" w:lineRule="auto"/>
        <w:jc w:val="center"/>
        <w:rPr>
          <w:i/>
          <w:iCs/>
          <w:color w:val="555555"/>
          <w:sz w:val="16"/>
          <w:szCs w:val="16"/>
        </w:rPr>
      </w:pPr>
      <w:r w:rsidRPr="00A2596B">
        <w:rPr>
          <w:i/>
          <w:iCs/>
          <w:color w:val="555555"/>
          <w:sz w:val="16"/>
          <w:szCs w:val="16"/>
        </w:rPr>
        <w:t>Table 9 — Cost sensitivity, ERC (5%).</w:t>
      </w:r>
    </w:p>
    <w:p w14:paraId="44F8E874" w14:textId="1C332DCA" w:rsidR="0014218F" w:rsidRDefault="00000000">
      <w:pPr>
        <w:spacing w:after="100" w:line="264" w:lineRule="auto"/>
        <w:jc w:val="both"/>
      </w:pPr>
      <w:r>
        <w:t xml:space="preserve">The HRP underperformance noted in </w:t>
      </w:r>
      <w:r w:rsidR="00A2596B">
        <w:t xml:space="preserve">Section </w:t>
      </w:r>
      <w:r>
        <w:t>3 reflects a known property of Ward-linkage clustering on assets with widely heterogeneous volatilities. With the bond ETF at ≈ 2% volatility and equity ETFs at ≈ 20%, the dendrogram concentrates capital in the low-volatility cluster and the recursive inverse-variance step amplifies this concentration further, leaving a portfolio that is unambiguously safe but has very limited risk-asset participation. Standard remedies in the literature</w:t>
      </w:r>
      <w:r w:rsidR="007C3EF7">
        <w:t>,</w:t>
      </w:r>
      <w:r>
        <w:t xml:space="preserve"> pre-processing with volatility parity prior to clustering, single or complete linkage, or a minimum-variance constraint at each bisection</w:t>
      </w:r>
      <w:r w:rsidR="007C3EF7">
        <w:t>,</w:t>
      </w:r>
      <w:r>
        <w:t xml:space="preserve"> are not implemented here in order to preserve the integrity of the locked OOS protocol, but all are natural extensions for future research.</w:t>
      </w:r>
    </w:p>
    <w:p w14:paraId="1BFA92F8" w14:textId="77777777" w:rsidR="0014218F" w:rsidRDefault="00000000">
      <w:pPr>
        <w:pStyle w:val="Heading1"/>
        <w:spacing w:line="264" w:lineRule="auto"/>
      </w:pPr>
      <w:r>
        <w:t>7. Limitations</w:t>
      </w:r>
    </w:p>
    <w:p w14:paraId="473E3615" w14:textId="328E3DED" w:rsidR="0014218F" w:rsidRDefault="007C3EF7">
      <w:pPr>
        <w:spacing w:after="100" w:line="264" w:lineRule="auto"/>
        <w:jc w:val="both"/>
      </w:pPr>
      <w:r>
        <w:t>(i)</w:t>
      </w:r>
      <w:r w:rsidR="00000000">
        <w:t xml:space="preserve"> </w:t>
      </w:r>
      <w:r>
        <w:t>T</w:t>
      </w:r>
      <w:r w:rsidR="00000000">
        <w:t>he size factor is proxied by the CSI 500 minus CSI 300 spread, which captures a mid-cap minus large-cap differential rather than a true small-minus-big sort, and the value factor is unavailable from the ETF universe. Constructing canonical Fama</w:t>
      </w:r>
      <w:r>
        <w:t>-</w:t>
      </w:r>
      <w:r w:rsidR="00000000">
        <w:t xml:space="preserve">French factors for China would require security-level data from CSMAR, Wind, or RESSET. </w:t>
      </w:r>
      <w:r>
        <w:t>(ii)</w:t>
      </w:r>
      <w:r w:rsidR="00000000">
        <w:t xml:space="preserve"> </w:t>
      </w:r>
      <w:r>
        <w:t>F</w:t>
      </w:r>
      <w:r w:rsidR="00000000">
        <w:t>ive ETFs cannot fully span the CSI MARP constituent universe, which includes international equities, broader fixed-income exposures, and several commodity sub-classes. The broad commodity ETF (159980) only begins trading in late 2019, which materially limits early-sample diversification.</w:t>
      </w:r>
      <w:r>
        <w:t xml:space="preserve"> (iii)</w:t>
      </w:r>
      <w:r w:rsidR="00000000">
        <w:t xml:space="preserve"> </w:t>
      </w:r>
      <w:r>
        <w:t>T</w:t>
      </w:r>
      <w:r w:rsidR="00000000">
        <w:t>he framework is unlevered by construction; when the natural volatility of an inverse-volatility or HRP portfolio falls below the 5% target, the unlevered constraint binds and the target cannot be reached. The official CSI MARP almost certainly uses modest leverage to achieve its target from low-volatility constituents.</w:t>
      </w:r>
      <w:r>
        <w:t xml:space="preserve"> (iv)</w:t>
      </w:r>
      <w:r w:rsidR="00000000">
        <w:t xml:space="preserve"> </w:t>
      </w:r>
      <w:r>
        <w:t>T</w:t>
      </w:r>
      <w:r w:rsidR="00000000">
        <w:t xml:space="preserve">he risk-free rate is held constant at 2.2% per annum; in reality, Chinese deposit rates varied between roughly 1.5% and 3.5% over the sample, and modelling this time variation would refine both the cash leg returns and the Sharpe estimates. </w:t>
      </w:r>
      <w:r>
        <w:t>(v)</w:t>
      </w:r>
      <w:r w:rsidR="00000000">
        <w:t xml:space="preserve"> </w:t>
      </w:r>
      <w:r>
        <w:t>T</w:t>
      </w:r>
      <w:r w:rsidR="00000000">
        <w:t xml:space="preserve">ransaction costs are modelled as a constant 10 bps round-trip; in practice, costs vary with ETF liquidity, order size, and market conditions, although the cost stress test in </w:t>
      </w:r>
      <w:r w:rsidR="00A2596B">
        <w:t xml:space="preserve">Section </w:t>
      </w:r>
      <w:r w:rsidR="00000000">
        <w:t>6.3 indicates that this assumption is not material for the headline conclusion.</w:t>
      </w:r>
      <w:r>
        <w:t xml:space="preserve"> (vi)</w:t>
      </w:r>
      <w:r w:rsidR="00000000">
        <w:t xml:space="preserve"> </w:t>
      </w:r>
      <w:r>
        <w:t>A</w:t>
      </w:r>
      <w:r w:rsidR="00000000">
        <w:t>ll ETFs in the universe survived to the end of the sample, so survivorship bias is not modelled; this is a minor concern for the established broad-market ETFs used here but would be a serious issue if the universe were extended to thematic or sector products.</w:t>
      </w:r>
    </w:p>
    <w:p w14:paraId="38AD9022" w14:textId="77777777" w:rsidR="0014218F" w:rsidRDefault="00000000">
      <w:pPr>
        <w:pStyle w:val="Heading1"/>
        <w:spacing w:line="264" w:lineRule="auto"/>
      </w:pPr>
      <w:r>
        <w:t>8. Conclusion</w:t>
      </w:r>
    </w:p>
    <w:p w14:paraId="757F2D48" w14:textId="42CE8557" w:rsidR="0014218F" w:rsidRDefault="00000000">
      <w:pPr>
        <w:spacing w:after="100" w:line="264" w:lineRule="auto"/>
        <w:jc w:val="both"/>
      </w:pPr>
      <w:r>
        <w:t xml:space="preserve">We have shown that a tradable five-ETF approximation of the CSI MARP risk-parity construction, implemented under the Equal Risk Contribution rule with a 5% volatility overlay and evaluated under a strict locked-out-of-sample walk-forward protocol, delivers the diversification properties that risk parity promises. Out-of-sample (2022–2025), the strategy produces a Sharpe ratio of 1.28, an annualised return of 8.94% at a realised volatility of 5.24%, and a maximum drawdown of </w:t>
      </w:r>
      <w:r w:rsidR="007C3EF7">
        <w:br/>
        <w:t>-</w:t>
      </w:r>
      <w:r>
        <w:t>4.93%</w:t>
      </w:r>
      <w:r w:rsidR="007C3EF7">
        <w:t>,</w:t>
      </w:r>
      <w:r>
        <w:t xml:space="preserve"> outperforming the equal-weight benchmark on every risk-adjusted metric and approximately matching the official CSI MARP profile while operating exclusively in tradable instruments. The factor regression confirms the strategy is not levered equity exposure (market β = 0.35), the regime decomposition confirms asymmetric protection in the 2022 bear market, and the gold-ablation test identifies gold as the single largest contributor to risk-adjusted performance</w:t>
      </w:r>
      <w:r w:rsidR="007C3EF7">
        <w:t>.</w:t>
      </w:r>
      <w:r>
        <w:t xml:space="preserve"> which directly answers the project brief's gold-allocation question in the affirmative through 2025. The contrast with a Hasanhodzic</w:t>
      </w:r>
      <w:r w:rsidR="007C3EF7">
        <w:t>-</w:t>
      </w:r>
      <w:r>
        <w:t>Lo factor replication portfolio shows that risk parity and factor replication capture distinct premia, and a hybrid is a natural avenue for further work. The full pipeline</w:t>
      </w:r>
      <w:r w:rsidR="007C3EF7">
        <w:t>,</w:t>
      </w:r>
      <w:r>
        <w:t xml:space="preserve"> from data ingestion to weight optimisation to factor regression</w:t>
      </w:r>
      <w:r w:rsidR="007C3EF7">
        <w:t>,</w:t>
      </w:r>
      <w:r>
        <w:t xml:space="preserve"> runs end-to-end on five liquid Chinese ETFs and is therefore directly implementable for retail and smaller institutional investors who require multi-asset diversification but cannot access the institutional instruments that underlie the official index.</w:t>
      </w:r>
    </w:p>
    <w:p w14:paraId="6D6273DA" w14:textId="77777777" w:rsidR="007C3EF7" w:rsidRDefault="007C3EF7">
      <w:pPr>
        <w:rPr>
          <w:b/>
          <w:bCs/>
          <w:color w:val="1F3A5F"/>
          <w:sz w:val="24"/>
          <w:szCs w:val="24"/>
        </w:rPr>
      </w:pPr>
      <w:r>
        <w:br w:type="page"/>
      </w:r>
    </w:p>
    <w:p w14:paraId="2AF9278E" w14:textId="3019EB3E" w:rsidR="0014218F" w:rsidRDefault="00000000">
      <w:pPr>
        <w:pStyle w:val="Heading1"/>
        <w:spacing w:line="264" w:lineRule="auto"/>
      </w:pPr>
      <w:r>
        <w:lastRenderedPageBreak/>
        <w:t>References</w:t>
      </w:r>
    </w:p>
    <w:p w14:paraId="336F4AED" w14:textId="73F61AEB" w:rsidR="0014218F" w:rsidRDefault="00000000">
      <w:pPr>
        <w:spacing w:after="60" w:line="256" w:lineRule="auto"/>
        <w:ind w:left="320" w:hanging="320"/>
        <w:jc w:val="both"/>
      </w:pPr>
      <w:r>
        <w:t>Hasanhodzic, J., &amp; Lo, A. W. (2007). Can hedge-fund returns be replicated? The linear case. Journal of Investment Management, 5(2), 5</w:t>
      </w:r>
      <w:r w:rsidR="007C3EF7">
        <w:t>-</w:t>
      </w:r>
      <w:r>
        <w:t>45.</w:t>
      </w:r>
    </w:p>
    <w:p w14:paraId="4F9A45DB" w14:textId="6F7A77C3" w:rsidR="0014218F" w:rsidRDefault="00000000">
      <w:pPr>
        <w:spacing w:after="60" w:line="256" w:lineRule="auto"/>
        <w:ind w:left="320" w:hanging="320"/>
        <w:jc w:val="both"/>
      </w:pPr>
      <w:r>
        <w:t>López de Prado, M. (2016). Building diversified portfolios that outperform out of sample. Journal of Portfolio Management, 42(4), 59</w:t>
      </w:r>
      <w:r w:rsidR="007C3EF7">
        <w:t>-</w:t>
      </w:r>
      <w:r>
        <w:t>69.</w:t>
      </w:r>
    </w:p>
    <w:p w14:paraId="6C76C1A4" w14:textId="44B67B2C" w:rsidR="0014218F" w:rsidRDefault="00000000">
      <w:pPr>
        <w:spacing w:after="60" w:line="256" w:lineRule="auto"/>
        <w:ind w:left="320" w:hanging="320"/>
        <w:jc w:val="both"/>
      </w:pPr>
      <w:r>
        <w:t>Maillard, S., Roncalli, T., &amp; Teïletche, J. (2010). The properties of equally weighted risk contribution portfolios. Journal of Portfolio Management, 36(4), 60</w:t>
      </w:r>
      <w:r w:rsidR="007C3EF7">
        <w:t>-</w:t>
      </w:r>
      <w:r>
        <w:t>70.</w:t>
      </w:r>
    </w:p>
    <w:p w14:paraId="22EF9DAD" w14:textId="77777777" w:rsidR="0014218F" w:rsidRDefault="00000000">
      <w:pPr>
        <w:spacing w:after="60" w:line="256" w:lineRule="auto"/>
        <w:ind w:left="320" w:hanging="320"/>
        <w:jc w:val="both"/>
      </w:pPr>
      <w:r>
        <w:t>Roncalli, T. (2013). Introduction to Risk Parity and Budgeting. Chapman and Hall/CRC.</w:t>
      </w:r>
    </w:p>
    <w:p w14:paraId="5D80BB4E" w14:textId="33011825" w:rsidR="0014218F" w:rsidRDefault="00000000">
      <w:pPr>
        <w:spacing w:after="60" w:line="256" w:lineRule="auto"/>
        <w:ind w:left="320" w:hanging="320"/>
        <w:jc w:val="both"/>
      </w:pPr>
      <w:r>
        <w:t xml:space="preserve">China Securities Index Co., Ltd. (2017). CSI Multi-Asset Risk Parity Index (930929) </w:t>
      </w:r>
      <w:r w:rsidR="007C3EF7">
        <w:t>-</w:t>
      </w:r>
      <w:r>
        <w:t xml:space="preserve"> Index Methodology. csindex.com.cn.</w:t>
      </w:r>
    </w:p>
    <w:p w14:paraId="2E9E87CA" w14:textId="75A85635" w:rsidR="0014218F" w:rsidRDefault="00000000">
      <w:pPr>
        <w:spacing w:after="60" w:line="256" w:lineRule="auto"/>
        <w:ind w:left="320" w:hanging="320"/>
        <w:jc w:val="both"/>
      </w:pPr>
      <w:r>
        <w:t>China Securities Index Co., Ltd. CSI MARP 930929 and CSI 300 daily index levels, 2017</w:t>
      </w:r>
      <w:r w:rsidR="007C3EF7">
        <w:t>-</w:t>
      </w:r>
      <w:r>
        <w:t>2025. csindex.com.cn.</w:t>
      </w:r>
    </w:p>
    <w:p w14:paraId="12CC0BCE" w14:textId="78A9B27C" w:rsidR="0014218F" w:rsidRDefault="00000000">
      <w:pPr>
        <w:spacing w:after="60" w:line="256" w:lineRule="auto"/>
        <w:ind w:left="320" w:hanging="320"/>
        <w:jc w:val="both"/>
      </w:pPr>
      <w:r>
        <w:t>East Money. CSI 300 index levels and open-ended fund net asset values, 2017</w:t>
      </w:r>
      <w:r w:rsidR="007C3EF7">
        <w:t>-</w:t>
      </w:r>
      <w:r>
        <w:t>2025. eastmoney.com.</w:t>
      </w:r>
    </w:p>
    <w:p w14:paraId="38ED92E3" w14:textId="60D3058B" w:rsidR="0014218F" w:rsidRDefault="00000000">
      <w:pPr>
        <w:spacing w:after="60" w:line="256" w:lineRule="auto"/>
        <w:ind w:left="320" w:hanging="320"/>
        <w:jc w:val="both"/>
      </w:pPr>
      <w:r>
        <w:t>Yahoo Finance. Adjusted close prices for ETFs 510300.SH, 510500.SH, 511010.SH, 518880.SH, and 159980.SZ, 2017</w:t>
      </w:r>
      <w:r w:rsidR="007C3EF7">
        <w:t>-</w:t>
      </w:r>
      <w:r>
        <w:t>2025. finance.yahoo.com.</w:t>
      </w:r>
    </w:p>
    <w:p w14:paraId="731A6463" w14:textId="1A88984A" w:rsidR="0014218F" w:rsidRDefault="0014218F" w:rsidP="007C3EF7">
      <w:pPr>
        <w:spacing w:after="100" w:line="264" w:lineRule="auto"/>
      </w:pPr>
    </w:p>
    <w:sectPr w:rsidR="0014218F">
      <w:headerReference w:type="default" r:id="rId9"/>
      <w:footerReference w:type="default" r:id="rId1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86927" w14:textId="77777777" w:rsidR="00AC6E7C" w:rsidRDefault="00AC6E7C">
      <w:r>
        <w:separator/>
      </w:r>
    </w:p>
  </w:endnote>
  <w:endnote w:type="continuationSeparator" w:id="0">
    <w:p w14:paraId="20051A70" w14:textId="77777777" w:rsidR="00AC6E7C" w:rsidRDefault="00AC6E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74B48" w14:textId="77777777" w:rsidR="0014218F" w:rsidRDefault="00000000">
    <w:pPr>
      <w:pBdr>
        <w:top w:val="single" w:sz="2" w:space="4" w:color="9CA3AF"/>
      </w:pBdr>
      <w:jc w:val="center"/>
    </w:pPr>
    <w:r>
      <w:rPr>
        <w:color w:val="555555"/>
        <w:sz w:val="14"/>
        <w:szCs w:val="14"/>
      </w:rPr>
      <w:t xml:space="preserve">Page </w:t>
    </w:r>
    <w:r>
      <w:rPr>
        <w:color w:val="555555"/>
        <w:sz w:val="14"/>
        <w:szCs w:val="14"/>
      </w:rPr>
      <w:fldChar w:fldCharType="begin"/>
    </w:r>
    <w:r>
      <w:rPr>
        <w:color w:val="555555"/>
        <w:sz w:val="14"/>
        <w:szCs w:val="14"/>
      </w:rPr>
      <w:instrText>PAGE</w:instrText>
    </w:r>
    <w:r>
      <w:rPr>
        <w:color w:val="555555"/>
        <w:sz w:val="14"/>
        <w:szCs w:val="14"/>
      </w:rPr>
      <w:fldChar w:fldCharType="separate"/>
    </w:r>
    <w:r w:rsidR="00A2596B">
      <w:rPr>
        <w:noProof/>
        <w:color w:val="555555"/>
        <w:sz w:val="14"/>
        <w:szCs w:val="14"/>
      </w:rPr>
      <w:t>1</w:t>
    </w:r>
    <w:r>
      <w:rPr>
        <w:color w:val="555555"/>
        <w:sz w:val="14"/>
        <w:szCs w:val="14"/>
      </w:rPr>
      <w:fldChar w:fldCharType="end"/>
    </w:r>
    <w:r>
      <w:rPr>
        <w:color w:val="555555"/>
        <w:sz w:val="14"/>
        <w:szCs w:val="14"/>
      </w:rPr>
      <w:t xml:space="preserve"> of </w:t>
    </w:r>
    <w:r>
      <w:rPr>
        <w:color w:val="555555"/>
        <w:sz w:val="14"/>
        <w:szCs w:val="14"/>
      </w:rPr>
      <w:fldChar w:fldCharType="begin"/>
    </w:r>
    <w:r>
      <w:rPr>
        <w:color w:val="555555"/>
        <w:sz w:val="14"/>
        <w:szCs w:val="14"/>
      </w:rPr>
      <w:instrText>NUMPAGES</w:instrText>
    </w:r>
    <w:r>
      <w:rPr>
        <w:color w:val="555555"/>
        <w:sz w:val="14"/>
        <w:szCs w:val="14"/>
      </w:rPr>
      <w:fldChar w:fldCharType="separate"/>
    </w:r>
    <w:r w:rsidR="00A2596B">
      <w:rPr>
        <w:noProof/>
        <w:color w:val="555555"/>
        <w:sz w:val="14"/>
        <w:szCs w:val="14"/>
      </w:rPr>
      <w:t>2</w:t>
    </w:r>
    <w:r>
      <w:rPr>
        <w:color w:val="555555"/>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25B4C" w14:textId="77777777" w:rsidR="00AC6E7C" w:rsidRDefault="00AC6E7C">
      <w:r>
        <w:separator/>
      </w:r>
    </w:p>
  </w:footnote>
  <w:footnote w:type="continuationSeparator" w:id="0">
    <w:p w14:paraId="63E123C2" w14:textId="77777777" w:rsidR="00AC6E7C" w:rsidRDefault="00AC6E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08140" w14:textId="6AAEE390" w:rsidR="0014218F" w:rsidRDefault="00000000">
    <w:pPr>
      <w:pBdr>
        <w:bottom w:val="single" w:sz="4" w:space="4" w:color="1F3A5F"/>
      </w:pBdr>
      <w:spacing w:after="60"/>
      <w:jc w:val="right"/>
    </w:pPr>
    <w:r>
      <w:rPr>
        <w:i/>
        <w:iCs/>
        <w:color w:val="555555"/>
        <w:sz w:val="14"/>
        <w:szCs w:val="14"/>
      </w:rPr>
      <w:t xml:space="preserve">Tradable Multi-Asset Risk Parity </w:t>
    </w:r>
    <w:r w:rsidR="00A2596B">
      <w:rPr>
        <w:i/>
        <w:iCs/>
        <w:color w:val="555555"/>
        <w:sz w:val="14"/>
        <w:szCs w:val="14"/>
      </w:rPr>
      <w:t>|</w:t>
    </w:r>
    <w:r>
      <w:rPr>
        <w:i/>
        <w:iCs/>
        <w:color w:val="555555"/>
        <w:sz w:val="14"/>
        <w:szCs w:val="14"/>
      </w:rPr>
      <w:t xml:space="preserve"> AIS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849C4"/>
    <w:multiLevelType w:val="hybridMultilevel"/>
    <w:tmpl w:val="40F41E16"/>
    <w:lvl w:ilvl="0" w:tplc="97D8E3C2">
      <w:start w:val="1"/>
      <w:numFmt w:val="bullet"/>
      <w:lvlText w:val="●"/>
      <w:lvlJc w:val="left"/>
      <w:pPr>
        <w:ind w:left="720" w:hanging="360"/>
      </w:pPr>
    </w:lvl>
    <w:lvl w:ilvl="1" w:tplc="399C8E28">
      <w:start w:val="1"/>
      <w:numFmt w:val="bullet"/>
      <w:lvlText w:val="○"/>
      <w:lvlJc w:val="left"/>
      <w:pPr>
        <w:ind w:left="1440" w:hanging="360"/>
      </w:pPr>
    </w:lvl>
    <w:lvl w:ilvl="2" w:tplc="00285186">
      <w:start w:val="1"/>
      <w:numFmt w:val="bullet"/>
      <w:lvlText w:val="■"/>
      <w:lvlJc w:val="left"/>
      <w:pPr>
        <w:ind w:left="2160" w:hanging="360"/>
      </w:pPr>
    </w:lvl>
    <w:lvl w:ilvl="3" w:tplc="E182DD0E">
      <w:start w:val="1"/>
      <w:numFmt w:val="bullet"/>
      <w:lvlText w:val="●"/>
      <w:lvlJc w:val="left"/>
      <w:pPr>
        <w:ind w:left="2880" w:hanging="360"/>
      </w:pPr>
    </w:lvl>
    <w:lvl w:ilvl="4" w:tplc="1F2654C0">
      <w:start w:val="1"/>
      <w:numFmt w:val="bullet"/>
      <w:lvlText w:val="○"/>
      <w:lvlJc w:val="left"/>
      <w:pPr>
        <w:ind w:left="3600" w:hanging="360"/>
      </w:pPr>
    </w:lvl>
    <w:lvl w:ilvl="5" w:tplc="D4708B44">
      <w:start w:val="1"/>
      <w:numFmt w:val="bullet"/>
      <w:lvlText w:val="■"/>
      <w:lvlJc w:val="left"/>
      <w:pPr>
        <w:ind w:left="4320" w:hanging="360"/>
      </w:pPr>
    </w:lvl>
    <w:lvl w:ilvl="6" w:tplc="4ACAB7EC">
      <w:start w:val="1"/>
      <w:numFmt w:val="bullet"/>
      <w:lvlText w:val="●"/>
      <w:lvlJc w:val="left"/>
      <w:pPr>
        <w:ind w:left="5040" w:hanging="360"/>
      </w:pPr>
    </w:lvl>
    <w:lvl w:ilvl="7" w:tplc="6DCCC924">
      <w:start w:val="1"/>
      <w:numFmt w:val="bullet"/>
      <w:lvlText w:val="●"/>
      <w:lvlJc w:val="left"/>
      <w:pPr>
        <w:ind w:left="5760" w:hanging="360"/>
      </w:pPr>
    </w:lvl>
    <w:lvl w:ilvl="8" w:tplc="0DA28182">
      <w:start w:val="1"/>
      <w:numFmt w:val="bullet"/>
      <w:lvlText w:val="●"/>
      <w:lvlJc w:val="left"/>
      <w:pPr>
        <w:ind w:left="6480" w:hanging="360"/>
      </w:pPr>
    </w:lvl>
  </w:abstractNum>
  <w:num w:numId="1" w16cid:durableId="12136871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18F"/>
    <w:rsid w:val="0014218F"/>
    <w:rsid w:val="007C3EF7"/>
    <w:rsid w:val="00A2596B"/>
    <w:rsid w:val="00AC6E7C"/>
    <w:rsid w:val="00EA07B3"/>
  </w:rsids>
  <m:mathPr>
    <m:mathFont m:val="Cambria Math"/>
    <m:brkBin m:val="before"/>
    <m:brkBinSub m:val="--"/>
    <m:smallFrac m:val="0"/>
    <m:dispDef/>
    <m:lMargin m:val="0"/>
    <m:rMargin m:val="0"/>
    <m:defJc m:val="centerGroup"/>
    <m:wrapIndent m:val="1440"/>
    <m:intLim m:val="subSup"/>
    <m:naryLim m:val="undOvr"/>
  </m:mathPr>
  <w:themeFontLang w:val="en-IT"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E5986"/>
  <w15:docId w15:val="{7F47E04B-3107-BE44-AFD7-D2F1B1E70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T"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color w:val="1F3A5F"/>
      <w:sz w:val="24"/>
      <w:szCs w:val="24"/>
    </w:rPr>
  </w:style>
  <w:style w:type="paragraph" w:styleId="Heading2">
    <w:name w:val="heading 2"/>
    <w:uiPriority w:val="9"/>
    <w:unhideWhenUsed/>
    <w:qFormat/>
    <w:pPr>
      <w:spacing w:before="140" w:after="60"/>
      <w:outlineLvl w:val="1"/>
    </w:pPr>
    <w:rPr>
      <w:b/>
      <w:bCs/>
      <w:color w:val="1F3A5F"/>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2596B"/>
    <w:pPr>
      <w:tabs>
        <w:tab w:val="center" w:pos="4513"/>
        <w:tab w:val="right" w:pos="9026"/>
      </w:tabs>
    </w:pPr>
  </w:style>
  <w:style w:type="character" w:customStyle="1" w:styleId="HeaderChar">
    <w:name w:val="Header Char"/>
    <w:basedOn w:val="DefaultParagraphFont"/>
    <w:link w:val="Header"/>
    <w:uiPriority w:val="99"/>
    <w:rsid w:val="00A2596B"/>
  </w:style>
  <w:style w:type="paragraph" w:styleId="Footer">
    <w:name w:val="footer"/>
    <w:basedOn w:val="Normal"/>
    <w:link w:val="FooterChar"/>
    <w:uiPriority w:val="99"/>
    <w:unhideWhenUsed/>
    <w:rsid w:val="00A2596B"/>
    <w:pPr>
      <w:tabs>
        <w:tab w:val="center" w:pos="4513"/>
        <w:tab w:val="right" w:pos="9026"/>
      </w:tabs>
    </w:pPr>
  </w:style>
  <w:style w:type="character" w:customStyle="1" w:styleId="FooterChar">
    <w:name w:val="Footer Char"/>
    <w:basedOn w:val="DefaultParagraphFont"/>
    <w:link w:val="Footer"/>
    <w:uiPriority w:val="99"/>
    <w:rsid w:val="00A259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undefined"/><Relationship Id="rId3" Type="http://schemas.openxmlformats.org/officeDocument/2006/relationships/settings" Target="settings.xml"/><Relationship Id="rId7" Type="http://schemas.openxmlformats.org/officeDocument/2006/relationships/image" Target="media/image1.undefined"/><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3405</Words>
  <Characters>19415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Gaetano Marco Chiantia</cp:lastModifiedBy>
  <cp:revision>1</cp:revision>
  <dcterms:created xsi:type="dcterms:W3CDTF">2026-05-09T12:39:00Z</dcterms:created>
  <dcterms:modified xsi:type="dcterms:W3CDTF">2026-05-09T13:00:00Z</dcterms:modified>
</cp:coreProperties>
</file>