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i w:val="0"/>
          <w:color w:val="24303F"/>
          <w:sz w:val="22"/>
        </w:rPr>
      </w:r>
    </w:p>
    <w:p>
      <w:pPr>
        <w:spacing w:after="200"/>
      </w:pPr>
      <w:r>
        <w:rPr>
          <w:rFonts w:ascii="Calibri" w:hAnsi="Calibri"/>
          <w:i w:val="0"/>
          <w:color w:val="24303F"/>
          <w:sz w:val="22"/>
        </w:rPr>
      </w:r>
    </w:p>
    <w:p>
      <w:pPr>
        <w:spacing w:after="200"/>
      </w:pPr>
      <w:r>
        <w:rPr>
          <w:rFonts w:ascii="Calibri" w:hAnsi="Calibri"/>
          <w:i w:val="0"/>
          <w:color w:val="24303F"/>
          <w:sz w:val="22"/>
        </w:rPr>
      </w:r>
    </w:p>
    <w:p>
      <w:pPr>
        <w:spacing w:after="200"/>
      </w:pPr>
      <w:r>
        <w:rPr>
          <w:rFonts w:ascii="Calibri" w:hAnsi="Calibri"/>
          <w:i w:val="0"/>
          <w:color w:val="24303F"/>
          <w:sz w:val="22"/>
        </w:rPr>
      </w:r>
    </w:p>
    <w:p>
      <w:pPr>
        <w:spacing w:after="320"/>
        <w:jc w:val="center"/>
      </w:pPr>
      <w:r>
        <w:rPr>
          <w:rFonts w:ascii="Calibri" w:hAnsi="Calibri"/>
          <w:b/>
          <w:i w:val="0"/>
          <w:color w:val="2A9D8F"/>
          <w:sz w:val="20"/>
        </w:rPr>
        <w:t>EVIDENCE REPORT  |  STATIONS 3–4</w:t>
      </w:r>
    </w:p>
    <w:p>
      <w:pPr>
        <w:spacing w:after="40"/>
        <w:jc w:val="center"/>
      </w:pPr>
      <w:r>
        <w:rPr>
          <w:rFonts w:ascii="Calibri" w:hAnsi="Calibri"/>
          <w:b/>
          <w:i w:val="0"/>
          <w:color w:val="12263A"/>
          <w:sz w:val="60"/>
        </w:rPr>
        <w:t>MarketLens</w:t>
      </w:r>
    </w:p>
    <w:p>
      <w:pPr>
        <w:spacing w:after="240"/>
        <w:jc w:val="center"/>
      </w:pPr>
      <w:r>
        <w:rPr>
          <w:rFonts w:ascii="Calibri" w:hAnsi="Calibri"/>
          <w:i w:val="0"/>
          <w:color w:val="2A9D8F"/>
          <w:sz w:val="30"/>
        </w:rPr>
        <w:t>Walk-forward funds, finance-aware sentiment, and a governed fusion experiment</w:t>
      </w:r>
    </w:p>
    <w:p>
      <w:pPr>
        <w:spacing w:after="680"/>
        <w:jc w:val="center"/>
      </w:pPr>
      <w:r>
        <w:rPr>
          <w:rFonts w:ascii="Calibri" w:hAnsi="Calibri"/>
          <w:i w:val="0"/>
          <w:color w:val="667085"/>
          <w:sz w:val="22"/>
        </w:rPr>
        <w:t>FINS5545 Assignment 3 / Project B</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12</w:t>
            </w:r>
          </w:p>
          <w:p>
            <w:pPr>
              <w:spacing w:after="0"/>
              <w:jc w:val="center"/>
            </w:pPr>
            <w:r>
              <w:rPr>
                <w:rFonts w:ascii="Calibri" w:hAnsi="Calibri"/>
                <w:b/>
                <w:color w:val="667085"/>
                <w:sz w:val="16"/>
              </w:rPr>
              <w:t>OOS FUNDS</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36</w:t>
            </w:r>
          </w:p>
          <w:p>
            <w:pPr>
              <w:spacing w:after="0"/>
              <w:jc w:val="center"/>
            </w:pPr>
            <w:r>
              <w:rPr>
                <w:rFonts w:ascii="Calibri" w:hAnsi="Calibri"/>
                <w:b/>
                <w:color w:val="667085"/>
                <w:sz w:val="16"/>
              </w:rPr>
              <w:t>MONTHLY DECISIONS</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146,836</w:t>
            </w:r>
          </w:p>
          <w:p>
            <w:pPr>
              <w:spacing w:after="0"/>
              <w:jc w:val="center"/>
            </w:pPr>
            <w:r>
              <w:rPr>
                <w:rFonts w:ascii="Calibri" w:hAnsi="Calibri"/>
                <w:b/>
                <w:color w:val="667085"/>
                <w:sz w:val="16"/>
              </w:rPr>
              <w:t>HEADLINES</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2021–23</w:t>
            </w:r>
          </w:p>
          <w:p>
            <w:pPr>
              <w:spacing w:after="0"/>
              <w:jc w:val="center"/>
            </w:pPr>
            <w:r>
              <w:rPr>
                <w:rFonts w:ascii="Calibri" w:hAnsi="Calibri"/>
                <w:b/>
                <w:color w:val="667085"/>
                <w:sz w:val="16"/>
              </w:rPr>
              <w:t>LIVE SAMPLE</w:t>
            </w:r>
          </w:p>
        </w:tc>
      </w:tr>
    </w:tbl>
    <w:p>
      <w:pPr>
        <w:spacing w:after="40"/>
      </w:pPr>
      <w:r>
        <w:rPr>
          <w:rFonts w:ascii="Calibri" w:hAnsi="Calibri"/>
          <w:i w:val="0"/>
          <w:color w:val="24303F"/>
          <w:sz w:val="22"/>
        </w:rPr>
      </w:r>
    </w:p>
    <w:p>
      <w:pPr>
        <w:spacing w:after="60"/>
        <w:jc w:val="center"/>
      </w:pPr>
      <w:r>
        <w:rPr>
          <w:rFonts w:ascii="Calibri" w:hAnsi="Calibri"/>
          <w:i w:val="0"/>
          <w:color w:val="12263A"/>
          <w:sz w:val="22"/>
        </w:rPr>
        <w:t>Prepared by z5646230</w:t>
      </w:r>
    </w:p>
    <w:p>
      <w:pPr>
        <w:spacing w:after="560"/>
        <w:jc w:val="center"/>
      </w:pPr>
      <w:r>
        <w:rPr>
          <w:rFonts w:ascii="Calibri" w:hAnsi="Calibri"/>
          <w:i w:val="0"/>
          <w:color w:val="667085"/>
          <w:sz w:val="19"/>
        </w:rPr>
        <w:t>Course data through 31 December 2023  •  Prepared August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Report stance</w:t>
            </w:r>
          </w:p>
          <w:p>
            <w:pPr>
              <w:spacing w:after="0"/>
            </w:pPr>
            <w:r>
              <w:rPr>
                <w:rFonts w:ascii="Calibri" w:hAnsi="Calibri"/>
                <w:color w:val="24303F"/>
                <w:sz w:val="20"/>
              </w:rPr>
              <w:t>Historical evidence is reported after a 10 bps one-way cost unless stated. The sentiment candidate is not promoted as alpha because its discovery-window selection is zero and its small holdout benefit is cost-fragile.</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01</w:t>
      </w:r>
    </w:p>
    <w:p>
      <w:pPr>
        <w:pStyle w:val="Heading1"/>
        <w:spacing w:before="0"/>
      </w:pPr>
      <w:r>
        <w:t>Executive evidence</w:t>
      </w:r>
    </w:p>
    <w:p>
      <w:pPr>
        <w:spacing w:after="160"/>
      </w:pPr>
      <w:r>
        <w:rPr>
          <w:rFonts w:ascii="Calibri" w:hAnsi="Calibri"/>
          <w:i w:val="0"/>
          <w:color w:val="667085"/>
          <w:sz w:val="21"/>
        </w:rPr>
        <w:t>A comparison-first product for investors who need transparent trade-offs, not another unexplained score.</w:t>
      </w:r>
    </w:p>
    <w:p>
      <w:r>
        <w:rPr>
          <w:rFonts w:ascii="Calibri" w:hAnsi="Calibri"/>
          <w:i w:val="0"/>
          <w:color w:val="24303F"/>
          <w:sz w:val="22"/>
        </w:rPr>
        <w:t>MarketLens converts the cleaned Project A price and news panels into three investable research families—equity, crypto, and combined—then applies four portfolio rules to each. Every displayed return is generated by weights estimated on earlier data only. The app lets a user compare all twelve funds, open a complete fact sheet, inspect news tone, and test an illustrative allocation with a fee.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12.6%</w:t>
            </w:r>
          </w:p>
          <w:p>
            <w:pPr>
              <w:spacing w:after="0"/>
              <w:jc w:val="center"/>
            </w:pPr>
            <w:r>
              <w:rPr>
                <w:rFonts w:ascii="Calibri" w:hAnsi="Calibri"/>
                <w:b/>
                <w:color w:val="667085"/>
                <w:sz w:val="16"/>
              </w:rPr>
              <w:t>EQUITY EW RETURN</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0.82</w:t>
            </w:r>
          </w:p>
          <w:p>
            <w:pPr>
              <w:spacing w:after="0"/>
              <w:jc w:val="center"/>
            </w:pPr>
            <w:r>
              <w:rPr>
                <w:rFonts w:ascii="Calibri" w:hAnsi="Calibri"/>
                <w:b/>
                <w:color w:val="667085"/>
                <w:sz w:val="16"/>
              </w:rPr>
              <w:t>EQUITY EW SHARPE</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-22.4%</w:t>
            </w:r>
          </w:p>
          <w:p>
            <w:pPr>
              <w:spacing w:after="0"/>
              <w:jc w:val="center"/>
            </w:pPr>
            <w:r>
              <w:rPr>
                <w:rFonts w:ascii="Calibri" w:hAnsi="Calibri"/>
                <w:b/>
                <w:color w:val="667085"/>
                <w:sz w:val="16"/>
              </w:rPr>
              <w:t>COMBINED RP MDD</w:t>
            </w:r>
          </w:p>
        </w:tc>
        <w:tc>
          <w:tcPr>
            <w:tcW w:type="dxa" w:w="2340"/>
            <w:tcMar>
              <w:top w:w="80" w:type="dxa"/>
              <w:start w:w="120" w:type="dxa"/>
              <w:bottom w:w="80" w:type="dxa"/>
              <w:end w:w="120" w:type="dxa"/>
            </w:tcMar>
            <w:vAlign w:val="center"/>
            <w:shd w:fill="EAF3F1"/>
          </w:tcPr>
          <w:p>
            <w:pPr>
              <w:spacing w:after="20"/>
              <w:jc w:val="center"/>
            </w:pPr>
            <w:r>
              <w:rPr>
                <w:rFonts w:ascii="Calibri" w:hAnsi="Calibri"/>
                <w:b/>
                <w:color w:val="12263A"/>
                <w:sz w:val="32"/>
              </w:rPr>
              <w:t>0.95</w:t>
            </w:r>
          </w:p>
          <w:p>
            <w:pPr>
              <w:spacing w:after="0"/>
              <w:jc w:val="center"/>
            </w:pPr>
            <w:r>
              <w:rPr>
                <w:rFonts w:ascii="Calibri" w:hAnsi="Calibri"/>
                <w:b/>
                <w:color w:val="667085"/>
                <w:sz w:val="16"/>
              </w:rPr>
              <w:t>CRYPTO MV SHARPE</w:t>
            </w:r>
          </w:p>
        </w:tc>
      </w:tr>
    </w:tbl>
    <w:p>
      <w:pPr>
        <w:spacing w:after="40"/>
      </w:pPr>
      <w:r>
        <w:rPr>
          <w:rFonts w:ascii="Calibri" w:hAnsi="Calibri"/>
          <w:i w:val="0"/>
          <w:color w:val="24303F"/>
          <w:sz w:val="22"/>
        </w:rPr>
      </w:r>
    </w:p>
    <w:p>
      <w:pPr>
        <w:pStyle w:val="Heading2"/>
      </w:pPr>
      <w:r>
        <w:t>What the evidence says</w:t>
      </w:r>
    </w:p>
    <w:p>
      <w:r>
        <w:rPr>
          <w:rFonts w:ascii="Calibri" w:hAnsi="Calibri"/>
          <w:b/>
          <w:color w:val="24303F"/>
          <w:sz w:val="22"/>
        </w:rPr>
        <w:t>Equity Equal-Weight</w:t>
      </w:r>
      <w:r>
        <w:rPr>
          <w:rFonts w:ascii="Calibri" w:hAnsi="Calibri"/>
          <w:i w:val="0"/>
          <w:color w:val="24303F"/>
          <w:sz w:val="22"/>
        </w:rPr>
        <w:t xml:space="preserve"> is the strongest equity benchmark by net Sharpe (0.82) and earns 12.6% annualised with 16.1% volatility. That is a useful restraint on estimated-return optimisation: Maximum-Sharpe turns over much more and does not beat it.</w:t>
      </w:r>
    </w:p>
    <w:p>
      <w:r>
        <w:rPr>
          <w:rFonts w:ascii="Calibri" w:hAnsi="Calibri"/>
          <w:b/>
          <w:color w:val="24303F"/>
          <w:sz w:val="22"/>
        </w:rPr>
        <w:t>Crypto Minimum-Variance</w:t>
      </w:r>
      <w:r>
        <w:rPr>
          <w:rFonts w:ascii="Calibri" w:hAnsi="Calibri"/>
          <w:i w:val="0"/>
          <w:color w:val="24303F"/>
          <w:sz w:val="22"/>
        </w:rPr>
        <w:t xml:space="preserve"> has the sample's highest annualised return and Sharpe, but its 74.3% volatility and −72.2% drawdown make it a speculative satellite, not a default recommendation.</w:t>
      </w:r>
    </w:p>
    <w:p>
      <w:r>
        <w:rPr>
          <w:rFonts w:ascii="Calibri" w:hAnsi="Calibri"/>
          <w:b/>
          <w:color w:val="24303F"/>
          <w:sz w:val="22"/>
        </w:rPr>
        <w:t>Combined Risk Parity</w:t>
      </w:r>
      <w:r>
        <w:rPr>
          <w:rFonts w:ascii="Calibri" w:hAnsi="Calibri"/>
          <w:i w:val="0"/>
          <w:color w:val="24303F"/>
          <w:sz w:val="22"/>
        </w:rPr>
        <w:t xml:space="preserve"> is the steadier mixed-asset compromise: 12.7% annualised, 17.4% volatility, 0.77 Sharpe, and −22.4% maximum drawdown. Combined Equal-Weight earns more but with larger risk and drawdown.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EC"/>
            <w:tcBorders>
              <w:start w:val="single" w:sz="18" w:color="E76F51"/>
            </w:tcBorders>
          </w:tcPr>
          <w:p>
            <w:pPr>
              <w:spacing w:after="40"/>
            </w:pPr>
            <w:r>
              <w:rPr>
                <w:rFonts w:ascii="Calibri" w:hAnsi="Calibri"/>
                <w:b/>
                <w:color w:val="12263A"/>
                <w:sz w:val="21"/>
              </w:rPr>
              <w:t>Innovation conclusion</w:t>
            </w:r>
          </w:p>
          <w:p>
            <w:pPr>
              <w:spacing w:after="0"/>
            </w:pPr>
            <w:r>
              <w:rPr>
                <w:rFonts w:ascii="Calibri" w:hAnsi="Calibri"/>
                <w:color w:val="24303F"/>
                <w:sz w:val="20"/>
              </w:rPr>
              <w:t>The pre-set +0.25 sentiment tilt raises 2023 net Sharpe from 0.51 to 0.52 at 10 bps, but 2021–2022 discovery selects λ=+0.00. The small 2023 advantage disappears near 25 bps. Sentiment remains research analytics pending stronger evidence.</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02</w:t>
      </w:r>
    </w:p>
    <w:p>
      <w:pPr>
        <w:pStyle w:val="Heading1"/>
        <w:spacing w:before="0"/>
      </w:pPr>
      <w:r>
        <w:t>Backtest and fund architecture</w:t>
      </w:r>
    </w:p>
    <w:p>
      <w:pPr>
        <w:spacing w:after="160"/>
      </w:pPr>
      <w:r>
        <w:rPr>
          <w:rFonts w:ascii="Calibri" w:hAnsi="Calibri"/>
          <w:i w:val="0"/>
          <w:color w:val="667085"/>
          <w:sz w:val="21"/>
        </w:rPr>
        <w:t>The design follows Week 10: expanding estimates, monthly walk-forward decisions, and asset-specific calendars.</w:t>
      </w:r>
    </w:p>
    <w:p>
      <w:pPr>
        <w:pStyle w:val="Heading2"/>
      </w:pPr>
      <w:r>
        <w:t>Past-only decision rule</w:t>
      </w:r>
    </w:p>
    <w:p>
      <w:r>
        <w:rPr>
          <w:rFonts w:ascii="Calibri" w:hAnsi="Calibri"/>
          <w:i w:val="0"/>
          <w:color w:val="24303F"/>
          <w:sz w:val="22"/>
        </w:rPr>
        <w:t>The initial window is calendar year 2020. On the first observed date of each month from 2021 onward, each method estimates weights using only rows strictly earlier than that date. Returns then realise until the next decision while holdings drift. Initial formation turnover is 100%; later turnover is half the L1 distance from drifted pre-trade holdings to the new target. One-way costs equal turnover multiplied by the cost rate.</w:t>
      </w:r>
    </w:p>
    <w:tbl>
      <w:tblPr>
        <w:tblStyle w:val="TableGrid"/>
        <w:tblW w:type="dxa" w:w="9360"/>
        <w:jc w:val="left"/>
        <w:tblLayout w:type="fixed"/>
        <w:tblLook w:firstColumn="1" w:firstRow="1" w:lastColumn="0" w:lastRow="0" w:noHBand="0" w:noVBand="1" w:val="04A0"/>
        <w:tblInd w:w="120" w:type="dxa"/>
      </w:tblPr>
      <w:tblGrid>
        <w:gridCol w:w="1250"/>
        <w:gridCol w:w="760"/>
        <w:gridCol w:w="2380"/>
        <w:gridCol w:w="1000"/>
        <w:gridCol w:w="2150"/>
        <w:gridCol w:w="1820"/>
      </w:tblGrid>
      <w:tr>
        <w:trPr>
          <w:tblHeader w:val="true"/>
        </w:trPr>
        <w:tc>
          <w:tcPr>
            <w:tcW w:type="dxa" w:w="1250"/>
            <w:tcMar>
              <w:top w:w="80" w:type="dxa"/>
              <w:start w:w="120" w:type="dxa"/>
              <w:bottom w:w="80" w:type="dxa"/>
              <w:end w:w="120" w:type="dxa"/>
            </w:tcMar>
            <w:vAlign w:val="center"/>
            <w:shd w:fill="F2F4F7"/>
          </w:tcPr>
          <w:p>
            <w:pPr>
              <w:spacing w:after="0"/>
            </w:pPr>
            <w:r>
              <w:rPr>
                <w:rFonts w:ascii="Calibri" w:hAnsi="Calibri"/>
                <w:b/>
                <w:color w:val="12263A"/>
                <w:sz w:val="16"/>
              </w:rPr>
              <w:t>Family</w:t>
            </w:r>
          </w:p>
        </w:tc>
        <w:tc>
          <w:tcPr>
            <w:tcW w:type="dxa" w:w="760"/>
            <w:tcMar>
              <w:top w:w="80" w:type="dxa"/>
              <w:start w:w="120" w:type="dxa"/>
              <w:bottom w:w="80" w:type="dxa"/>
              <w:end w:w="120" w:type="dxa"/>
            </w:tcMar>
            <w:vAlign w:val="center"/>
            <w:shd w:fill="F2F4F7"/>
          </w:tcPr>
          <w:p>
            <w:pPr>
              <w:spacing w:after="0"/>
            </w:pPr>
            <w:r>
              <w:rPr>
                <w:rFonts w:ascii="Calibri" w:hAnsi="Calibri"/>
                <w:b/>
                <w:color w:val="12263A"/>
                <w:sz w:val="16"/>
              </w:rPr>
              <w:t>Assets</w:t>
            </w:r>
          </w:p>
        </w:tc>
        <w:tc>
          <w:tcPr>
            <w:tcW w:type="dxa" w:w="2380"/>
            <w:tcMar>
              <w:top w:w="80" w:type="dxa"/>
              <w:start w:w="120" w:type="dxa"/>
              <w:bottom w:w="80" w:type="dxa"/>
              <w:end w:w="120" w:type="dxa"/>
            </w:tcMar>
            <w:vAlign w:val="center"/>
            <w:shd w:fill="F2F4F7"/>
          </w:tcPr>
          <w:p>
            <w:pPr>
              <w:spacing w:after="0"/>
            </w:pPr>
            <w:r>
              <w:rPr>
                <w:rFonts w:ascii="Calibri" w:hAnsi="Calibri"/>
                <w:b/>
                <w:color w:val="12263A"/>
                <w:sz w:val="16"/>
              </w:rPr>
              <w:t>Calendar</w:t>
            </w:r>
          </w:p>
        </w:tc>
        <w:tc>
          <w:tcPr>
            <w:tcW w:type="dxa" w:w="1000"/>
            <w:tcMar>
              <w:top w:w="80" w:type="dxa"/>
              <w:start w:w="120" w:type="dxa"/>
              <w:bottom w:w="80" w:type="dxa"/>
              <w:end w:w="120" w:type="dxa"/>
            </w:tcMar>
            <w:vAlign w:val="center"/>
            <w:shd w:fill="F2F4F7"/>
          </w:tcPr>
          <w:p>
            <w:pPr>
              <w:spacing w:after="0"/>
            </w:pPr>
            <w:r>
              <w:rPr>
                <w:rFonts w:ascii="Calibri" w:hAnsi="Calibri"/>
                <w:b/>
                <w:color w:val="12263A"/>
                <w:sz w:val="16"/>
              </w:rPr>
              <w:t>Annualise</w:t>
            </w:r>
          </w:p>
        </w:tc>
        <w:tc>
          <w:tcPr>
            <w:tcW w:type="dxa" w:w="2150"/>
            <w:tcMar>
              <w:top w:w="80" w:type="dxa"/>
              <w:start w:w="120" w:type="dxa"/>
              <w:bottom w:w="80" w:type="dxa"/>
              <w:end w:w="120" w:type="dxa"/>
            </w:tcMar>
            <w:vAlign w:val="center"/>
            <w:shd w:fill="F2F4F7"/>
          </w:tcPr>
          <w:p>
            <w:pPr>
              <w:spacing w:after="0"/>
            </w:pPr>
            <w:r>
              <w:rPr>
                <w:rFonts w:ascii="Calibri" w:hAnsi="Calibri"/>
                <w:b/>
                <w:color w:val="12263A"/>
                <w:sz w:val="16"/>
              </w:rPr>
              <w:t>First live</w:t>
            </w:r>
          </w:p>
        </w:tc>
        <w:tc>
          <w:tcPr>
            <w:tcW w:type="dxa" w:w="1820"/>
            <w:tcMar>
              <w:top w:w="80" w:type="dxa"/>
              <w:start w:w="120" w:type="dxa"/>
              <w:bottom w:w="80" w:type="dxa"/>
              <w:end w:w="120" w:type="dxa"/>
            </w:tcMar>
            <w:vAlign w:val="center"/>
            <w:shd w:fill="F2F4F7"/>
          </w:tcPr>
          <w:p>
            <w:pPr>
              <w:spacing w:after="0"/>
            </w:pPr>
            <w:r>
              <w:rPr>
                <w:rFonts w:ascii="Calibri" w:hAnsi="Calibri"/>
                <w:b/>
                <w:color w:val="12263A"/>
                <w:sz w:val="16"/>
              </w:rPr>
              <w:t>Cap</w:t>
            </w:r>
          </w:p>
        </w:tc>
      </w:tr>
      <w:tr>
        <w:tc>
          <w:tcPr>
            <w:tcW w:type="dxa" w:w="1250"/>
            <w:tcMar>
              <w:top w:w="80" w:type="dxa"/>
              <w:start w:w="120" w:type="dxa"/>
              <w:bottom w:w="80" w:type="dxa"/>
              <w:end w:w="120" w:type="dxa"/>
            </w:tcMar>
          </w:tcPr>
          <w:p>
            <w:pPr>
              <w:spacing w:after="0"/>
            </w:pPr>
            <w:r>
              <w:rPr>
                <w:rFonts w:ascii="Calibri" w:hAnsi="Calibri"/>
                <w:color w:val="24303F"/>
                <w:sz w:val="16"/>
              </w:rPr>
              <w:t>Equity</w:t>
            </w:r>
          </w:p>
        </w:tc>
        <w:tc>
          <w:tcPr>
            <w:tcW w:type="dxa" w:w="760"/>
            <w:tcMar>
              <w:top w:w="80" w:type="dxa"/>
              <w:start w:w="120" w:type="dxa"/>
              <w:bottom w:w="80" w:type="dxa"/>
              <w:end w:w="120" w:type="dxa"/>
            </w:tcMar>
          </w:tcPr>
          <w:p>
            <w:pPr>
              <w:spacing w:after="0"/>
            </w:pPr>
            <w:r>
              <w:rPr>
                <w:rFonts w:ascii="Calibri" w:hAnsi="Calibri"/>
                <w:color w:val="24303F"/>
                <w:sz w:val="16"/>
              </w:rPr>
              <w:t>50</w:t>
            </w:r>
          </w:p>
        </w:tc>
        <w:tc>
          <w:tcPr>
            <w:tcW w:type="dxa" w:w="2380"/>
            <w:tcMar>
              <w:top w:w="80" w:type="dxa"/>
              <w:start w:w="120" w:type="dxa"/>
              <w:bottom w:w="80" w:type="dxa"/>
              <w:end w:w="120" w:type="dxa"/>
            </w:tcMar>
          </w:tcPr>
          <w:p>
            <w:pPr>
              <w:spacing w:after="0"/>
            </w:pPr>
            <w:r>
              <w:rPr>
                <w:rFonts w:ascii="Calibri" w:hAnsi="Calibri"/>
                <w:color w:val="24303F"/>
                <w:sz w:val="16"/>
              </w:rPr>
              <w:t>Equity trading days</w:t>
            </w:r>
          </w:p>
        </w:tc>
        <w:tc>
          <w:tcPr>
            <w:tcW w:type="dxa" w:w="1000"/>
            <w:tcMar>
              <w:top w:w="80" w:type="dxa"/>
              <w:start w:w="120" w:type="dxa"/>
              <w:bottom w:w="80" w:type="dxa"/>
              <w:end w:w="120" w:type="dxa"/>
            </w:tcMar>
          </w:tcPr>
          <w:p>
            <w:pPr>
              <w:spacing w:after="0"/>
            </w:pPr>
            <w:r>
              <w:rPr>
                <w:rFonts w:ascii="Calibri" w:hAnsi="Calibri"/>
                <w:color w:val="24303F"/>
                <w:sz w:val="16"/>
              </w:rPr>
              <w:t>252</w:t>
            </w:r>
          </w:p>
        </w:tc>
        <w:tc>
          <w:tcPr>
            <w:tcW w:type="dxa" w:w="2150"/>
            <w:tcMar>
              <w:top w:w="80" w:type="dxa"/>
              <w:start w:w="120" w:type="dxa"/>
              <w:bottom w:w="80" w:type="dxa"/>
              <w:end w:w="120" w:type="dxa"/>
            </w:tcMar>
          </w:tcPr>
          <w:p>
            <w:pPr>
              <w:spacing w:after="0"/>
            </w:pPr>
            <w:r>
              <w:rPr>
                <w:rFonts w:ascii="Calibri" w:hAnsi="Calibri"/>
                <w:color w:val="24303F"/>
                <w:sz w:val="16"/>
              </w:rPr>
              <w:t>2021-01-04</w:t>
            </w:r>
          </w:p>
        </w:tc>
        <w:tc>
          <w:tcPr>
            <w:tcW w:type="dxa" w:w="1820"/>
            <w:tcMar>
              <w:top w:w="80" w:type="dxa"/>
              <w:start w:w="120" w:type="dxa"/>
              <w:bottom w:w="80" w:type="dxa"/>
              <w:end w:w="120" w:type="dxa"/>
            </w:tcMar>
          </w:tcPr>
          <w:p>
            <w:pPr>
              <w:spacing w:after="0"/>
            </w:pPr>
            <w:r>
              <w:rPr>
                <w:rFonts w:ascii="Calibri" w:hAnsi="Calibri"/>
                <w:color w:val="24303F"/>
                <w:sz w:val="16"/>
              </w:rPr>
              <w:t>20.0%</w:t>
            </w:r>
          </w:p>
        </w:tc>
      </w:tr>
      <w:tr>
        <w:tc>
          <w:tcPr>
            <w:tcW w:type="dxa" w:w="1250"/>
            <w:tcMar>
              <w:top w:w="80" w:type="dxa"/>
              <w:start w:w="120" w:type="dxa"/>
              <w:bottom w:w="80" w:type="dxa"/>
              <w:end w:w="120" w:type="dxa"/>
            </w:tcMar>
            <w:shd w:fill="FAFBFC"/>
          </w:tcPr>
          <w:p>
            <w:pPr>
              <w:spacing w:after="0"/>
            </w:pPr>
            <w:r>
              <w:rPr>
                <w:rFonts w:ascii="Calibri" w:hAnsi="Calibri"/>
                <w:color w:val="24303F"/>
                <w:sz w:val="16"/>
              </w:rPr>
              <w:t>Crypto</w:t>
            </w:r>
          </w:p>
        </w:tc>
        <w:tc>
          <w:tcPr>
            <w:tcW w:type="dxa" w:w="760"/>
            <w:tcMar>
              <w:top w:w="80" w:type="dxa"/>
              <w:start w:w="120" w:type="dxa"/>
              <w:bottom w:w="80" w:type="dxa"/>
              <w:end w:w="120" w:type="dxa"/>
            </w:tcMar>
            <w:shd w:fill="FAFBFC"/>
          </w:tcPr>
          <w:p>
            <w:pPr>
              <w:spacing w:after="0"/>
            </w:pPr>
            <w:r>
              <w:rPr>
                <w:rFonts w:ascii="Calibri" w:hAnsi="Calibri"/>
                <w:color w:val="24303F"/>
                <w:sz w:val="16"/>
              </w:rPr>
              <w:t>10</w:t>
            </w:r>
          </w:p>
        </w:tc>
        <w:tc>
          <w:tcPr>
            <w:tcW w:type="dxa" w:w="2380"/>
            <w:tcMar>
              <w:top w:w="80" w:type="dxa"/>
              <w:start w:w="120" w:type="dxa"/>
              <w:bottom w:w="80" w:type="dxa"/>
              <w:end w:w="120" w:type="dxa"/>
            </w:tcMar>
            <w:shd w:fill="FAFBFC"/>
          </w:tcPr>
          <w:p>
            <w:pPr>
              <w:spacing w:after="0"/>
            </w:pPr>
            <w:r>
              <w:rPr>
                <w:rFonts w:ascii="Calibri" w:hAnsi="Calibri"/>
                <w:color w:val="24303F"/>
                <w:sz w:val="16"/>
              </w:rPr>
              <w:t>Calendar days</w:t>
            </w:r>
          </w:p>
        </w:tc>
        <w:tc>
          <w:tcPr>
            <w:tcW w:type="dxa" w:w="1000"/>
            <w:tcMar>
              <w:top w:w="80" w:type="dxa"/>
              <w:start w:w="120" w:type="dxa"/>
              <w:bottom w:w="80" w:type="dxa"/>
              <w:end w:w="120" w:type="dxa"/>
            </w:tcMar>
            <w:shd w:fill="FAFBFC"/>
          </w:tcPr>
          <w:p>
            <w:pPr>
              <w:spacing w:after="0"/>
            </w:pPr>
            <w:r>
              <w:rPr>
                <w:rFonts w:ascii="Calibri" w:hAnsi="Calibri"/>
                <w:color w:val="24303F"/>
                <w:sz w:val="16"/>
              </w:rPr>
              <w:t>365</w:t>
            </w:r>
          </w:p>
        </w:tc>
        <w:tc>
          <w:tcPr>
            <w:tcW w:type="dxa" w:w="2150"/>
            <w:tcMar>
              <w:top w:w="80" w:type="dxa"/>
              <w:start w:w="120" w:type="dxa"/>
              <w:bottom w:w="80" w:type="dxa"/>
              <w:end w:w="120" w:type="dxa"/>
            </w:tcMar>
            <w:shd w:fill="FAFBFC"/>
          </w:tcPr>
          <w:p>
            <w:pPr>
              <w:spacing w:after="0"/>
            </w:pPr>
            <w:r>
              <w:rPr>
                <w:rFonts w:ascii="Calibri" w:hAnsi="Calibri"/>
                <w:color w:val="24303F"/>
                <w:sz w:val="16"/>
              </w:rPr>
              <w:t>2021-01-01</w:t>
            </w:r>
          </w:p>
        </w:tc>
        <w:tc>
          <w:tcPr>
            <w:tcW w:type="dxa" w:w="1820"/>
            <w:tcMar>
              <w:top w:w="80" w:type="dxa"/>
              <w:start w:w="120" w:type="dxa"/>
              <w:bottom w:w="80" w:type="dxa"/>
              <w:end w:w="120" w:type="dxa"/>
            </w:tcMar>
            <w:shd w:fill="FAFBFC"/>
          </w:tcPr>
          <w:p>
            <w:pPr>
              <w:spacing w:after="0"/>
            </w:pPr>
            <w:r>
              <w:rPr>
                <w:rFonts w:ascii="Calibri" w:hAnsi="Calibri"/>
                <w:color w:val="24303F"/>
                <w:sz w:val="16"/>
              </w:rPr>
              <w:t>25.0%</w:t>
            </w:r>
          </w:p>
        </w:tc>
      </w:tr>
      <w:tr>
        <w:tc>
          <w:tcPr>
            <w:tcW w:type="dxa" w:w="1250"/>
            <w:tcMar>
              <w:top w:w="80" w:type="dxa"/>
              <w:start w:w="120" w:type="dxa"/>
              <w:bottom w:w="80" w:type="dxa"/>
              <w:end w:w="120" w:type="dxa"/>
            </w:tcMar>
          </w:tcPr>
          <w:p>
            <w:pPr>
              <w:spacing w:after="0"/>
            </w:pPr>
            <w:r>
              <w:rPr>
                <w:rFonts w:ascii="Calibri" w:hAnsi="Calibri"/>
                <w:color w:val="24303F"/>
                <w:sz w:val="16"/>
              </w:rPr>
              <w:t>Combined</w:t>
            </w:r>
          </w:p>
        </w:tc>
        <w:tc>
          <w:tcPr>
            <w:tcW w:type="dxa" w:w="760"/>
            <w:tcMar>
              <w:top w:w="80" w:type="dxa"/>
              <w:start w:w="120" w:type="dxa"/>
              <w:bottom w:w="80" w:type="dxa"/>
              <w:end w:w="120" w:type="dxa"/>
            </w:tcMar>
          </w:tcPr>
          <w:p>
            <w:pPr>
              <w:spacing w:after="0"/>
            </w:pPr>
            <w:r>
              <w:rPr>
                <w:rFonts w:ascii="Calibri" w:hAnsi="Calibri"/>
                <w:color w:val="24303F"/>
                <w:sz w:val="16"/>
              </w:rPr>
              <w:t>60</w:t>
            </w:r>
          </w:p>
        </w:tc>
        <w:tc>
          <w:tcPr>
            <w:tcW w:type="dxa" w:w="2380"/>
            <w:tcMar>
              <w:top w:w="80" w:type="dxa"/>
              <w:start w:w="120" w:type="dxa"/>
              <w:bottom w:w="80" w:type="dxa"/>
              <w:end w:w="120" w:type="dxa"/>
            </w:tcMar>
          </w:tcPr>
          <w:p>
            <w:pPr>
              <w:spacing w:after="0"/>
            </w:pPr>
            <w:r>
              <w:rPr>
                <w:rFonts w:ascii="Calibri" w:hAnsi="Calibri"/>
                <w:color w:val="24303F"/>
                <w:sz w:val="16"/>
              </w:rPr>
              <w:t>Equity trading days</w:t>
            </w:r>
          </w:p>
        </w:tc>
        <w:tc>
          <w:tcPr>
            <w:tcW w:type="dxa" w:w="1000"/>
            <w:tcMar>
              <w:top w:w="80" w:type="dxa"/>
              <w:start w:w="120" w:type="dxa"/>
              <w:bottom w:w="80" w:type="dxa"/>
              <w:end w:w="120" w:type="dxa"/>
            </w:tcMar>
          </w:tcPr>
          <w:p>
            <w:pPr>
              <w:spacing w:after="0"/>
            </w:pPr>
            <w:r>
              <w:rPr>
                <w:rFonts w:ascii="Calibri" w:hAnsi="Calibri"/>
                <w:color w:val="24303F"/>
                <w:sz w:val="16"/>
              </w:rPr>
              <w:t>252</w:t>
            </w:r>
          </w:p>
        </w:tc>
        <w:tc>
          <w:tcPr>
            <w:tcW w:type="dxa" w:w="2150"/>
            <w:tcMar>
              <w:top w:w="80" w:type="dxa"/>
              <w:start w:w="120" w:type="dxa"/>
              <w:bottom w:w="80" w:type="dxa"/>
              <w:end w:w="120" w:type="dxa"/>
            </w:tcMar>
          </w:tcPr>
          <w:p>
            <w:pPr>
              <w:spacing w:after="0"/>
            </w:pPr>
            <w:r>
              <w:rPr>
                <w:rFonts w:ascii="Calibri" w:hAnsi="Calibri"/>
                <w:color w:val="24303F"/>
                <w:sz w:val="16"/>
              </w:rPr>
              <w:t>2021-01-04</w:t>
            </w:r>
          </w:p>
        </w:tc>
        <w:tc>
          <w:tcPr>
            <w:tcW w:type="dxa" w:w="1820"/>
            <w:tcMar>
              <w:top w:w="80" w:type="dxa"/>
              <w:start w:w="120" w:type="dxa"/>
              <w:bottom w:w="80" w:type="dxa"/>
              <w:end w:w="120" w:type="dxa"/>
            </w:tcMar>
          </w:tcPr>
          <w:p>
            <w:pPr>
              <w:spacing w:after="0"/>
            </w:pPr>
            <w:r>
              <w:rPr>
                <w:rFonts w:ascii="Calibri" w:hAnsi="Calibri"/>
                <w:color w:val="24303F"/>
                <w:sz w:val="16"/>
              </w:rPr>
              <w:t>20.0%</w:t>
            </w:r>
          </w:p>
        </w:tc>
      </w:tr>
    </w:tbl>
    <w:p>
      <w:pPr>
        <w:pStyle w:val="Caption"/>
      </w:pPr>
      <w:r>
        <w:t>Table 1. Walk-forward contract by asset family.</w:t>
      </w:r>
    </w:p>
    <w:p>
      <w:pPr>
        <w:pStyle w:val="Source"/>
      </w:pPr>
      <w:r>
        <w:t>Source: results/tables/backtest_design.csv; student calculations.</w:t>
      </w:r>
    </w:p>
    <w:p>
      <w:pPr>
        <w:pStyle w:val="Heading2"/>
      </w:pPr>
      <w:r>
        <w:t>Four methods, one controlled comparison</w:t>
      </w:r>
    </w:p>
    <w:p>
      <w:r>
        <w:rPr>
          <w:rFonts w:ascii="Calibri" w:hAnsi="Calibri"/>
          <w:i w:val="0"/>
          <w:color w:val="24303F"/>
          <w:sz w:val="22"/>
        </w:rPr>
        <w:t>Equal-Weight allocates 1/N and estimates no moments. Minimum-Variance minimises expanding covariance risk. Maximum-Sharpe uses expanding average returns and covariance, making it most sensitive to estimation error. Risk Parity targets equal volatility contribution. All are long-only, fully invested, and capped at 20% per asset for equity/combined and 25% for crypto.</w:t>
      </w:r>
    </w:p>
    <w:p>
      <w:pPr>
        <w:pStyle w:val="Heading2"/>
      </w:pPr>
      <w:r>
        <w:t>Calendar and annualisation choices</w:t>
      </w:r>
    </w:p>
    <w:p>
      <w:r>
        <w:rPr>
          <w:rFonts w:ascii="Calibri" w:hAnsi="Calibri"/>
          <w:i w:val="0"/>
          <w:color w:val="24303F"/>
          <w:sz w:val="22"/>
        </w:rPr>
        <w:t>Equity and crypto simple returns are computed separately on their native calendars. Crypto returns are then sampled on the equity calendar for the combined family, preventing a weekend price gap from being created by a post-merge price calculation. Equity and combined funds use 252 periods per year; crypto uses 365. Sharpe assumes a zero risk-free rate, consistent with the course examples.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Automated audit</w:t>
            </w:r>
          </w:p>
          <w:p>
            <w:pPr>
              <w:spacing w:after="0"/>
            </w:pPr>
            <w:r>
              <w:rPr>
                <w:rFonts w:ascii="Calibri" w:hAnsi="Calibri"/>
                <w:color w:val="24303F"/>
                <w:sz w:val="20"/>
              </w:rPr>
              <w:t>A synthetic test replaces all future returns after a cutoff and verifies that earlier monthly weights are unchanged. Generated target weights also pass sum-to-one, non-negativity, and cap checks.</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03</w:t>
      </w:r>
    </w:p>
    <w:p>
      <w:pPr>
        <w:pStyle w:val="Heading1"/>
        <w:spacing w:before="0"/>
      </w:pPr>
      <w:r>
        <w:t>Fund evidence and customer choice</w:t>
      </w:r>
    </w:p>
    <w:p>
      <w:pPr>
        <w:spacing w:after="160"/>
      </w:pPr>
      <w:r>
        <w:rPr>
          <w:rFonts w:ascii="Calibri" w:hAnsi="Calibri"/>
          <w:i w:val="0"/>
          <w:color w:val="667085"/>
          <w:sz w:val="21"/>
        </w:rPr>
        <w:t>The strongest result depends on whether the user values growth, drawdown control, or simplicity.</w:t>
      </w:r>
    </w:p>
    <w:tbl>
      <w:tblPr>
        <w:tblStyle w:val="TableGrid"/>
        <w:tblW w:type="dxa" w:w="9360"/>
        <w:jc w:val="left"/>
        <w:tblLayout w:type="fixed"/>
        <w:tblLook w:firstColumn="1" w:firstRow="1" w:lastColumn="0" w:lastRow="0" w:noHBand="0" w:noVBand="1" w:val="04A0"/>
        <w:tblInd w:w="120" w:type="dxa"/>
      </w:tblPr>
      <w:tblGrid>
        <w:gridCol w:w="2900"/>
        <w:gridCol w:w="1100"/>
        <w:gridCol w:w="1000"/>
        <w:gridCol w:w="1050"/>
        <w:gridCol w:w="1150"/>
        <w:gridCol w:w="2160"/>
      </w:tblGrid>
      <w:tr>
        <w:trPr>
          <w:tblHeader w:val="true"/>
        </w:trPr>
        <w:tc>
          <w:tcPr>
            <w:tcW w:type="dxa" w:w="2900"/>
            <w:tcMar>
              <w:top w:w="80" w:type="dxa"/>
              <w:start w:w="120" w:type="dxa"/>
              <w:bottom w:w="80" w:type="dxa"/>
              <w:end w:w="120" w:type="dxa"/>
            </w:tcMar>
            <w:vAlign w:val="center"/>
            <w:shd w:fill="F2F4F7"/>
          </w:tcPr>
          <w:p>
            <w:pPr>
              <w:spacing w:after="0"/>
            </w:pPr>
            <w:r>
              <w:rPr>
                <w:rFonts w:ascii="Calibri" w:hAnsi="Calibri"/>
                <w:b/>
                <w:color w:val="12263A"/>
                <w:sz w:val="16"/>
              </w:rPr>
              <w:t>Fund</w:t>
            </w:r>
          </w:p>
        </w:tc>
        <w:tc>
          <w:tcPr>
            <w:tcW w:type="dxa" w:w="1100"/>
            <w:tcMar>
              <w:top w:w="80" w:type="dxa"/>
              <w:start w:w="120" w:type="dxa"/>
              <w:bottom w:w="80" w:type="dxa"/>
              <w:end w:w="120" w:type="dxa"/>
            </w:tcMar>
            <w:vAlign w:val="center"/>
            <w:shd w:fill="F2F4F7"/>
          </w:tcPr>
          <w:p>
            <w:pPr>
              <w:spacing w:after="0"/>
            </w:pPr>
            <w:r>
              <w:rPr>
                <w:rFonts w:ascii="Calibri" w:hAnsi="Calibri"/>
                <w:b/>
                <w:color w:val="12263A"/>
                <w:sz w:val="16"/>
              </w:rPr>
              <w:t>Return</w:t>
            </w:r>
          </w:p>
        </w:tc>
        <w:tc>
          <w:tcPr>
            <w:tcW w:type="dxa" w:w="1000"/>
            <w:tcMar>
              <w:top w:w="80" w:type="dxa"/>
              <w:start w:w="120" w:type="dxa"/>
              <w:bottom w:w="80" w:type="dxa"/>
              <w:end w:w="120" w:type="dxa"/>
            </w:tcMar>
            <w:vAlign w:val="center"/>
            <w:shd w:fill="F2F4F7"/>
          </w:tcPr>
          <w:p>
            <w:pPr>
              <w:spacing w:after="0"/>
            </w:pPr>
            <w:r>
              <w:rPr>
                <w:rFonts w:ascii="Calibri" w:hAnsi="Calibri"/>
                <w:b/>
                <w:color w:val="12263A"/>
                <w:sz w:val="16"/>
              </w:rPr>
              <w:t>Vol.</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6"/>
              </w:rPr>
              <w:t>Sharpe</w:t>
            </w:r>
          </w:p>
        </w:tc>
        <w:tc>
          <w:tcPr>
            <w:tcW w:type="dxa" w:w="1150"/>
            <w:tcMar>
              <w:top w:w="80" w:type="dxa"/>
              <w:start w:w="120" w:type="dxa"/>
              <w:bottom w:w="80" w:type="dxa"/>
              <w:end w:w="120" w:type="dxa"/>
            </w:tcMar>
            <w:vAlign w:val="center"/>
            <w:shd w:fill="F2F4F7"/>
          </w:tcPr>
          <w:p>
            <w:pPr>
              <w:spacing w:after="0"/>
            </w:pPr>
            <w:r>
              <w:rPr>
                <w:rFonts w:ascii="Calibri" w:hAnsi="Calibri"/>
                <w:b/>
                <w:color w:val="12263A"/>
                <w:sz w:val="16"/>
              </w:rPr>
              <w:t>MDD</w:t>
            </w:r>
          </w:p>
        </w:tc>
        <w:tc>
          <w:tcPr>
            <w:tcW w:type="dxa" w:w="2160"/>
            <w:tcMar>
              <w:top w:w="80" w:type="dxa"/>
              <w:start w:w="120" w:type="dxa"/>
              <w:bottom w:w="80" w:type="dxa"/>
              <w:end w:w="120" w:type="dxa"/>
            </w:tcMar>
            <w:vAlign w:val="center"/>
            <w:shd w:fill="F2F4F7"/>
          </w:tcPr>
          <w:p>
            <w:pPr>
              <w:spacing w:after="0"/>
            </w:pPr>
            <w:r>
              <w:rPr>
                <w:rFonts w:ascii="Calibri" w:hAnsi="Calibri"/>
                <w:b/>
                <w:color w:val="12263A"/>
                <w:sz w:val="16"/>
              </w:rPr>
              <w:t>Turnover/yr</w:t>
            </w:r>
          </w:p>
        </w:tc>
      </w:tr>
      <w:tr>
        <w:tc>
          <w:tcPr>
            <w:tcW w:type="dxa" w:w="2900"/>
            <w:tcMar>
              <w:top w:w="80" w:type="dxa"/>
              <w:start w:w="120" w:type="dxa"/>
              <w:bottom w:w="80" w:type="dxa"/>
              <w:end w:w="120" w:type="dxa"/>
            </w:tcMar>
          </w:tcPr>
          <w:p>
            <w:pPr>
              <w:spacing w:after="0"/>
            </w:pPr>
            <w:r>
              <w:rPr>
                <w:rFonts w:ascii="Calibri" w:hAnsi="Calibri"/>
                <w:color w:val="24303F"/>
                <w:sz w:val="16"/>
              </w:rPr>
              <w:t>Equity Equal-Weight</w:t>
            </w:r>
          </w:p>
        </w:tc>
        <w:tc>
          <w:tcPr>
            <w:tcW w:type="dxa" w:w="1100"/>
            <w:tcMar>
              <w:top w:w="80" w:type="dxa"/>
              <w:start w:w="120" w:type="dxa"/>
              <w:bottom w:w="80" w:type="dxa"/>
              <w:end w:w="120" w:type="dxa"/>
            </w:tcMar>
          </w:tcPr>
          <w:p>
            <w:pPr>
              <w:spacing w:after="0"/>
            </w:pPr>
            <w:r>
              <w:rPr>
                <w:rFonts w:ascii="Calibri" w:hAnsi="Calibri"/>
                <w:color w:val="24303F"/>
                <w:sz w:val="16"/>
              </w:rPr>
              <w:t>12.6%</w:t>
            </w:r>
          </w:p>
        </w:tc>
        <w:tc>
          <w:tcPr>
            <w:tcW w:type="dxa" w:w="1000"/>
            <w:tcMar>
              <w:top w:w="80" w:type="dxa"/>
              <w:start w:w="120" w:type="dxa"/>
              <w:bottom w:w="80" w:type="dxa"/>
              <w:end w:w="120" w:type="dxa"/>
            </w:tcMar>
          </w:tcPr>
          <w:p>
            <w:pPr>
              <w:spacing w:after="0"/>
            </w:pPr>
            <w:r>
              <w:rPr>
                <w:rFonts w:ascii="Calibri" w:hAnsi="Calibri"/>
                <w:color w:val="24303F"/>
                <w:sz w:val="16"/>
              </w:rPr>
              <w:t>16.1%</w:t>
            </w:r>
          </w:p>
        </w:tc>
        <w:tc>
          <w:tcPr>
            <w:tcW w:type="dxa" w:w="1050"/>
            <w:tcMar>
              <w:top w:w="80" w:type="dxa"/>
              <w:start w:w="120" w:type="dxa"/>
              <w:bottom w:w="80" w:type="dxa"/>
              <w:end w:w="120" w:type="dxa"/>
            </w:tcMar>
          </w:tcPr>
          <w:p>
            <w:pPr>
              <w:spacing w:after="0"/>
            </w:pPr>
            <w:r>
              <w:rPr>
                <w:rFonts w:ascii="Calibri" w:hAnsi="Calibri"/>
                <w:color w:val="24303F"/>
                <w:sz w:val="16"/>
              </w:rPr>
              <w:t>0.82</w:t>
            </w:r>
          </w:p>
        </w:tc>
        <w:tc>
          <w:tcPr>
            <w:tcW w:type="dxa" w:w="1150"/>
            <w:tcMar>
              <w:top w:w="80" w:type="dxa"/>
              <w:start w:w="120" w:type="dxa"/>
              <w:bottom w:w="80" w:type="dxa"/>
              <w:end w:w="120" w:type="dxa"/>
            </w:tcMar>
          </w:tcPr>
          <w:p>
            <w:pPr>
              <w:spacing w:after="0"/>
            </w:pPr>
            <w:r>
              <w:rPr>
                <w:rFonts w:ascii="Calibri" w:hAnsi="Calibri"/>
                <w:color w:val="24303F"/>
                <w:sz w:val="16"/>
              </w:rPr>
              <w:t>-20.3%</w:t>
            </w:r>
          </w:p>
        </w:tc>
        <w:tc>
          <w:tcPr>
            <w:tcW w:type="dxa" w:w="2160"/>
            <w:tcMar>
              <w:top w:w="80" w:type="dxa"/>
              <w:start w:w="120" w:type="dxa"/>
              <w:bottom w:w="80" w:type="dxa"/>
              <w:end w:w="120" w:type="dxa"/>
            </w:tcMar>
          </w:tcPr>
          <w:p>
            <w:pPr>
              <w:spacing w:after="0"/>
            </w:pPr>
            <w:r>
              <w:rPr>
                <w:rFonts w:ascii="Calibri" w:hAnsi="Calibri"/>
                <w:color w:val="24303F"/>
                <w:sz w:val="16"/>
              </w:rPr>
              <w:t>0.65x</w:t>
            </w:r>
          </w:p>
        </w:tc>
      </w:tr>
      <w:tr>
        <w:tc>
          <w:tcPr>
            <w:tcW w:type="dxa" w:w="2900"/>
            <w:tcMar>
              <w:top w:w="80" w:type="dxa"/>
              <w:start w:w="120" w:type="dxa"/>
              <w:bottom w:w="80" w:type="dxa"/>
              <w:end w:w="120" w:type="dxa"/>
            </w:tcMar>
            <w:shd w:fill="FAFBFC"/>
          </w:tcPr>
          <w:p>
            <w:pPr>
              <w:spacing w:after="0"/>
            </w:pPr>
            <w:r>
              <w:rPr>
                <w:rFonts w:ascii="Calibri" w:hAnsi="Calibri"/>
                <w:color w:val="24303F"/>
                <w:sz w:val="16"/>
              </w:rPr>
              <w:t>Combined Risk Parity</w:t>
            </w:r>
          </w:p>
        </w:tc>
        <w:tc>
          <w:tcPr>
            <w:tcW w:type="dxa" w:w="1100"/>
            <w:tcMar>
              <w:top w:w="80" w:type="dxa"/>
              <w:start w:w="120" w:type="dxa"/>
              <w:bottom w:w="80" w:type="dxa"/>
              <w:end w:w="120" w:type="dxa"/>
            </w:tcMar>
            <w:shd w:fill="FAFBFC"/>
          </w:tcPr>
          <w:p>
            <w:pPr>
              <w:spacing w:after="0"/>
            </w:pPr>
            <w:r>
              <w:rPr>
                <w:rFonts w:ascii="Calibri" w:hAnsi="Calibri"/>
                <w:color w:val="24303F"/>
                <w:sz w:val="16"/>
              </w:rPr>
              <w:t>12.7%</w:t>
            </w:r>
          </w:p>
        </w:tc>
        <w:tc>
          <w:tcPr>
            <w:tcW w:type="dxa" w:w="1000"/>
            <w:tcMar>
              <w:top w:w="80" w:type="dxa"/>
              <w:start w:w="120" w:type="dxa"/>
              <w:bottom w:w="80" w:type="dxa"/>
              <w:end w:w="120" w:type="dxa"/>
            </w:tcMar>
            <w:shd w:fill="FAFBFC"/>
          </w:tcPr>
          <w:p>
            <w:pPr>
              <w:spacing w:after="0"/>
            </w:pPr>
            <w:r>
              <w:rPr>
                <w:rFonts w:ascii="Calibri" w:hAnsi="Calibri"/>
                <w:color w:val="24303F"/>
                <w:sz w:val="16"/>
              </w:rPr>
              <w:t>17.4%</w:t>
            </w:r>
          </w:p>
        </w:tc>
        <w:tc>
          <w:tcPr>
            <w:tcW w:type="dxa" w:w="1050"/>
            <w:tcMar>
              <w:top w:w="80" w:type="dxa"/>
              <w:start w:w="120" w:type="dxa"/>
              <w:bottom w:w="80" w:type="dxa"/>
              <w:end w:w="120" w:type="dxa"/>
            </w:tcMar>
            <w:shd w:fill="FAFBFC"/>
          </w:tcPr>
          <w:p>
            <w:pPr>
              <w:spacing w:after="0"/>
            </w:pPr>
            <w:r>
              <w:rPr>
                <w:rFonts w:ascii="Calibri" w:hAnsi="Calibri"/>
                <w:color w:val="24303F"/>
                <w:sz w:val="16"/>
              </w:rPr>
              <w:t>0.77</w:t>
            </w:r>
          </w:p>
        </w:tc>
        <w:tc>
          <w:tcPr>
            <w:tcW w:type="dxa" w:w="1150"/>
            <w:tcMar>
              <w:top w:w="80" w:type="dxa"/>
              <w:start w:w="120" w:type="dxa"/>
              <w:bottom w:w="80" w:type="dxa"/>
              <w:end w:w="120" w:type="dxa"/>
            </w:tcMar>
            <w:shd w:fill="FAFBFC"/>
          </w:tcPr>
          <w:p>
            <w:pPr>
              <w:spacing w:after="0"/>
            </w:pPr>
            <w:r>
              <w:rPr>
                <w:rFonts w:ascii="Calibri" w:hAnsi="Calibri"/>
                <w:color w:val="24303F"/>
                <w:sz w:val="16"/>
              </w:rPr>
              <w:t>-22.4%</w:t>
            </w:r>
          </w:p>
        </w:tc>
        <w:tc>
          <w:tcPr>
            <w:tcW w:type="dxa" w:w="2160"/>
            <w:tcMar>
              <w:top w:w="80" w:type="dxa"/>
              <w:start w:w="120" w:type="dxa"/>
              <w:bottom w:w="80" w:type="dxa"/>
              <w:end w:w="120" w:type="dxa"/>
            </w:tcMar>
            <w:shd w:fill="FAFBFC"/>
          </w:tcPr>
          <w:p>
            <w:pPr>
              <w:spacing w:after="0"/>
            </w:pPr>
            <w:r>
              <w:rPr>
                <w:rFonts w:ascii="Calibri" w:hAnsi="Calibri"/>
                <w:color w:val="24303F"/>
                <w:sz w:val="16"/>
              </w:rPr>
              <w:t>0.71x</w:t>
            </w:r>
          </w:p>
        </w:tc>
      </w:tr>
      <w:tr>
        <w:tc>
          <w:tcPr>
            <w:tcW w:type="dxa" w:w="2900"/>
            <w:tcMar>
              <w:top w:w="80" w:type="dxa"/>
              <w:start w:w="120" w:type="dxa"/>
              <w:bottom w:w="80" w:type="dxa"/>
              <w:end w:w="120" w:type="dxa"/>
            </w:tcMar>
          </w:tcPr>
          <w:p>
            <w:pPr>
              <w:spacing w:after="0"/>
            </w:pPr>
            <w:r>
              <w:rPr>
                <w:rFonts w:ascii="Calibri" w:hAnsi="Calibri"/>
                <w:color w:val="24303F"/>
                <w:sz w:val="16"/>
              </w:rPr>
              <w:t>Crypto Minimum-Variance</w:t>
            </w:r>
          </w:p>
        </w:tc>
        <w:tc>
          <w:tcPr>
            <w:tcW w:type="dxa" w:w="1100"/>
            <w:tcMar>
              <w:top w:w="80" w:type="dxa"/>
              <w:start w:w="120" w:type="dxa"/>
              <w:bottom w:w="80" w:type="dxa"/>
              <w:end w:w="120" w:type="dxa"/>
            </w:tcMar>
          </w:tcPr>
          <w:p>
            <w:pPr>
              <w:spacing w:after="0"/>
            </w:pPr>
            <w:r>
              <w:rPr>
                <w:rFonts w:ascii="Calibri" w:hAnsi="Calibri"/>
                <w:color w:val="24303F"/>
                <w:sz w:val="16"/>
              </w:rPr>
              <w:t>53.6%</w:t>
            </w:r>
          </w:p>
        </w:tc>
        <w:tc>
          <w:tcPr>
            <w:tcW w:type="dxa" w:w="1000"/>
            <w:tcMar>
              <w:top w:w="80" w:type="dxa"/>
              <w:start w:w="120" w:type="dxa"/>
              <w:bottom w:w="80" w:type="dxa"/>
              <w:end w:w="120" w:type="dxa"/>
            </w:tcMar>
          </w:tcPr>
          <w:p>
            <w:pPr>
              <w:spacing w:after="0"/>
            </w:pPr>
            <w:r>
              <w:rPr>
                <w:rFonts w:ascii="Calibri" w:hAnsi="Calibri"/>
                <w:color w:val="24303F"/>
                <w:sz w:val="16"/>
              </w:rPr>
              <w:t>74.3%</w:t>
            </w:r>
          </w:p>
        </w:tc>
        <w:tc>
          <w:tcPr>
            <w:tcW w:type="dxa" w:w="1050"/>
            <w:tcMar>
              <w:top w:w="80" w:type="dxa"/>
              <w:start w:w="120" w:type="dxa"/>
              <w:bottom w:w="80" w:type="dxa"/>
              <w:end w:w="120" w:type="dxa"/>
            </w:tcMar>
          </w:tcPr>
          <w:p>
            <w:pPr>
              <w:spacing w:after="0"/>
            </w:pPr>
            <w:r>
              <w:rPr>
                <w:rFonts w:ascii="Calibri" w:hAnsi="Calibri"/>
                <w:color w:val="24303F"/>
                <w:sz w:val="16"/>
              </w:rPr>
              <w:t>0.95</w:t>
            </w:r>
          </w:p>
        </w:tc>
        <w:tc>
          <w:tcPr>
            <w:tcW w:type="dxa" w:w="1150"/>
            <w:tcMar>
              <w:top w:w="80" w:type="dxa"/>
              <w:start w:w="120" w:type="dxa"/>
              <w:bottom w:w="80" w:type="dxa"/>
              <w:end w:w="120" w:type="dxa"/>
            </w:tcMar>
          </w:tcPr>
          <w:p>
            <w:pPr>
              <w:spacing w:after="0"/>
            </w:pPr>
            <w:r>
              <w:rPr>
                <w:rFonts w:ascii="Calibri" w:hAnsi="Calibri"/>
                <w:color w:val="24303F"/>
                <w:sz w:val="16"/>
              </w:rPr>
              <w:t>-72.2%</w:t>
            </w:r>
          </w:p>
        </w:tc>
        <w:tc>
          <w:tcPr>
            <w:tcW w:type="dxa" w:w="2160"/>
            <w:tcMar>
              <w:top w:w="80" w:type="dxa"/>
              <w:start w:w="120" w:type="dxa"/>
              <w:bottom w:w="80" w:type="dxa"/>
              <w:end w:w="120" w:type="dxa"/>
            </w:tcMar>
          </w:tcPr>
          <w:p>
            <w:pPr>
              <w:spacing w:after="0"/>
            </w:pPr>
            <w:r>
              <w:rPr>
                <w:rFonts w:ascii="Calibri" w:hAnsi="Calibri"/>
                <w:color w:val="24303F"/>
                <w:sz w:val="16"/>
              </w:rPr>
              <w:t>1.13x</w:t>
            </w:r>
          </w:p>
        </w:tc>
      </w:tr>
      <w:tr>
        <w:tc>
          <w:tcPr>
            <w:tcW w:type="dxa" w:w="2900"/>
            <w:tcMar>
              <w:top w:w="80" w:type="dxa"/>
              <w:start w:w="120" w:type="dxa"/>
              <w:bottom w:w="80" w:type="dxa"/>
              <w:end w:w="120" w:type="dxa"/>
            </w:tcMar>
            <w:shd w:fill="FAFBFC"/>
          </w:tcPr>
          <w:p>
            <w:pPr>
              <w:spacing w:after="0"/>
            </w:pPr>
            <w:r>
              <w:rPr>
                <w:rFonts w:ascii="Calibri" w:hAnsi="Calibri"/>
                <w:color w:val="24303F"/>
                <w:sz w:val="16"/>
              </w:rPr>
              <w:t>Combined Maximum-Sharpe</w:t>
            </w:r>
          </w:p>
        </w:tc>
        <w:tc>
          <w:tcPr>
            <w:tcW w:type="dxa" w:w="1100"/>
            <w:tcMar>
              <w:top w:w="80" w:type="dxa"/>
              <w:start w:w="120" w:type="dxa"/>
              <w:bottom w:w="80" w:type="dxa"/>
              <w:end w:w="120" w:type="dxa"/>
            </w:tcMar>
            <w:shd w:fill="FAFBFC"/>
          </w:tcPr>
          <w:p>
            <w:pPr>
              <w:spacing w:after="0"/>
            </w:pPr>
            <w:r>
              <w:rPr>
                <w:rFonts w:ascii="Calibri" w:hAnsi="Calibri"/>
                <w:color w:val="24303F"/>
                <w:sz w:val="16"/>
              </w:rPr>
              <w:t>7.1%</w:t>
            </w:r>
          </w:p>
        </w:tc>
        <w:tc>
          <w:tcPr>
            <w:tcW w:type="dxa" w:w="1000"/>
            <w:tcMar>
              <w:top w:w="80" w:type="dxa"/>
              <w:start w:w="120" w:type="dxa"/>
              <w:bottom w:w="80" w:type="dxa"/>
              <w:end w:w="120" w:type="dxa"/>
            </w:tcMar>
            <w:shd w:fill="FAFBFC"/>
          </w:tcPr>
          <w:p>
            <w:pPr>
              <w:spacing w:after="0"/>
            </w:pPr>
            <w:r>
              <w:rPr>
                <w:rFonts w:ascii="Calibri" w:hAnsi="Calibri"/>
                <w:color w:val="24303F"/>
                <w:sz w:val="16"/>
              </w:rPr>
              <w:t>32.7%</w:t>
            </w:r>
          </w:p>
        </w:tc>
        <w:tc>
          <w:tcPr>
            <w:tcW w:type="dxa" w:w="1050"/>
            <w:tcMar>
              <w:top w:w="80" w:type="dxa"/>
              <w:start w:w="120" w:type="dxa"/>
              <w:bottom w:w="80" w:type="dxa"/>
              <w:end w:w="120" w:type="dxa"/>
            </w:tcMar>
            <w:shd w:fill="FAFBFC"/>
          </w:tcPr>
          <w:p>
            <w:pPr>
              <w:spacing w:after="0"/>
            </w:pPr>
            <w:r>
              <w:rPr>
                <w:rFonts w:ascii="Calibri" w:hAnsi="Calibri"/>
                <w:color w:val="24303F"/>
                <w:sz w:val="16"/>
              </w:rPr>
              <w:t>0.37</w:t>
            </w:r>
          </w:p>
        </w:tc>
        <w:tc>
          <w:tcPr>
            <w:tcW w:type="dxa" w:w="1150"/>
            <w:tcMar>
              <w:top w:w="80" w:type="dxa"/>
              <w:start w:w="120" w:type="dxa"/>
              <w:bottom w:w="80" w:type="dxa"/>
              <w:end w:w="120" w:type="dxa"/>
            </w:tcMar>
            <w:shd w:fill="FAFBFC"/>
          </w:tcPr>
          <w:p>
            <w:pPr>
              <w:spacing w:after="0"/>
            </w:pPr>
            <w:r>
              <w:rPr>
                <w:rFonts w:ascii="Calibri" w:hAnsi="Calibri"/>
                <w:color w:val="24303F"/>
                <w:sz w:val="16"/>
              </w:rPr>
              <w:t>-48.6%</w:t>
            </w:r>
          </w:p>
        </w:tc>
        <w:tc>
          <w:tcPr>
            <w:tcW w:type="dxa" w:w="2160"/>
            <w:tcMar>
              <w:top w:w="80" w:type="dxa"/>
              <w:start w:w="120" w:type="dxa"/>
              <w:bottom w:w="80" w:type="dxa"/>
              <w:end w:w="120" w:type="dxa"/>
            </w:tcMar>
            <w:shd w:fill="FAFBFC"/>
          </w:tcPr>
          <w:p>
            <w:pPr>
              <w:spacing w:after="0"/>
            </w:pPr>
            <w:r>
              <w:rPr>
                <w:rFonts w:ascii="Calibri" w:hAnsi="Calibri"/>
                <w:color w:val="24303F"/>
                <w:sz w:val="16"/>
              </w:rPr>
              <w:t>2.08x</w:t>
            </w:r>
          </w:p>
        </w:tc>
      </w:tr>
    </w:tbl>
    <w:p>
      <w:pPr>
        <w:pStyle w:val="Caption"/>
      </w:pPr>
      <w:r>
        <w:t>Table 2. Selected net fact-sheet metrics, monthly OOS, 2021–2023.</w:t>
      </w:r>
    </w:p>
    <w:p>
      <w:pPr>
        <w:pStyle w:val="Source"/>
      </w:pPr>
      <w:r>
        <w:t>Source: results/tables/performance_metrics.csv. Return is CAGR; cost is 10 bps one-way; zero risk-free rate.</w:t>
      </w:r>
    </w:p>
    <w:p>
      <w:pPr>
        <w:spacing w:after="0"/>
        <w:jc w:val="center"/>
      </w:pPr>
      <w:r>
        <w:drawing>
          <wp:inline xmlns:a="http://schemas.openxmlformats.org/drawingml/2006/main" xmlns:pic="http://schemas.openxmlformats.org/drawingml/2006/picture">
            <wp:extent cx="5257800" cy="3227986"/>
            <wp:docPr id="1" name="Picture 1"/>
            <wp:cNvGraphicFramePr>
              <a:graphicFrameLocks noChangeAspect="1"/>
            </wp:cNvGraphicFramePr>
            <a:graphic>
              <a:graphicData uri="http://schemas.openxmlformats.org/drawingml/2006/picture">
                <pic:pic>
                  <pic:nvPicPr>
                    <pic:cNvPr id="0" name="risk_return_map.png"/>
                    <pic:cNvPicPr/>
                  </pic:nvPicPr>
                  <pic:blipFill>
                    <a:blip r:embed="rId11"/>
                    <a:stretch>
                      <a:fillRect/>
                    </a:stretch>
                  </pic:blipFill>
                  <pic:spPr>
                    <a:xfrm>
                      <a:off x="0" y="0"/>
                      <a:ext cx="5257800" cy="3227986"/>
                    </a:xfrm>
                    <a:prstGeom prst="rect"/>
                  </pic:spPr>
                </pic:pic>
              </a:graphicData>
            </a:graphic>
          </wp:inline>
        </w:drawing>
      </w:r>
    </w:p>
    <w:p>
      <w:pPr>
        <w:pStyle w:val="Caption"/>
      </w:pPr>
      <w:r>
        <w:t>Figure 1. Net annualised return versus realised volatility for all twelve funds, 2021–2023.</w:t>
      </w:r>
    </w:p>
    <w:p>
      <w:pPr>
        <w:pStyle w:val="Source"/>
      </w:pPr>
      <w:r>
        <w:t>Source: FINS5545 prices; student calculations. Equity/combined annualised at 252, crypto at 365; 10 bps one-way cost.</w:t>
      </w:r>
    </w:p>
    <w:p>
      <w:pPr>
        <w:spacing w:after="80"/>
      </w:pPr>
      <w:r>
        <w:rPr>
          <w:rFonts w:ascii="Calibri" w:hAnsi="Calibri"/>
          <w:i w:val="0"/>
          <w:color w:val="667085"/>
          <w:sz w:val="19"/>
        </w:rPr>
        <w:t>The crypto cluster occupies an entirely different risk scale. Within equities, Equal-Weight sits above the other methods on return without the highest volatility. Combined Maximum-Sharpe is the clearest estimation-error warning.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Interpretation boundary</w:t>
            </w:r>
          </w:p>
          <w:p>
            <w:pPr>
              <w:spacing w:after="0"/>
            </w:pPr>
            <w:r>
              <w:rPr>
                <w:rFonts w:ascii="Calibri" w:hAnsi="Calibri"/>
                <w:color w:val="24303F"/>
                <w:sz w:val="20"/>
              </w:rPr>
              <w:t>These rankings describe one short regime. They do not establish expected future dominance. The app therefore shows the full distribution of trade-offs rather than presenting a single ‘best fund’ badge.</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04</w:t>
      </w:r>
    </w:p>
    <w:p>
      <w:pPr>
        <w:pStyle w:val="Heading1"/>
        <w:spacing w:before="0"/>
      </w:pPr>
      <w:r>
        <w:t>Fact sheets, holdings, and risk</w:t>
      </w:r>
    </w:p>
    <w:p>
      <w:pPr>
        <w:spacing w:after="160"/>
      </w:pPr>
      <w:r>
        <w:rPr>
          <w:rFonts w:ascii="Calibri" w:hAnsi="Calibri"/>
          <w:i w:val="0"/>
          <w:color w:val="667085"/>
          <w:sz w:val="21"/>
        </w:rPr>
        <w:t>Each of the twelve funds has growth, drawdown, metrics, turnover, and a latest target allocation in the app.</w:t>
      </w:r>
    </w:p>
    <w:tbl>
      <w:tblPr>
        <w:tblStyle w:val="TableGrid"/>
        <w:tblW w:type="dxa" w:w="9360"/>
        <w:jc w:val="left"/>
        <w:tblLayout w:type="fixed"/>
        <w:tblLook w:firstColumn="1" w:firstRow="1" w:lastColumn="0" w:lastRow="0" w:noHBand="0" w:noVBand="1" w:val="04A0"/>
        <w:tblInd w:w="120" w:type="dxa"/>
      </w:tblPr>
      <w:tblGrid>
        <w:gridCol w:w="2200"/>
        <w:gridCol w:w="900"/>
        <w:gridCol w:w="900"/>
        <w:gridCol w:w="1000"/>
        <w:gridCol w:w="4360"/>
      </w:tblGrid>
      <w:tr>
        <w:trPr>
          <w:tblHeader w:val="true"/>
        </w:trPr>
        <w:tc>
          <w:tcPr>
            <w:tcW w:type="dxa" w:w="2200"/>
            <w:tcMar>
              <w:top w:w="80" w:type="dxa"/>
              <w:start w:w="120" w:type="dxa"/>
              <w:bottom w:w="80" w:type="dxa"/>
              <w:end w:w="120" w:type="dxa"/>
            </w:tcMar>
            <w:vAlign w:val="center"/>
            <w:shd w:fill="F2F4F7"/>
          </w:tcPr>
          <w:p>
            <w:pPr>
              <w:spacing w:after="0"/>
            </w:pPr>
            <w:r>
              <w:rPr>
                <w:rFonts w:ascii="Calibri" w:hAnsi="Calibri"/>
                <w:b/>
                <w:color w:val="12263A"/>
                <w:sz w:val="16"/>
              </w:rPr>
              <w:t>Combined method</w:t>
            </w:r>
          </w:p>
        </w:tc>
        <w:tc>
          <w:tcPr>
            <w:tcW w:type="dxa" w:w="900"/>
            <w:tcMar>
              <w:top w:w="80" w:type="dxa"/>
              <w:start w:w="120" w:type="dxa"/>
              <w:bottom w:w="80" w:type="dxa"/>
              <w:end w:w="120" w:type="dxa"/>
            </w:tcMar>
            <w:vAlign w:val="center"/>
            <w:shd w:fill="F2F4F7"/>
          </w:tcPr>
          <w:p>
            <w:pPr>
              <w:spacing w:after="0"/>
            </w:pPr>
            <w:r>
              <w:rPr>
                <w:rFonts w:ascii="Calibri" w:hAnsi="Calibri"/>
                <w:b/>
                <w:color w:val="12263A"/>
                <w:sz w:val="16"/>
              </w:rPr>
              <w:t>Return</w:t>
            </w:r>
          </w:p>
        </w:tc>
        <w:tc>
          <w:tcPr>
            <w:tcW w:type="dxa" w:w="900"/>
            <w:tcMar>
              <w:top w:w="80" w:type="dxa"/>
              <w:start w:w="120" w:type="dxa"/>
              <w:bottom w:w="80" w:type="dxa"/>
              <w:end w:w="120" w:type="dxa"/>
            </w:tcMar>
            <w:vAlign w:val="center"/>
            <w:shd w:fill="F2F4F7"/>
          </w:tcPr>
          <w:p>
            <w:pPr>
              <w:spacing w:after="0"/>
            </w:pPr>
            <w:r>
              <w:rPr>
                <w:rFonts w:ascii="Calibri" w:hAnsi="Calibri"/>
                <w:b/>
                <w:color w:val="12263A"/>
                <w:sz w:val="16"/>
              </w:rPr>
              <w:t>Sharpe</w:t>
            </w:r>
          </w:p>
        </w:tc>
        <w:tc>
          <w:tcPr>
            <w:tcW w:type="dxa" w:w="1000"/>
            <w:tcMar>
              <w:top w:w="80" w:type="dxa"/>
              <w:start w:w="120" w:type="dxa"/>
              <w:bottom w:w="80" w:type="dxa"/>
              <w:end w:w="120" w:type="dxa"/>
            </w:tcMar>
            <w:vAlign w:val="center"/>
            <w:shd w:fill="F2F4F7"/>
          </w:tcPr>
          <w:p>
            <w:pPr>
              <w:spacing w:after="0"/>
            </w:pPr>
            <w:r>
              <w:rPr>
                <w:rFonts w:ascii="Calibri" w:hAnsi="Calibri"/>
                <w:b/>
                <w:color w:val="12263A"/>
                <w:sz w:val="16"/>
              </w:rPr>
              <w:t>MDD</w:t>
            </w:r>
          </w:p>
        </w:tc>
        <w:tc>
          <w:tcPr>
            <w:tcW w:type="dxa" w:w="4360"/>
            <w:tcMar>
              <w:top w:w="80" w:type="dxa"/>
              <w:start w:w="120" w:type="dxa"/>
              <w:bottom w:w="80" w:type="dxa"/>
              <w:end w:w="120" w:type="dxa"/>
            </w:tcMar>
            <w:vAlign w:val="center"/>
            <w:shd w:fill="F2F4F7"/>
          </w:tcPr>
          <w:p>
            <w:pPr>
              <w:spacing w:after="0"/>
            </w:pPr>
            <w:r>
              <w:rPr>
                <w:rFonts w:ascii="Calibri" w:hAnsi="Calibri"/>
                <w:b/>
                <w:color w:val="12263A"/>
                <w:sz w:val="16"/>
              </w:rPr>
              <w:t>Top current targets</w:t>
            </w:r>
          </w:p>
        </w:tc>
      </w:tr>
      <w:tr>
        <w:tc>
          <w:tcPr>
            <w:tcW w:type="dxa" w:w="2200"/>
            <w:tcMar>
              <w:top w:w="80" w:type="dxa"/>
              <w:start w:w="120" w:type="dxa"/>
              <w:bottom w:w="80" w:type="dxa"/>
              <w:end w:w="120" w:type="dxa"/>
            </w:tcMar>
          </w:tcPr>
          <w:p>
            <w:pPr>
              <w:spacing w:after="0"/>
            </w:pPr>
            <w:r>
              <w:rPr>
                <w:rFonts w:ascii="Calibri" w:hAnsi="Calibri"/>
                <w:color w:val="24303F"/>
                <w:sz w:val="16"/>
              </w:rPr>
              <w:t>Equal-Weight</w:t>
            </w:r>
          </w:p>
        </w:tc>
        <w:tc>
          <w:tcPr>
            <w:tcW w:type="dxa" w:w="900"/>
            <w:tcMar>
              <w:top w:w="80" w:type="dxa"/>
              <w:start w:w="120" w:type="dxa"/>
              <w:bottom w:w="80" w:type="dxa"/>
              <w:end w:w="120" w:type="dxa"/>
            </w:tcMar>
          </w:tcPr>
          <w:p>
            <w:pPr>
              <w:spacing w:after="0"/>
            </w:pPr>
            <w:r>
              <w:rPr>
                <w:rFonts w:ascii="Calibri" w:hAnsi="Calibri"/>
                <w:color w:val="24303F"/>
                <w:sz w:val="16"/>
              </w:rPr>
              <w:t>15.0%</w:t>
            </w:r>
          </w:p>
        </w:tc>
        <w:tc>
          <w:tcPr>
            <w:tcW w:type="dxa" w:w="900"/>
            <w:tcMar>
              <w:top w:w="80" w:type="dxa"/>
              <w:start w:w="120" w:type="dxa"/>
              <w:bottom w:w="80" w:type="dxa"/>
              <w:end w:w="120" w:type="dxa"/>
            </w:tcMar>
          </w:tcPr>
          <w:p>
            <w:pPr>
              <w:spacing w:after="0"/>
            </w:pPr>
            <w:r>
              <w:rPr>
                <w:rFonts w:ascii="Calibri" w:hAnsi="Calibri"/>
                <w:color w:val="24303F"/>
                <w:sz w:val="16"/>
              </w:rPr>
              <w:t>0.76</w:t>
            </w:r>
          </w:p>
        </w:tc>
        <w:tc>
          <w:tcPr>
            <w:tcW w:type="dxa" w:w="1000"/>
            <w:tcMar>
              <w:top w:w="80" w:type="dxa"/>
              <w:start w:w="120" w:type="dxa"/>
              <w:bottom w:w="80" w:type="dxa"/>
              <w:end w:w="120" w:type="dxa"/>
            </w:tcMar>
          </w:tcPr>
          <w:p>
            <w:pPr>
              <w:spacing w:after="0"/>
            </w:pPr>
            <w:r>
              <w:rPr>
                <w:rFonts w:ascii="Calibri" w:hAnsi="Calibri"/>
                <w:color w:val="24303F"/>
                <w:sz w:val="16"/>
              </w:rPr>
              <w:t>-27.9%</w:t>
            </w:r>
          </w:p>
        </w:tc>
        <w:tc>
          <w:tcPr>
            <w:tcW w:type="dxa" w:w="4360"/>
            <w:tcMar>
              <w:top w:w="80" w:type="dxa"/>
              <w:start w:w="120" w:type="dxa"/>
              <w:bottom w:w="80" w:type="dxa"/>
              <w:end w:w="120" w:type="dxa"/>
            </w:tcMar>
          </w:tcPr>
          <w:p>
            <w:pPr>
              <w:spacing w:after="0"/>
            </w:pPr>
            <w:r>
              <w:rPr>
                <w:rFonts w:ascii="Calibri" w:hAnsi="Calibri"/>
                <w:color w:val="24303F"/>
                <w:sz w:val="16"/>
              </w:rPr>
              <w:t>ABBV 1.7%; ABT 1.7%; ADA-USD 1.7%</w:t>
            </w:r>
          </w:p>
        </w:tc>
      </w:tr>
      <w:tr>
        <w:tc>
          <w:tcPr>
            <w:tcW w:type="dxa" w:w="2200"/>
            <w:tcMar>
              <w:top w:w="80" w:type="dxa"/>
              <w:start w:w="120" w:type="dxa"/>
              <w:bottom w:w="80" w:type="dxa"/>
              <w:end w:w="120" w:type="dxa"/>
            </w:tcMar>
            <w:shd w:fill="FAFBFC"/>
          </w:tcPr>
          <w:p>
            <w:pPr>
              <w:spacing w:after="0"/>
            </w:pPr>
            <w:r>
              <w:rPr>
                <w:rFonts w:ascii="Calibri" w:hAnsi="Calibri"/>
                <w:color w:val="24303F"/>
                <w:sz w:val="16"/>
              </w:rPr>
              <w:t>Minimum-Variance</w:t>
            </w:r>
          </w:p>
        </w:tc>
        <w:tc>
          <w:tcPr>
            <w:tcW w:type="dxa" w:w="900"/>
            <w:tcMar>
              <w:top w:w="80" w:type="dxa"/>
              <w:start w:w="120" w:type="dxa"/>
              <w:bottom w:w="80" w:type="dxa"/>
              <w:end w:w="120" w:type="dxa"/>
            </w:tcMar>
            <w:shd w:fill="FAFBFC"/>
          </w:tcPr>
          <w:p>
            <w:pPr>
              <w:spacing w:after="0"/>
            </w:pPr>
            <w:r>
              <w:rPr>
                <w:rFonts w:ascii="Calibri" w:hAnsi="Calibri"/>
                <w:color w:val="24303F"/>
                <w:sz w:val="16"/>
              </w:rPr>
              <w:t>7.0%</w:t>
            </w:r>
          </w:p>
        </w:tc>
        <w:tc>
          <w:tcPr>
            <w:tcW w:type="dxa" w:w="900"/>
            <w:tcMar>
              <w:top w:w="80" w:type="dxa"/>
              <w:start w:w="120" w:type="dxa"/>
              <w:bottom w:w="80" w:type="dxa"/>
              <w:end w:w="120" w:type="dxa"/>
            </w:tcMar>
            <w:shd w:fill="FAFBFC"/>
          </w:tcPr>
          <w:p>
            <w:pPr>
              <w:spacing w:after="0"/>
            </w:pPr>
            <w:r>
              <w:rPr>
                <w:rFonts w:ascii="Calibri" w:hAnsi="Calibri"/>
                <w:color w:val="24303F"/>
                <w:sz w:val="16"/>
              </w:rPr>
              <w:t>0.60</w:t>
            </w:r>
          </w:p>
        </w:tc>
        <w:tc>
          <w:tcPr>
            <w:tcW w:type="dxa" w:w="1000"/>
            <w:tcMar>
              <w:top w:w="80" w:type="dxa"/>
              <w:start w:w="120" w:type="dxa"/>
              <w:bottom w:w="80" w:type="dxa"/>
              <w:end w:w="120" w:type="dxa"/>
            </w:tcMar>
            <w:shd w:fill="FAFBFC"/>
          </w:tcPr>
          <w:p>
            <w:pPr>
              <w:spacing w:after="0"/>
            </w:pPr>
            <w:r>
              <w:rPr>
                <w:rFonts w:ascii="Calibri" w:hAnsi="Calibri"/>
                <w:color w:val="24303F"/>
                <w:sz w:val="16"/>
              </w:rPr>
              <w:t>-17.8%</w:t>
            </w:r>
          </w:p>
        </w:tc>
        <w:tc>
          <w:tcPr>
            <w:tcW w:type="dxa" w:w="4360"/>
            <w:tcMar>
              <w:top w:w="80" w:type="dxa"/>
              <w:start w:w="120" w:type="dxa"/>
              <w:bottom w:w="80" w:type="dxa"/>
              <w:end w:w="120" w:type="dxa"/>
            </w:tcMar>
            <w:shd w:fill="FAFBFC"/>
          </w:tcPr>
          <w:p>
            <w:pPr>
              <w:spacing w:after="0"/>
            </w:pPr>
            <w:r>
              <w:rPr>
                <w:rFonts w:ascii="Calibri" w:hAnsi="Calibri"/>
                <w:color w:val="24303F"/>
                <w:sz w:val="16"/>
              </w:rPr>
              <w:t>WMT 19.9%; MRK 12.8%; ABBV 11.9%</w:t>
            </w:r>
          </w:p>
        </w:tc>
      </w:tr>
      <w:tr>
        <w:tc>
          <w:tcPr>
            <w:tcW w:type="dxa" w:w="2200"/>
            <w:tcMar>
              <w:top w:w="80" w:type="dxa"/>
              <w:start w:w="120" w:type="dxa"/>
              <w:bottom w:w="80" w:type="dxa"/>
              <w:end w:w="120" w:type="dxa"/>
            </w:tcMar>
          </w:tcPr>
          <w:p>
            <w:pPr>
              <w:spacing w:after="0"/>
            </w:pPr>
            <w:r>
              <w:rPr>
                <w:rFonts w:ascii="Calibri" w:hAnsi="Calibri"/>
                <w:color w:val="24303F"/>
                <w:sz w:val="16"/>
              </w:rPr>
              <w:t>Maximum-Sharpe</w:t>
            </w:r>
          </w:p>
        </w:tc>
        <w:tc>
          <w:tcPr>
            <w:tcW w:type="dxa" w:w="900"/>
            <w:tcMar>
              <w:top w:w="80" w:type="dxa"/>
              <w:start w:w="120" w:type="dxa"/>
              <w:bottom w:w="80" w:type="dxa"/>
              <w:end w:w="120" w:type="dxa"/>
            </w:tcMar>
          </w:tcPr>
          <w:p>
            <w:pPr>
              <w:spacing w:after="0"/>
            </w:pPr>
            <w:r>
              <w:rPr>
                <w:rFonts w:ascii="Calibri" w:hAnsi="Calibri"/>
                <w:color w:val="24303F"/>
                <w:sz w:val="16"/>
              </w:rPr>
              <w:t>7.1%</w:t>
            </w:r>
          </w:p>
        </w:tc>
        <w:tc>
          <w:tcPr>
            <w:tcW w:type="dxa" w:w="900"/>
            <w:tcMar>
              <w:top w:w="80" w:type="dxa"/>
              <w:start w:w="120" w:type="dxa"/>
              <w:bottom w:w="80" w:type="dxa"/>
              <w:end w:w="120" w:type="dxa"/>
            </w:tcMar>
          </w:tcPr>
          <w:p>
            <w:pPr>
              <w:spacing w:after="0"/>
            </w:pPr>
            <w:r>
              <w:rPr>
                <w:rFonts w:ascii="Calibri" w:hAnsi="Calibri"/>
                <w:color w:val="24303F"/>
                <w:sz w:val="16"/>
              </w:rPr>
              <w:t>0.37</w:t>
            </w:r>
          </w:p>
        </w:tc>
        <w:tc>
          <w:tcPr>
            <w:tcW w:type="dxa" w:w="1000"/>
            <w:tcMar>
              <w:top w:w="80" w:type="dxa"/>
              <w:start w:w="120" w:type="dxa"/>
              <w:bottom w:w="80" w:type="dxa"/>
              <w:end w:w="120" w:type="dxa"/>
            </w:tcMar>
          </w:tcPr>
          <w:p>
            <w:pPr>
              <w:spacing w:after="0"/>
            </w:pPr>
            <w:r>
              <w:rPr>
                <w:rFonts w:ascii="Calibri" w:hAnsi="Calibri"/>
                <w:color w:val="24303F"/>
                <w:sz w:val="16"/>
              </w:rPr>
              <w:t>-48.6%</w:t>
            </w:r>
          </w:p>
        </w:tc>
        <w:tc>
          <w:tcPr>
            <w:tcW w:type="dxa" w:w="4360"/>
            <w:tcMar>
              <w:top w:w="80" w:type="dxa"/>
              <w:start w:w="120" w:type="dxa"/>
              <w:bottom w:w="80" w:type="dxa"/>
              <w:end w:w="120" w:type="dxa"/>
            </w:tcMar>
          </w:tcPr>
          <w:p>
            <w:pPr>
              <w:spacing w:after="0"/>
            </w:pPr>
            <w:r>
              <w:rPr>
                <w:rFonts w:ascii="Calibri" w:hAnsi="Calibri"/>
                <w:color w:val="24303F"/>
                <w:sz w:val="16"/>
              </w:rPr>
              <w:t>ABBV 20.0%; NVDA 20.0%; NUE 20.0%</w:t>
            </w:r>
          </w:p>
        </w:tc>
      </w:tr>
      <w:tr>
        <w:tc>
          <w:tcPr>
            <w:tcW w:type="dxa" w:w="2200"/>
            <w:tcMar>
              <w:top w:w="80" w:type="dxa"/>
              <w:start w:w="120" w:type="dxa"/>
              <w:bottom w:w="80" w:type="dxa"/>
              <w:end w:w="120" w:type="dxa"/>
            </w:tcMar>
            <w:shd w:fill="FAFBFC"/>
          </w:tcPr>
          <w:p>
            <w:pPr>
              <w:spacing w:after="0"/>
            </w:pPr>
            <w:r>
              <w:rPr>
                <w:rFonts w:ascii="Calibri" w:hAnsi="Calibri"/>
                <w:color w:val="24303F"/>
                <w:sz w:val="16"/>
              </w:rPr>
              <w:t>Risk Parity</w:t>
            </w:r>
          </w:p>
        </w:tc>
        <w:tc>
          <w:tcPr>
            <w:tcW w:type="dxa" w:w="900"/>
            <w:tcMar>
              <w:top w:w="80" w:type="dxa"/>
              <w:start w:w="120" w:type="dxa"/>
              <w:bottom w:w="80" w:type="dxa"/>
              <w:end w:w="120" w:type="dxa"/>
            </w:tcMar>
            <w:shd w:fill="FAFBFC"/>
          </w:tcPr>
          <w:p>
            <w:pPr>
              <w:spacing w:after="0"/>
            </w:pPr>
            <w:r>
              <w:rPr>
                <w:rFonts w:ascii="Calibri" w:hAnsi="Calibri"/>
                <w:color w:val="24303F"/>
                <w:sz w:val="16"/>
              </w:rPr>
              <w:t>12.7%</w:t>
            </w:r>
          </w:p>
        </w:tc>
        <w:tc>
          <w:tcPr>
            <w:tcW w:type="dxa" w:w="900"/>
            <w:tcMar>
              <w:top w:w="80" w:type="dxa"/>
              <w:start w:w="120" w:type="dxa"/>
              <w:bottom w:w="80" w:type="dxa"/>
              <w:end w:w="120" w:type="dxa"/>
            </w:tcMar>
            <w:shd w:fill="FAFBFC"/>
          </w:tcPr>
          <w:p>
            <w:pPr>
              <w:spacing w:after="0"/>
            </w:pPr>
            <w:r>
              <w:rPr>
                <w:rFonts w:ascii="Calibri" w:hAnsi="Calibri"/>
                <w:color w:val="24303F"/>
                <w:sz w:val="16"/>
              </w:rPr>
              <w:t>0.77</w:t>
            </w:r>
          </w:p>
        </w:tc>
        <w:tc>
          <w:tcPr>
            <w:tcW w:type="dxa" w:w="1000"/>
            <w:tcMar>
              <w:top w:w="80" w:type="dxa"/>
              <w:start w:w="120" w:type="dxa"/>
              <w:bottom w:w="80" w:type="dxa"/>
              <w:end w:w="120" w:type="dxa"/>
            </w:tcMar>
            <w:shd w:fill="FAFBFC"/>
          </w:tcPr>
          <w:p>
            <w:pPr>
              <w:spacing w:after="0"/>
            </w:pPr>
            <w:r>
              <w:rPr>
                <w:rFonts w:ascii="Calibri" w:hAnsi="Calibri"/>
                <w:color w:val="24303F"/>
                <w:sz w:val="16"/>
              </w:rPr>
              <w:t>-22.4%</w:t>
            </w:r>
          </w:p>
        </w:tc>
        <w:tc>
          <w:tcPr>
            <w:tcW w:type="dxa" w:w="4360"/>
            <w:tcMar>
              <w:top w:w="80" w:type="dxa"/>
              <w:start w:w="120" w:type="dxa"/>
              <w:bottom w:w="80" w:type="dxa"/>
              <w:end w:w="120" w:type="dxa"/>
            </w:tcMar>
            <w:shd w:fill="FAFBFC"/>
          </w:tcPr>
          <w:p>
            <w:pPr>
              <w:spacing w:after="0"/>
            </w:pPr>
            <w:r>
              <w:rPr>
                <w:rFonts w:ascii="Calibri" w:hAnsi="Calibri"/>
                <w:color w:val="24303F"/>
                <w:sz w:val="16"/>
              </w:rPr>
              <w:t>WMT 3.2%; GILD 3.1%; MRK 3.0%</w:t>
            </w:r>
          </w:p>
        </w:tc>
      </w:tr>
    </w:tbl>
    <w:p>
      <w:pPr>
        <w:pStyle w:val="Caption"/>
      </w:pPr>
      <w:r>
        <w:t>Table 3. Combined-family fact-sheet snapshot and top three December 2023 targets.</w:t>
      </w:r>
    </w:p>
    <w:p>
      <w:pPr>
        <w:pStyle w:val="Source"/>
      </w:pPr>
      <w:r>
        <w:t>Source: results/tables/performance_metrics.csv and results/data/current_holdings.csv. Top holdings are target weights, not drifted end-of-day weights.</w:t>
      </w:r>
    </w:p>
    <w:p>
      <w:pPr>
        <w:pStyle w:val="Heading2"/>
      </w:pPr>
      <w:r>
        <w:t>What changed across methods</w:t>
      </w:r>
    </w:p>
    <w:p>
      <w:r>
        <w:rPr>
          <w:rFonts w:ascii="Calibri" w:hAnsi="Calibri"/>
          <w:i w:val="0"/>
          <w:color w:val="24303F"/>
          <w:sz w:val="22"/>
        </w:rPr>
        <w:t>Equal-Weight holds every asset at 1.67% at each rebalance, so its combined crypto sleeve is 16.7%. Minimum-Variance allocates effectively no crypto because crypto covariance risk dominates its objective; that is why its realised metrics nearly match Equity Minimum-Variance. Risk Parity produces a steadier diversified mix. Maximum-Sharpe changes sector and crypto exposures sharply as estimated means change.</w:t>
      </w:r>
    </w:p>
    <w:p>
      <w:pPr>
        <w:pStyle w:val="Heading2"/>
      </w:pPr>
      <w:r>
        <w:t>Investor-facing risk language</w:t>
      </w:r>
    </w:p>
    <w:p>
      <w:r>
        <w:rPr>
          <w:rFonts w:ascii="Calibri" w:hAnsi="Calibri"/>
          <w:i w:val="0"/>
          <w:color w:val="24303F"/>
          <w:sz w:val="22"/>
        </w:rPr>
        <w:t>A fund fact sheet must show maximum drawdown beside return. The top-return crypto result lost more than 70% from peak to trough. Even the combined methods experienced meaningful losses: Combined Equal-Weight fell 27.9%, while Combined Risk Parity fell 22.4%. The app does not turn historical Sharpe into a forecast or guarantee.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Recommended default journey</w:t>
            </w:r>
          </w:p>
          <w:p>
            <w:pPr>
              <w:spacing w:after="0"/>
            </w:pPr>
            <w:r>
              <w:rPr>
                <w:rFonts w:ascii="Calibri" w:hAnsi="Calibri"/>
                <w:color w:val="24303F"/>
                <w:sz w:val="20"/>
              </w:rPr>
              <w:t>Open on Equity Equal-Weight as the transparent benchmark; show Combined Risk Parity as a diversified alternative; place crypto funds behind a high-volatility warning. Let users compare rather than preselecting based on the highest historical return.</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05</w:t>
      </w:r>
    </w:p>
    <w:p>
      <w:pPr>
        <w:pStyle w:val="Heading1"/>
        <w:spacing w:before="0"/>
      </w:pPr>
      <w:r>
        <w:t>Finance-aware sentiment index</w:t>
      </w:r>
    </w:p>
    <w:p>
      <w:pPr>
        <w:spacing w:after="160"/>
      </w:pPr>
      <w:r>
        <w:rPr>
          <w:rFonts w:ascii="Calibri" w:hAnsi="Calibri"/>
          <w:i w:val="0"/>
          <w:color w:val="667085"/>
          <w:sz w:val="21"/>
        </w:rPr>
        <w:t>The index measures headline tone with transparent aggregation and an explicit live-data lag.</w:t>
      </w:r>
    </w:p>
    <w:p>
      <w:r>
        <w:rPr>
          <w:rFonts w:ascii="Calibri" w:hAnsi="Calibri"/>
          <w:i w:val="0"/>
          <w:color w:val="24303F"/>
          <w:sz w:val="22"/>
        </w:rPr>
        <w:t>Titles are scored once with plain VADER and finVADER while preserving casing, punctuation and negation. finVADER augments VADER with SentiBigNomics and Henry finance terms (Consoli et al., 2022; Henry, 2008; Koráb, 2023). Headlines are first averaged within ticker-day. Sector values then equally weight tickers, preventing heavily covered names from dominating.</w:t>
      </w:r>
    </w:p>
    <w:tbl>
      <w:tblPr>
        <w:tblStyle w:val="TableGrid"/>
        <w:tblW w:type="dxa" w:w="9360"/>
        <w:jc w:val="left"/>
        <w:tblLayout w:type="fixed"/>
        <w:tblLook w:firstColumn="1" w:firstRow="1" w:lastColumn="0" w:lastRow="0" w:noHBand="0" w:noVBand="1" w:val="04A0"/>
        <w:tblInd w:w="120" w:type="dxa"/>
      </w:tblPr>
      <w:tblGrid>
        <w:gridCol w:w="1700"/>
        <w:gridCol w:w="1550"/>
        <w:gridCol w:w="1150"/>
        <w:gridCol w:w="1900"/>
        <w:gridCol w:w="1500"/>
        <w:gridCol w:w="1560"/>
      </w:tblGrid>
      <w:tr>
        <w:trPr>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12263A"/>
                <w:sz w:val="16"/>
              </w:rPr>
              <w:t>Model</w:t>
            </w:r>
          </w:p>
        </w:tc>
        <w:tc>
          <w:tcPr>
            <w:tcW w:type="dxa" w:w="1550"/>
            <w:tcMar>
              <w:top w:w="80" w:type="dxa"/>
              <w:start w:w="120" w:type="dxa"/>
              <w:bottom w:w="80" w:type="dxa"/>
              <w:end w:w="120" w:type="dxa"/>
            </w:tcMar>
            <w:vAlign w:val="center"/>
            <w:shd w:fill="F2F4F7"/>
          </w:tcPr>
          <w:p>
            <w:pPr>
              <w:spacing w:after="0"/>
            </w:pPr>
            <w:r>
              <w:rPr>
                <w:rFonts w:ascii="Calibri" w:hAnsi="Calibri"/>
                <w:b/>
                <w:color w:val="12263A"/>
                <w:sz w:val="16"/>
              </w:rPr>
              <w:t>Headline rows</w:t>
            </w:r>
          </w:p>
        </w:tc>
        <w:tc>
          <w:tcPr>
            <w:tcW w:type="dxa" w:w="1150"/>
            <w:tcMar>
              <w:top w:w="80" w:type="dxa"/>
              <w:start w:w="120" w:type="dxa"/>
              <w:bottom w:w="80" w:type="dxa"/>
              <w:end w:w="120" w:type="dxa"/>
            </w:tcMar>
            <w:vAlign w:val="center"/>
            <w:shd w:fill="F2F4F7"/>
          </w:tcPr>
          <w:p>
            <w:pPr>
              <w:spacing w:after="0"/>
            </w:pPr>
            <w:r>
              <w:rPr>
                <w:rFonts w:ascii="Calibri" w:hAnsi="Calibri"/>
                <w:b/>
                <w:color w:val="12263A"/>
                <w:sz w:val="16"/>
              </w:rPr>
              <w:t>Mean</w:t>
            </w:r>
          </w:p>
        </w:tc>
        <w:tc>
          <w:tcPr>
            <w:tcW w:type="dxa" w:w="1900"/>
            <w:tcMar>
              <w:top w:w="80" w:type="dxa"/>
              <w:start w:w="120" w:type="dxa"/>
              <w:bottom w:w="80" w:type="dxa"/>
              <w:end w:w="120" w:type="dxa"/>
            </w:tcMar>
            <w:vAlign w:val="center"/>
            <w:shd w:fill="F2F4F7"/>
          </w:tcPr>
          <w:p>
            <w:pPr>
              <w:spacing w:after="0"/>
            </w:pPr>
            <w:r>
              <w:rPr>
                <w:rFonts w:ascii="Calibri" w:hAnsi="Calibri"/>
                <w:b/>
                <w:color w:val="12263A"/>
                <w:sz w:val="16"/>
              </w:rPr>
              <w:t>Exactly neutral</w:t>
            </w:r>
          </w:p>
        </w:tc>
        <w:tc>
          <w:tcPr>
            <w:tcW w:type="dxa" w:w="1500"/>
            <w:tcMar>
              <w:top w:w="80" w:type="dxa"/>
              <w:start w:w="120" w:type="dxa"/>
              <w:bottom w:w="80" w:type="dxa"/>
              <w:end w:w="120" w:type="dxa"/>
            </w:tcMar>
            <w:vAlign w:val="center"/>
            <w:shd w:fill="F2F4F7"/>
          </w:tcPr>
          <w:p>
            <w:pPr>
              <w:spacing w:after="0"/>
            </w:pPr>
            <w:r>
              <w:rPr>
                <w:rFonts w:ascii="Calibri" w:hAnsi="Calibri"/>
                <w:b/>
                <w:color w:val="12263A"/>
                <w:sz w:val="16"/>
              </w:rPr>
              <w:t>Positive</w:t>
            </w:r>
          </w:p>
        </w:tc>
        <w:tc>
          <w:tcPr>
            <w:tcW w:type="dxa" w:w="1560"/>
            <w:tcMar>
              <w:top w:w="80" w:type="dxa"/>
              <w:start w:w="120" w:type="dxa"/>
              <w:bottom w:w="80" w:type="dxa"/>
              <w:end w:w="120" w:type="dxa"/>
            </w:tcMar>
            <w:vAlign w:val="center"/>
            <w:shd w:fill="F2F4F7"/>
          </w:tcPr>
          <w:p>
            <w:pPr>
              <w:spacing w:after="0"/>
            </w:pPr>
            <w:r>
              <w:rPr>
                <w:rFonts w:ascii="Calibri" w:hAnsi="Calibri"/>
                <w:b/>
                <w:color w:val="12263A"/>
                <w:sz w:val="16"/>
              </w:rPr>
              <w:t>Negative</w:t>
            </w:r>
          </w:p>
        </w:tc>
      </w:tr>
      <w:tr>
        <w:tc>
          <w:tcPr>
            <w:tcW w:type="dxa" w:w="1700"/>
            <w:tcMar>
              <w:top w:w="80" w:type="dxa"/>
              <w:start w:w="120" w:type="dxa"/>
              <w:bottom w:w="80" w:type="dxa"/>
              <w:end w:w="120" w:type="dxa"/>
            </w:tcMar>
          </w:tcPr>
          <w:p>
            <w:pPr>
              <w:spacing w:after="0"/>
            </w:pPr>
            <w:r>
              <w:rPr>
                <w:rFonts w:ascii="Calibri" w:hAnsi="Calibri"/>
                <w:color w:val="24303F"/>
                <w:sz w:val="16"/>
              </w:rPr>
              <w:t>Plain VADER</w:t>
            </w:r>
          </w:p>
        </w:tc>
        <w:tc>
          <w:tcPr>
            <w:tcW w:type="dxa" w:w="1550"/>
            <w:tcMar>
              <w:top w:w="80" w:type="dxa"/>
              <w:start w:w="120" w:type="dxa"/>
              <w:bottom w:w="80" w:type="dxa"/>
              <w:end w:w="120" w:type="dxa"/>
            </w:tcMar>
          </w:tcPr>
          <w:p>
            <w:pPr>
              <w:spacing w:after="0"/>
            </w:pPr>
            <w:r>
              <w:rPr>
                <w:rFonts w:ascii="Calibri" w:hAnsi="Calibri"/>
                <w:color w:val="24303F"/>
                <w:sz w:val="16"/>
              </w:rPr>
              <w:t>146,830</w:t>
            </w:r>
          </w:p>
        </w:tc>
        <w:tc>
          <w:tcPr>
            <w:tcW w:type="dxa" w:w="1150"/>
            <w:tcMar>
              <w:top w:w="80" w:type="dxa"/>
              <w:start w:w="120" w:type="dxa"/>
              <w:bottom w:w="80" w:type="dxa"/>
              <w:end w:w="120" w:type="dxa"/>
            </w:tcMar>
          </w:tcPr>
          <w:p>
            <w:pPr>
              <w:spacing w:after="0"/>
            </w:pPr>
            <w:r>
              <w:rPr>
                <w:rFonts w:ascii="Calibri" w:hAnsi="Calibri"/>
                <w:color w:val="24303F"/>
                <w:sz w:val="16"/>
              </w:rPr>
              <w:t>0.106</w:t>
            </w:r>
          </w:p>
        </w:tc>
        <w:tc>
          <w:tcPr>
            <w:tcW w:type="dxa" w:w="1900"/>
            <w:tcMar>
              <w:top w:w="80" w:type="dxa"/>
              <w:start w:w="120" w:type="dxa"/>
              <w:bottom w:w="80" w:type="dxa"/>
              <w:end w:w="120" w:type="dxa"/>
            </w:tcMar>
          </w:tcPr>
          <w:p>
            <w:pPr>
              <w:spacing w:after="0"/>
            </w:pPr>
            <w:r>
              <w:rPr>
                <w:rFonts w:ascii="Calibri" w:hAnsi="Calibri"/>
                <w:color w:val="24303F"/>
                <w:sz w:val="16"/>
              </w:rPr>
              <w:t>48.8%</w:t>
            </w:r>
          </w:p>
        </w:tc>
        <w:tc>
          <w:tcPr>
            <w:tcW w:type="dxa" w:w="1500"/>
            <w:tcMar>
              <w:top w:w="80" w:type="dxa"/>
              <w:start w:w="120" w:type="dxa"/>
              <w:bottom w:w="80" w:type="dxa"/>
              <w:end w:w="120" w:type="dxa"/>
            </w:tcMar>
          </w:tcPr>
          <w:p>
            <w:pPr>
              <w:spacing w:after="0"/>
            </w:pPr>
            <w:r>
              <w:rPr>
                <w:rFonts w:ascii="Calibri" w:hAnsi="Calibri"/>
                <w:color w:val="24303F"/>
                <w:sz w:val="16"/>
              </w:rPr>
              <w:t>37.9%</w:t>
            </w:r>
          </w:p>
        </w:tc>
        <w:tc>
          <w:tcPr>
            <w:tcW w:type="dxa" w:w="1560"/>
            <w:tcMar>
              <w:top w:w="80" w:type="dxa"/>
              <w:start w:w="120" w:type="dxa"/>
              <w:bottom w:w="80" w:type="dxa"/>
              <w:end w:w="120" w:type="dxa"/>
            </w:tcMar>
          </w:tcPr>
          <w:p>
            <w:pPr>
              <w:spacing w:after="0"/>
            </w:pPr>
            <w:r>
              <w:rPr>
                <w:rFonts w:ascii="Calibri" w:hAnsi="Calibri"/>
                <w:color w:val="24303F"/>
                <w:sz w:val="16"/>
              </w:rPr>
              <w:t>13.2%</w:t>
            </w:r>
          </w:p>
        </w:tc>
      </w:tr>
      <w:tr>
        <w:tc>
          <w:tcPr>
            <w:tcW w:type="dxa" w:w="1700"/>
            <w:tcMar>
              <w:top w:w="80" w:type="dxa"/>
              <w:start w:w="120" w:type="dxa"/>
              <w:bottom w:w="80" w:type="dxa"/>
              <w:end w:w="120" w:type="dxa"/>
            </w:tcMar>
            <w:shd w:fill="FAFBFC"/>
          </w:tcPr>
          <w:p>
            <w:pPr>
              <w:spacing w:after="0"/>
            </w:pPr>
            <w:r>
              <w:rPr>
                <w:rFonts w:ascii="Calibri" w:hAnsi="Calibri"/>
                <w:color w:val="24303F"/>
                <w:sz w:val="16"/>
              </w:rPr>
              <w:t>finVADER</w:t>
            </w:r>
          </w:p>
        </w:tc>
        <w:tc>
          <w:tcPr>
            <w:tcW w:type="dxa" w:w="1550"/>
            <w:tcMar>
              <w:top w:w="80" w:type="dxa"/>
              <w:start w:w="120" w:type="dxa"/>
              <w:bottom w:w="80" w:type="dxa"/>
              <w:end w:w="120" w:type="dxa"/>
            </w:tcMar>
            <w:shd w:fill="FAFBFC"/>
          </w:tcPr>
          <w:p>
            <w:pPr>
              <w:spacing w:after="0"/>
            </w:pPr>
            <w:r>
              <w:rPr>
                <w:rFonts w:ascii="Calibri" w:hAnsi="Calibri"/>
                <w:color w:val="24303F"/>
                <w:sz w:val="16"/>
              </w:rPr>
              <w:t>146,830</w:t>
            </w:r>
          </w:p>
        </w:tc>
        <w:tc>
          <w:tcPr>
            <w:tcW w:type="dxa" w:w="1150"/>
            <w:tcMar>
              <w:top w:w="80" w:type="dxa"/>
              <w:start w:w="120" w:type="dxa"/>
              <w:bottom w:w="80" w:type="dxa"/>
              <w:end w:w="120" w:type="dxa"/>
            </w:tcMar>
            <w:shd w:fill="FAFBFC"/>
          </w:tcPr>
          <w:p>
            <w:pPr>
              <w:spacing w:after="0"/>
            </w:pPr>
            <w:r>
              <w:rPr>
                <w:rFonts w:ascii="Calibri" w:hAnsi="Calibri"/>
                <w:color w:val="24303F"/>
                <w:sz w:val="16"/>
              </w:rPr>
              <w:t>0.069</w:t>
            </w:r>
          </w:p>
        </w:tc>
        <w:tc>
          <w:tcPr>
            <w:tcW w:type="dxa" w:w="1900"/>
            <w:tcMar>
              <w:top w:w="80" w:type="dxa"/>
              <w:start w:w="120" w:type="dxa"/>
              <w:bottom w:w="80" w:type="dxa"/>
              <w:end w:w="120" w:type="dxa"/>
            </w:tcMar>
            <w:shd w:fill="FAFBFC"/>
          </w:tcPr>
          <w:p>
            <w:pPr>
              <w:spacing w:after="0"/>
            </w:pPr>
            <w:r>
              <w:rPr>
                <w:rFonts w:ascii="Calibri" w:hAnsi="Calibri"/>
                <w:color w:val="24303F"/>
                <w:sz w:val="16"/>
              </w:rPr>
              <w:t>16.9%</w:t>
            </w:r>
          </w:p>
        </w:tc>
        <w:tc>
          <w:tcPr>
            <w:tcW w:type="dxa" w:w="1500"/>
            <w:tcMar>
              <w:top w:w="80" w:type="dxa"/>
              <w:start w:w="120" w:type="dxa"/>
              <w:bottom w:w="80" w:type="dxa"/>
              <w:end w:w="120" w:type="dxa"/>
            </w:tcMar>
            <w:shd w:fill="FAFBFC"/>
          </w:tcPr>
          <w:p>
            <w:pPr>
              <w:spacing w:after="0"/>
            </w:pPr>
            <w:r>
              <w:rPr>
                <w:rFonts w:ascii="Calibri" w:hAnsi="Calibri"/>
                <w:color w:val="24303F"/>
                <w:sz w:val="16"/>
              </w:rPr>
              <w:t>64.5%</w:t>
            </w:r>
          </w:p>
        </w:tc>
        <w:tc>
          <w:tcPr>
            <w:tcW w:type="dxa" w:w="1560"/>
            <w:tcMar>
              <w:top w:w="80" w:type="dxa"/>
              <w:start w:w="120" w:type="dxa"/>
              <w:bottom w:w="80" w:type="dxa"/>
              <w:end w:w="120" w:type="dxa"/>
            </w:tcMar>
            <w:shd w:fill="FAFBFC"/>
          </w:tcPr>
          <w:p>
            <w:pPr>
              <w:spacing w:after="0"/>
            </w:pPr>
            <w:r>
              <w:rPr>
                <w:rFonts w:ascii="Calibri" w:hAnsi="Calibri"/>
                <w:color w:val="24303F"/>
                <w:sz w:val="16"/>
              </w:rPr>
              <w:t>18.6%</w:t>
            </w:r>
          </w:p>
        </w:tc>
      </w:tr>
    </w:tbl>
    <w:p>
      <w:pPr>
        <w:pStyle w:val="Caption"/>
      </w:pPr>
      <w:r>
        <w:t>Table 4. Descriptive sentiment-model coverage on the course headline panel, 2020–2023.</w:t>
      </w:r>
    </w:p>
    <w:p>
      <w:pPr>
        <w:pStyle w:val="Source"/>
      </w:pPr>
      <w:r>
        <w:t>Source: results/tables/sentiment_model_validation.csv. Shares classify compound score relative to zero; repeated news rows remain part of ticker-day coverage after exact duplicate removal.</w:t>
      </w:r>
    </w:p>
    <w:p>
      <w:pPr>
        <w:spacing w:after="0"/>
        <w:jc w:val="center"/>
      </w:pPr>
      <w:r>
        <w:drawing>
          <wp:inline xmlns:a="http://schemas.openxmlformats.org/drawingml/2006/main" xmlns:pic="http://schemas.openxmlformats.org/drawingml/2006/picture">
            <wp:extent cx="5303520" cy="2318125"/>
            <wp:docPr id="2" name="Picture 2"/>
            <wp:cNvGraphicFramePr>
              <a:graphicFrameLocks noChangeAspect="1"/>
            </wp:cNvGraphicFramePr>
            <a:graphic>
              <a:graphicData uri="http://schemas.openxmlformats.org/drawingml/2006/picture">
                <pic:pic>
                  <pic:nvPicPr>
                    <pic:cNvPr id="0" name="sentiment_model_validation.png"/>
                    <pic:cNvPicPr/>
                  </pic:nvPicPr>
                  <pic:blipFill>
                    <a:blip r:embed="rId12"/>
                    <a:stretch>
                      <a:fillRect/>
                    </a:stretch>
                  </pic:blipFill>
                  <pic:spPr>
                    <a:xfrm>
                      <a:off x="0" y="0"/>
                      <a:ext cx="5303520" cy="2318125"/>
                    </a:xfrm>
                    <a:prstGeom prst="rect"/>
                  </pic:spPr>
                </pic:pic>
              </a:graphicData>
            </a:graphic>
          </wp:inline>
        </w:drawing>
      </w:r>
    </w:p>
    <w:p>
      <w:pPr>
        <w:pStyle w:val="Caption"/>
      </w:pPr>
      <w:r>
        <w:t>Figure 2. Plain VADER versus finVADER classification coverage and mean tone.</w:t>
      </w:r>
    </w:p>
    <w:p>
      <w:pPr>
        <w:pStyle w:val="Source"/>
      </w:pPr>
      <w:r>
        <w:t>Source: FINS5545 news headlines; student calculations; 2020–2023.</w:t>
      </w:r>
    </w:p>
    <w:p>
      <w:pPr>
        <w:spacing w:after="80"/>
      </w:pPr>
      <w:r>
        <w:rPr>
          <w:rFonts w:ascii="Calibri" w:hAnsi="Calibri"/>
          <w:i w:val="0"/>
          <w:color w:val="667085"/>
          <w:sz w:val="19"/>
        </w:rPr>
        <w:t>finVADER reduces exact-neutral classifications from 48.8% to 16.9%, evidence that the finance lexicons detect domain language. The lower mean tone also shows that model choice materially changes the index; it does not demonstrate predictive 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Missing days and live use</w:t>
            </w:r>
          </w:p>
          <w:p>
            <w:pPr>
              <w:spacing w:after="0"/>
            </w:pPr>
            <w:r>
              <w:rPr>
                <w:rFonts w:ascii="Calibri" w:hAnsi="Calibri"/>
                <w:color w:val="24303F"/>
                <w:sz w:val="20"/>
              </w:rPr>
              <w:t>A ticker’s last score carries for at most five equity trading days, then becomes neutral. The filled signal is shifted one full trading day before 21-day smoothing. Fear/greed standardisation uses expanding history; the full-sample z-score is descriptive only.</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06</w:t>
      </w:r>
    </w:p>
    <w:p>
      <w:pPr>
        <w:pStyle w:val="Heading1"/>
        <w:spacing w:before="0"/>
      </w:pPr>
      <w:r>
        <w:t>Innovation: fusion with an honest null</w:t>
      </w:r>
    </w:p>
    <w:p>
      <w:pPr>
        <w:spacing w:after="160"/>
      </w:pPr>
      <w:r>
        <w:rPr>
          <w:rFonts w:ascii="Calibri" w:hAnsi="Calibri"/>
          <w:i w:val="0"/>
          <w:color w:val="667085"/>
          <w:sz w:val="21"/>
        </w:rPr>
        <w:t>Finance-specific sentiment is tested inside the allocation process, then challenged with turnover and costs.</w:t>
      </w:r>
    </w:p>
    <w:p>
      <w:r>
        <w:rPr>
          <w:rFonts w:ascii="Calibri" w:hAnsi="Calibri"/>
          <w:i w:val="0"/>
          <w:color w:val="24303F"/>
          <w:sz w:val="22"/>
        </w:rPr>
        <w:t>At each monthly equity rebalance, the lagged 21-day finVADER signal is cross-sectionally standardised and winsorised at ±2.5. Equity Minimum-Variance base targets are multiplied by exp(λz) and renormalised, preserving long-only full investment. A mild momentum candidate λ=+0.25 is specified for the before/after test. Separately, a grid from −0.75 to +0.75 is evaluated only in 2021–2022; 2023 remains untouched.</w:t>
      </w:r>
    </w:p>
    <w:tbl>
      <w:tblPr>
        <w:tblStyle w:val="TableGrid"/>
        <w:tblW w:type="dxa" w:w="9360"/>
        <w:jc w:val="left"/>
        <w:tblLayout w:type="fixed"/>
        <w:tblLook w:firstColumn="1" w:firstRow="1" w:lastColumn="0" w:lastRow="0" w:noHBand="0" w:noVBand="1" w:val="04A0"/>
        <w:tblInd w:w="120" w:type="dxa"/>
      </w:tblPr>
      <w:tblGrid>
        <w:gridCol w:w="2800"/>
        <w:gridCol w:w="1050"/>
        <w:gridCol w:w="950"/>
        <w:gridCol w:w="950"/>
        <w:gridCol w:w="1050"/>
        <w:gridCol w:w="2560"/>
      </w:tblGrid>
      <w:tr>
        <w:trPr>
          <w:tblHeader w:val="true"/>
        </w:trPr>
        <w:tc>
          <w:tcPr>
            <w:tcW w:type="dxa" w:w="2800"/>
            <w:tcMar>
              <w:top w:w="80" w:type="dxa"/>
              <w:start w:w="120" w:type="dxa"/>
              <w:bottom w:w="80" w:type="dxa"/>
              <w:end w:w="120" w:type="dxa"/>
            </w:tcMar>
            <w:vAlign w:val="center"/>
            <w:shd w:fill="F2F4F7"/>
          </w:tcPr>
          <w:p>
            <w:pPr>
              <w:spacing w:after="0"/>
            </w:pPr>
            <w:r>
              <w:rPr>
                <w:rFonts w:ascii="Calibri" w:hAnsi="Calibri"/>
                <w:b/>
                <w:color w:val="12263A"/>
                <w:sz w:val="16"/>
              </w:rPr>
              <w:t>2023 holdout</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6"/>
              </w:rPr>
              <w:t>Return</w:t>
            </w:r>
          </w:p>
        </w:tc>
        <w:tc>
          <w:tcPr>
            <w:tcW w:type="dxa" w:w="950"/>
            <w:tcMar>
              <w:top w:w="80" w:type="dxa"/>
              <w:start w:w="120" w:type="dxa"/>
              <w:bottom w:w="80" w:type="dxa"/>
              <w:end w:w="120" w:type="dxa"/>
            </w:tcMar>
            <w:vAlign w:val="center"/>
            <w:shd w:fill="F2F4F7"/>
          </w:tcPr>
          <w:p>
            <w:pPr>
              <w:spacing w:after="0"/>
            </w:pPr>
            <w:r>
              <w:rPr>
                <w:rFonts w:ascii="Calibri" w:hAnsi="Calibri"/>
                <w:b/>
                <w:color w:val="12263A"/>
                <w:sz w:val="16"/>
              </w:rPr>
              <w:t>Vol.</w:t>
            </w:r>
          </w:p>
        </w:tc>
        <w:tc>
          <w:tcPr>
            <w:tcW w:type="dxa" w:w="950"/>
            <w:tcMar>
              <w:top w:w="80" w:type="dxa"/>
              <w:start w:w="120" w:type="dxa"/>
              <w:bottom w:w="80" w:type="dxa"/>
              <w:end w:w="120" w:type="dxa"/>
            </w:tcMar>
            <w:vAlign w:val="center"/>
            <w:shd w:fill="F2F4F7"/>
          </w:tcPr>
          <w:p>
            <w:pPr>
              <w:spacing w:after="0"/>
            </w:pPr>
            <w:r>
              <w:rPr>
                <w:rFonts w:ascii="Calibri" w:hAnsi="Calibri"/>
                <w:b/>
                <w:color w:val="12263A"/>
                <w:sz w:val="16"/>
              </w:rPr>
              <w:t>Sharpe</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6"/>
              </w:rPr>
              <w:t>MDD</w:t>
            </w:r>
          </w:p>
        </w:tc>
        <w:tc>
          <w:tcPr>
            <w:tcW w:type="dxa" w:w="2560"/>
            <w:tcMar>
              <w:top w:w="80" w:type="dxa"/>
              <w:start w:w="120" w:type="dxa"/>
              <w:bottom w:w="80" w:type="dxa"/>
              <w:end w:w="120" w:type="dxa"/>
            </w:tcMar>
            <w:vAlign w:val="center"/>
            <w:shd w:fill="F2F4F7"/>
          </w:tcPr>
          <w:p>
            <w:pPr>
              <w:spacing w:after="0"/>
            </w:pPr>
            <w:r>
              <w:rPr>
                <w:rFonts w:ascii="Calibri" w:hAnsi="Calibri"/>
                <w:b/>
                <w:color w:val="12263A"/>
                <w:sz w:val="16"/>
              </w:rPr>
              <w:t>Turnover</w:t>
            </w:r>
          </w:p>
        </w:tc>
      </w:tr>
      <w:tr>
        <w:tc>
          <w:tcPr>
            <w:tcW w:type="dxa" w:w="2800"/>
            <w:tcMar>
              <w:top w:w="80" w:type="dxa"/>
              <w:start w:w="120" w:type="dxa"/>
              <w:bottom w:w="80" w:type="dxa"/>
              <w:end w:w="120" w:type="dxa"/>
            </w:tcMar>
          </w:tcPr>
          <w:p>
            <w:pPr>
              <w:spacing w:after="0"/>
            </w:pPr>
            <w:r>
              <w:rPr>
                <w:rFonts w:ascii="Calibri" w:hAnsi="Calibri"/>
                <w:color w:val="24303F"/>
                <w:sz w:val="16"/>
              </w:rPr>
              <w:t>Base Equity Minimum-Variance</w:t>
            </w:r>
          </w:p>
        </w:tc>
        <w:tc>
          <w:tcPr>
            <w:tcW w:type="dxa" w:w="1050"/>
            <w:tcMar>
              <w:top w:w="80" w:type="dxa"/>
              <w:start w:w="120" w:type="dxa"/>
              <w:bottom w:w="80" w:type="dxa"/>
              <w:end w:w="120" w:type="dxa"/>
            </w:tcMar>
          </w:tcPr>
          <w:p>
            <w:pPr>
              <w:spacing w:after="0"/>
            </w:pPr>
            <w:r>
              <w:rPr>
                <w:rFonts w:ascii="Calibri" w:hAnsi="Calibri"/>
                <w:color w:val="24303F"/>
                <w:sz w:val="16"/>
              </w:rPr>
              <w:t>5.1%</w:t>
            </w:r>
          </w:p>
        </w:tc>
        <w:tc>
          <w:tcPr>
            <w:tcW w:type="dxa" w:w="950"/>
            <w:tcMar>
              <w:top w:w="80" w:type="dxa"/>
              <w:start w:w="120" w:type="dxa"/>
              <w:bottom w:w="80" w:type="dxa"/>
              <w:end w:w="120" w:type="dxa"/>
            </w:tcMar>
          </w:tcPr>
          <w:p>
            <w:pPr>
              <w:spacing w:after="0"/>
            </w:pPr>
            <w:r>
              <w:rPr>
                <w:rFonts w:ascii="Calibri" w:hAnsi="Calibri"/>
                <w:color w:val="24303F"/>
                <w:sz w:val="16"/>
              </w:rPr>
              <w:t>11.0%</w:t>
            </w:r>
          </w:p>
        </w:tc>
        <w:tc>
          <w:tcPr>
            <w:tcW w:type="dxa" w:w="950"/>
            <w:tcMar>
              <w:top w:w="80" w:type="dxa"/>
              <w:start w:w="120" w:type="dxa"/>
              <w:bottom w:w="80" w:type="dxa"/>
              <w:end w:w="120" w:type="dxa"/>
            </w:tcMar>
          </w:tcPr>
          <w:p>
            <w:pPr>
              <w:spacing w:after="0"/>
            </w:pPr>
            <w:r>
              <w:rPr>
                <w:rFonts w:ascii="Calibri" w:hAnsi="Calibri"/>
                <w:color w:val="24303F"/>
                <w:sz w:val="16"/>
              </w:rPr>
              <w:t>0.51</w:t>
            </w:r>
          </w:p>
        </w:tc>
        <w:tc>
          <w:tcPr>
            <w:tcW w:type="dxa" w:w="1050"/>
            <w:tcMar>
              <w:top w:w="80" w:type="dxa"/>
              <w:start w:w="120" w:type="dxa"/>
              <w:bottom w:w="80" w:type="dxa"/>
              <w:end w:w="120" w:type="dxa"/>
            </w:tcMar>
          </w:tcPr>
          <w:p>
            <w:pPr>
              <w:spacing w:after="0"/>
            </w:pPr>
            <w:r>
              <w:rPr>
                <w:rFonts w:ascii="Calibri" w:hAnsi="Calibri"/>
                <w:color w:val="24303F"/>
                <w:sz w:val="16"/>
              </w:rPr>
              <w:t>-8.6%</w:t>
            </w:r>
          </w:p>
        </w:tc>
        <w:tc>
          <w:tcPr>
            <w:tcW w:type="dxa" w:w="2560"/>
            <w:tcMar>
              <w:top w:w="80" w:type="dxa"/>
              <w:start w:w="120" w:type="dxa"/>
              <w:bottom w:w="80" w:type="dxa"/>
              <w:end w:w="120" w:type="dxa"/>
            </w:tcMar>
          </w:tcPr>
          <w:p>
            <w:pPr>
              <w:spacing w:after="0"/>
            </w:pPr>
            <w:r>
              <w:rPr>
                <w:rFonts w:ascii="Calibri" w:hAnsi="Calibri"/>
                <w:color w:val="24303F"/>
                <w:sz w:val="16"/>
              </w:rPr>
              <w:t>0.27x</w:t>
            </w:r>
          </w:p>
        </w:tc>
      </w:tr>
      <w:tr>
        <w:tc>
          <w:tcPr>
            <w:tcW w:type="dxa" w:w="2800"/>
            <w:tcMar>
              <w:top w:w="80" w:type="dxa"/>
              <w:start w:w="120" w:type="dxa"/>
              <w:bottom w:w="80" w:type="dxa"/>
              <w:end w:w="120" w:type="dxa"/>
            </w:tcMar>
            <w:shd w:fill="FAFBFC"/>
          </w:tcPr>
          <w:p>
            <w:pPr>
              <w:spacing w:after="0"/>
            </w:pPr>
            <w:r>
              <w:rPr>
                <w:rFonts w:ascii="Calibri" w:hAnsi="Calibri"/>
                <w:color w:val="24303F"/>
                <w:sz w:val="16"/>
              </w:rPr>
              <w:t>Finance-Sentiment Tilt</w:t>
            </w:r>
          </w:p>
        </w:tc>
        <w:tc>
          <w:tcPr>
            <w:tcW w:type="dxa" w:w="1050"/>
            <w:tcMar>
              <w:top w:w="80" w:type="dxa"/>
              <w:start w:w="120" w:type="dxa"/>
              <w:bottom w:w="80" w:type="dxa"/>
              <w:end w:w="120" w:type="dxa"/>
            </w:tcMar>
            <w:shd w:fill="FAFBFC"/>
          </w:tcPr>
          <w:p>
            <w:pPr>
              <w:spacing w:after="0"/>
            </w:pPr>
            <w:r>
              <w:rPr>
                <w:rFonts w:ascii="Calibri" w:hAnsi="Calibri"/>
                <w:color w:val="24303F"/>
                <w:sz w:val="16"/>
              </w:rPr>
              <w:t>5.3%</w:t>
            </w:r>
          </w:p>
        </w:tc>
        <w:tc>
          <w:tcPr>
            <w:tcW w:type="dxa" w:w="950"/>
            <w:tcMar>
              <w:top w:w="80" w:type="dxa"/>
              <w:start w:w="120" w:type="dxa"/>
              <w:bottom w:w="80" w:type="dxa"/>
              <w:end w:w="120" w:type="dxa"/>
            </w:tcMar>
            <w:shd w:fill="FAFBFC"/>
          </w:tcPr>
          <w:p>
            <w:pPr>
              <w:spacing w:after="0"/>
            </w:pPr>
            <w:r>
              <w:rPr>
                <w:rFonts w:ascii="Calibri" w:hAnsi="Calibri"/>
                <w:color w:val="24303F"/>
                <w:sz w:val="16"/>
              </w:rPr>
              <w:t>11.0%</w:t>
            </w:r>
          </w:p>
        </w:tc>
        <w:tc>
          <w:tcPr>
            <w:tcW w:type="dxa" w:w="950"/>
            <w:tcMar>
              <w:top w:w="80" w:type="dxa"/>
              <w:start w:w="120" w:type="dxa"/>
              <w:bottom w:w="80" w:type="dxa"/>
              <w:end w:w="120" w:type="dxa"/>
            </w:tcMar>
            <w:shd w:fill="FAFBFC"/>
          </w:tcPr>
          <w:p>
            <w:pPr>
              <w:spacing w:after="0"/>
            </w:pPr>
            <w:r>
              <w:rPr>
                <w:rFonts w:ascii="Calibri" w:hAnsi="Calibri"/>
                <w:color w:val="24303F"/>
                <w:sz w:val="16"/>
              </w:rPr>
              <w:t>0.52</w:t>
            </w:r>
          </w:p>
        </w:tc>
        <w:tc>
          <w:tcPr>
            <w:tcW w:type="dxa" w:w="1050"/>
            <w:tcMar>
              <w:top w:w="80" w:type="dxa"/>
              <w:start w:w="120" w:type="dxa"/>
              <w:bottom w:w="80" w:type="dxa"/>
              <w:end w:w="120" w:type="dxa"/>
            </w:tcMar>
            <w:shd w:fill="FAFBFC"/>
          </w:tcPr>
          <w:p>
            <w:pPr>
              <w:spacing w:after="0"/>
            </w:pPr>
            <w:r>
              <w:rPr>
                <w:rFonts w:ascii="Calibri" w:hAnsi="Calibri"/>
                <w:color w:val="24303F"/>
                <w:sz w:val="16"/>
              </w:rPr>
              <w:t>-8.5%</w:t>
            </w:r>
          </w:p>
        </w:tc>
        <w:tc>
          <w:tcPr>
            <w:tcW w:type="dxa" w:w="2560"/>
            <w:tcMar>
              <w:top w:w="80" w:type="dxa"/>
              <w:start w:w="120" w:type="dxa"/>
              <w:bottom w:w="80" w:type="dxa"/>
              <w:end w:w="120" w:type="dxa"/>
            </w:tcMar>
            <w:shd w:fill="FAFBFC"/>
          </w:tcPr>
          <w:p>
            <w:pPr>
              <w:spacing w:after="0"/>
            </w:pPr>
            <w:r>
              <w:rPr>
                <w:rFonts w:ascii="Calibri" w:hAnsi="Calibri"/>
                <w:color w:val="24303F"/>
                <w:sz w:val="16"/>
              </w:rPr>
              <w:t>1.04x</w:t>
            </w:r>
          </w:p>
        </w:tc>
      </w:tr>
    </w:tbl>
    <w:p>
      <w:pPr>
        <w:pStyle w:val="Caption"/>
      </w:pPr>
      <w:r>
        <w:t>Table 5. Required before/after fusion test on the untouched 2023 holdout, net of 10 bps one-way costs.</w:t>
      </w:r>
    </w:p>
    <w:p>
      <w:pPr>
        <w:pStyle w:val="Source"/>
      </w:pPr>
      <w:r>
        <w:t>Source: results/tables/fusion_performance.csv. Base is Equity Equal-Weight; signal is lagged finVADER.</w:t>
      </w:r>
    </w:p>
    <w:p>
      <w:pPr>
        <w:spacing w:after="0"/>
        <w:jc w:val="center"/>
      </w:pPr>
      <w:r>
        <w:drawing>
          <wp:inline xmlns:a="http://schemas.openxmlformats.org/drawingml/2006/main" xmlns:pic="http://schemas.openxmlformats.org/drawingml/2006/picture">
            <wp:extent cx="5257800" cy="2571948"/>
            <wp:docPr id="3" name="Picture 3"/>
            <wp:cNvGraphicFramePr>
              <a:graphicFrameLocks noChangeAspect="1"/>
            </wp:cNvGraphicFramePr>
            <a:graphic>
              <a:graphicData uri="http://schemas.openxmlformats.org/drawingml/2006/picture">
                <pic:pic>
                  <pic:nvPicPr>
                    <pic:cNvPr id="0" name="fusion_holdout_comparison.png"/>
                    <pic:cNvPicPr/>
                  </pic:nvPicPr>
                  <pic:blipFill>
                    <a:blip r:embed="rId13"/>
                    <a:stretch>
                      <a:fillRect/>
                    </a:stretch>
                  </pic:blipFill>
                  <pic:spPr>
                    <a:xfrm>
                      <a:off x="0" y="0"/>
                      <a:ext cx="5257800" cy="2571948"/>
                    </a:xfrm>
                    <a:prstGeom prst="rect"/>
                  </pic:spPr>
                </pic:pic>
              </a:graphicData>
            </a:graphic>
          </wp:inline>
        </w:drawing>
      </w:r>
    </w:p>
    <w:p>
      <w:pPr>
        <w:pStyle w:val="Caption"/>
      </w:pPr>
      <w:r>
        <w:t>Figure 3. Growth of $1 for the base and pre-set sentiment candidate in 2023.</w:t>
      </w:r>
    </w:p>
    <w:p>
      <w:pPr>
        <w:pStyle w:val="Source"/>
      </w:pPr>
      <w:r>
        <w:t>Source: FINS5545 equity returns and headlines; student calculations; 10 bps one-way cost.</w:t>
      </w:r>
    </w:p>
    <w:p>
      <w:pPr>
        <w:spacing w:after="80"/>
      </w:pPr>
      <w:r>
        <w:rPr>
          <w:rFonts w:ascii="Calibri" w:hAnsi="Calibri"/>
          <w:i w:val="0"/>
          <w:color w:val="667085"/>
          <w:sz w:val="19"/>
        </w:rPr>
        <w:t>The candidate finishes slightly ahead in 2023, but the difference is small. The discovery grid selects λ=0.00, and the candidate’s higher turnover makes the result fragile to cost.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EC"/>
            <w:tcBorders>
              <w:start w:val="single" w:sz="18" w:color="E76F51"/>
            </w:tcBorders>
          </w:tcPr>
          <w:p>
            <w:pPr>
              <w:spacing w:after="40"/>
            </w:pPr>
            <w:r>
              <w:rPr>
                <w:rFonts w:ascii="Calibri" w:hAnsi="Calibri"/>
                <w:b/>
                <w:color w:val="12263A"/>
                <w:sz w:val="21"/>
              </w:rPr>
              <w:t>Governance decision</w:t>
            </w:r>
          </w:p>
          <w:p>
            <w:pPr>
              <w:spacing w:after="0"/>
            </w:pPr>
            <w:r>
              <w:rPr>
                <w:rFonts w:ascii="Calibri" w:hAnsi="Calibri"/>
                <w:color w:val="24303F"/>
                <w:sz w:val="20"/>
              </w:rPr>
              <w:t>Do not productise the tilt. Preserve it as a monitored research layer, require rolling pseudo-holdouts across additional regimes, and introduce an explicit turnover budget before reconsideration.</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07</w:t>
      </w:r>
    </w:p>
    <w:p>
      <w:pPr>
        <w:pStyle w:val="Heading1"/>
        <w:spacing w:before="0"/>
      </w:pPr>
      <w:r>
        <w:t>Investor journey and recommendations</w:t>
      </w:r>
    </w:p>
    <w:p>
      <w:pPr>
        <w:spacing w:after="160"/>
      </w:pPr>
      <w:r>
        <w:rPr>
          <w:rFonts w:ascii="Calibri" w:hAnsi="Calibri"/>
          <w:i w:val="0"/>
          <w:color w:val="667085"/>
          <w:sz w:val="21"/>
        </w:rPr>
        <w:t>The app turns the evidence into five decisions a user can complete without rerunning the model.</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F2F4F7"/>
          </w:tcPr>
          <w:p>
            <w:pPr>
              <w:spacing w:after="0"/>
            </w:pPr>
            <w:r>
              <w:rPr>
                <w:rFonts w:ascii="Calibri" w:hAnsi="Calibri"/>
                <w:b/>
                <w:color w:val="12263A"/>
                <w:sz w:val="17"/>
              </w:rPr>
              <w:t>App task</w:t>
            </w:r>
          </w:p>
        </w:tc>
        <w:tc>
          <w:tcPr>
            <w:tcW w:type="dxa" w:w="7560"/>
            <w:tcMar>
              <w:top w:w="80" w:type="dxa"/>
              <w:start w:w="120" w:type="dxa"/>
              <w:bottom w:w="80" w:type="dxa"/>
              <w:end w:w="120" w:type="dxa"/>
            </w:tcMar>
            <w:vAlign w:val="center"/>
            <w:shd w:fill="F2F4F7"/>
          </w:tcPr>
          <w:p>
            <w:pPr>
              <w:spacing w:after="0"/>
            </w:pPr>
            <w:r>
              <w:rPr>
                <w:rFonts w:ascii="Calibri" w:hAnsi="Calibri"/>
                <w:b/>
                <w:color w:val="12263A"/>
                <w:sz w:val="17"/>
              </w:rPr>
              <w:t>What the user can do</w:t>
            </w:r>
          </w:p>
        </w:tc>
      </w:tr>
      <w:tr>
        <w:tc>
          <w:tcPr>
            <w:tcW w:type="dxa" w:w="1800"/>
            <w:tcMar>
              <w:top w:w="80" w:type="dxa"/>
              <w:start w:w="120" w:type="dxa"/>
              <w:bottom w:w="80" w:type="dxa"/>
              <w:end w:w="120" w:type="dxa"/>
            </w:tcMar>
          </w:tcPr>
          <w:p>
            <w:pPr>
              <w:spacing w:after="0"/>
            </w:pPr>
            <w:r>
              <w:rPr>
                <w:rFonts w:ascii="Calibri" w:hAnsi="Calibri"/>
                <w:color w:val="24303F"/>
                <w:sz w:val="17"/>
              </w:rPr>
              <w:t>Compare</w:t>
            </w:r>
          </w:p>
        </w:tc>
        <w:tc>
          <w:tcPr>
            <w:tcW w:type="dxa" w:w="7560"/>
            <w:tcMar>
              <w:top w:w="80" w:type="dxa"/>
              <w:start w:w="120" w:type="dxa"/>
              <w:bottom w:w="80" w:type="dxa"/>
              <w:end w:w="120" w:type="dxa"/>
            </w:tcMar>
          </w:tcPr>
          <w:p>
            <w:pPr>
              <w:spacing w:after="0"/>
            </w:pPr>
            <w:r>
              <w:rPr>
                <w:rFonts w:ascii="Calibri" w:hAnsi="Calibri"/>
                <w:color w:val="24303F"/>
                <w:sz w:val="17"/>
              </w:rPr>
              <w:t>Filter universes; rank all twelve funds; overlay growth paths.</w:t>
            </w:r>
          </w:p>
        </w:tc>
      </w:tr>
      <w:tr>
        <w:tc>
          <w:tcPr>
            <w:tcW w:type="dxa" w:w="1800"/>
            <w:tcMar>
              <w:top w:w="80" w:type="dxa"/>
              <w:start w:w="120" w:type="dxa"/>
              <w:bottom w:w="80" w:type="dxa"/>
              <w:end w:w="120" w:type="dxa"/>
            </w:tcMar>
            <w:shd w:fill="FAFBFC"/>
          </w:tcPr>
          <w:p>
            <w:pPr>
              <w:spacing w:after="0"/>
            </w:pPr>
            <w:r>
              <w:rPr>
                <w:rFonts w:ascii="Calibri" w:hAnsi="Calibri"/>
                <w:color w:val="24303F"/>
                <w:sz w:val="17"/>
              </w:rPr>
              <w:t>Fact sheet</w:t>
            </w:r>
          </w:p>
        </w:tc>
        <w:tc>
          <w:tcPr>
            <w:tcW w:type="dxa" w:w="7560"/>
            <w:tcMar>
              <w:top w:w="80" w:type="dxa"/>
              <w:start w:w="120" w:type="dxa"/>
              <w:bottom w:w="80" w:type="dxa"/>
              <w:end w:w="120" w:type="dxa"/>
            </w:tcMar>
            <w:shd w:fill="FAFBFC"/>
          </w:tcPr>
          <w:p>
            <w:pPr>
              <w:spacing w:after="0"/>
            </w:pPr>
            <w:r>
              <w:rPr>
                <w:rFonts w:ascii="Calibri" w:hAnsi="Calibri"/>
                <w:color w:val="24303F"/>
                <w:sz w:val="17"/>
              </w:rPr>
              <w:t>Choose any fund; inspect growth, drawdown, net metrics, turnover, and latest holdings.</w:t>
            </w:r>
          </w:p>
        </w:tc>
      </w:tr>
      <w:tr>
        <w:tc>
          <w:tcPr>
            <w:tcW w:type="dxa" w:w="1800"/>
            <w:tcMar>
              <w:top w:w="80" w:type="dxa"/>
              <w:start w:w="120" w:type="dxa"/>
              <w:bottom w:w="80" w:type="dxa"/>
              <w:end w:w="120" w:type="dxa"/>
            </w:tcMar>
          </w:tcPr>
          <w:p>
            <w:pPr>
              <w:spacing w:after="0"/>
            </w:pPr>
            <w:r>
              <w:rPr>
                <w:rFonts w:ascii="Calibri" w:hAnsi="Calibri"/>
                <w:color w:val="24303F"/>
                <w:sz w:val="17"/>
              </w:rPr>
              <w:t>Allocation lab</w:t>
            </w:r>
          </w:p>
        </w:tc>
        <w:tc>
          <w:tcPr>
            <w:tcW w:type="dxa" w:w="7560"/>
            <w:tcMar>
              <w:top w:w="80" w:type="dxa"/>
              <w:start w:w="120" w:type="dxa"/>
              <w:bottom w:w="80" w:type="dxa"/>
              <w:end w:w="120" w:type="dxa"/>
            </w:tcMar>
          </w:tcPr>
          <w:p>
            <w:pPr>
              <w:spacing w:after="0"/>
            </w:pPr>
            <w:r>
              <w:rPr>
                <w:rFonts w:ascii="Calibri" w:hAnsi="Calibri"/>
                <w:color w:val="24303F"/>
                <w:sz w:val="17"/>
              </w:rPr>
              <w:t>Blend 2–4 funds with normalised sliders and an annual fee; view an illustrative constant-mix path.</w:t>
            </w:r>
          </w:p>
        </w:tc>
      </w:tr>
      <w:tr>
        <w:tc>
          <w:tcPr>
            <w:tcW w:type="dxa" w:w="1800"/>
            <w:tcMar>
              <w:top w:w="80" w:type="dxa"/>
              <w:start w:w="120" w:type="dxa"/>
              <w:bottom w:w="80" w:type="dxa"/>
              <w:end w:w="120" w:type="dxa"/>
            </w:tcMar>
            <w:shd w:fill="FAFBFC"/>
          </w:tcPr>
          <w:p>
            <w:pPr>
              <w:spacing w:after="0"/>
            </w:pPr>
            <w:r>
              <w:rPr>
                <w:rFonts w:ascii="Calibri" w:hAnsi="Calibri"/>
                <w:color w:val="24303F"/>
                <w:sz w:val="17"/>
              </w:rPr>
              <w:t>Sentiment</w:t>
            </w:r>
          </w:p>
        </w:tc>
        <w:tc>
          <w:tcPr>
            <w:tcW w:type="dxa" w:w="7560"/>
            <w:tcMar>
              <w:top w:w="80" w:type="dxa"/>
              <w:start w:w="120" w:type="dxa"/>
              <w:bottom w:w="80" w:type="dxa"/>
              <w:end w:w="120" w:type="dxa"/>
            </w:tcMar>
            <w:shd w:fill="FAFBFC"/>
          </w:tcPr>
          <w:p>
            <w:pPr>
              <w:spacing w:after="0"/>
            </w:pPr>
            <w:r>
              <w:rPr>
                <w:rFonts w:ascii="Calibri" w:hAnsi="Calibri"/>
                <w:color w:val="24303F"/>
                <w:sz w:val="17"/>
              </w:rPr>
              <w:t>Read fear/greed, sector tone, model coverage, fusion holdout, and cost scenarios.</w:t>
            </w:r>
          </w:p>
        </w:tc>
      </w:tr>
      <w:tr>
        <w:tc>
          <w:tcPr>
            <w:tcW w:type="dxa" w:w="1800"/>
            <w:tcMar>
              <w:top w:w="80" w:type="dxa"/>
              <w:start w:w="120" w:type="dxa"/>
              <w:bottom w:w="80" w:type="dxa"/>
              <w:end w:w="120" w:type="dxa"/>
            </w:tcMar>
          </w:tcPr>
          <w:p>
            <w:pPr>
              <w:spacing w:after="0"/>
            </w:pPr>
            <w:r>
              <w:rPr>
                <w:rFonts w:ascii="Calibri" w:hAnsi="Calibri"/>
                <w:color w:val="24303F"/>
                <w:sz w:val="17"/>
              </w:rPr>
              <w:t>Method &amp; limits</w:t>
            </w:r>
          </w:p>
        </w:tc>
        <w:tc>
          <w:tcPr>
            <w:tcW w:type="dxa" w:w="7560"/>
            <w:tcMar>
              <w:top w:w="80" w:type="dxa"/>
              <w:start w:w="120" w:type="dxa"/>
              <w:bottom w:w="80" w:type="dxa"/>
              <w:end w:w="120" w:type="dxa"/>
            </w:tcMar>
          </w:tcPr>
          <w:p>
            <w:pPr>
              <w:spacing w:after="0"/>
            </w:pPr>
            <w:r>
              <w:rPr>
                <w:rFonts w:ascii="Calibri" w:hAnsi="Calibri"/>
                <w:color w:val="24303F"/>
                <w:sz w:val="17"/>
              </w:rPr>
              <w:t>See the backtest contract, no-look-ahead controls, and non-advice warnings.</w:t>
            </w:r>
          </w:p>
        </w:tc>
      </w:tr>
    </w:tbl>
    <w:p>
      <w:pPr>
        <w:pStyle w:val="Caption"/>
      </w:pPr>
      <w:r>
        <w:t>Table 6. MarketLens precomputed Streamlit customer journey.</w:t>
      </w:r>
    </w:p>
    <w:p>
      <w:pPr>
        <w:pStyle w:val="Source"/>
      </w:pPr>
      <w:r>
        <w:t>Source: streamlit_app.py. The deployed app reads committed results CSVs only; it performs no NLP, download, or optimisation.</w:t>
      </w:r>
    </w:p>
    <w:p>
      <w:pPr>
        <w:pStyle w:val="Heading3"/>
      </w:pPr>
      <w:r>
        <w:t>Recommendation 1 — launch comparison before recommendation</w:t>
      </w:r>
    </w:p>
    <w:p>
      <w:r>
        <w:rPr>
          <w:rFonts w:ascii="Calibri" w:hAnsi="Calibri"/>
          <w:i w:val="0"/>
          <w:color w:val="24303F"/>
          <w:sz w:val="20"/>
        </w:rPr>
        <w:t>Use Equity Equal-Weight as the default benchmark and Combined Risk Parity as a mixed-asset alternative. Always place return beside volatility, drawdown, turnover, and holdings.</w:t>
      </w:r>
    </w:p>
    <w:p>
      <w:pPr>
        <w:pStyle w:val="Heading3"/>
      </w:pPr>
      <w:r>
        <w:t>Recommendation 2 — treat crypto as a risk-labelled satellite</w:t>
      </w:r>
    </w:p>
    <w:p>
      <w:r>
        <w:rPr>
          <w:rFonts w:ascii="Calibri" w:hAnsi="Calibri"/>
          <w:i w:val="0"/>
          <w:color w:val="24303F"/>
          <w:sz w:val="20"/>
        </w:rPr>
        <w:t>The high crypto return does not offset its 70%+ drawdown for a general investor. Add an explicit high-risk acknowledgement before exposing crypto allocation controls.</w:t>
      </w:r>
    </w:p>
    <w:p>
      <w:pPr>
        <w:pStyle w:val="Heading3"/>
      </w:pPr>
      <w:r>
        <w:t>Recommendation 3 — research sentiment under a turnover budget</w:t>
      </w:r>
    </w:p>
    <w:p>
      <w:r>
        <w:rPr>
          <w:rFonts w:ascii="Calibri" w:hAnsi="Calibri"/>
          <w:i w:val="0"/>
          <w:color w:val="24303F"/>
          <w:sz w:val="20"/>
        </w:rPr>
        <w:t>Keep the sector and fear/greed indices as explanatory analytics. Re-test fusion using rolling discovery/holdout windows, capped monthly turnover, several carry/smoothing settings, and cost thresholds fixed before observing results.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Critical reflection</w:t>
            </w:r>
          </w:p>
          <w:p>
            <w:pPr>
              <w:spacing w:after="0"/>
            </w:pPr>
            <w:r>
              <w:rPr>
                <w:rFonts w:ascii="Calibri" w:hAnsi="Calibri"/>
                <w:color w:val="24303F"/>
                <w:sz w:val="20"/>
              </w:rPr>
              <w:t>The most valuable innovation finding is not the small positive 2023 difference; it is the process that prevents that difference from becoming a claim. Model coverage, timing, selection, turnover and cost all have to survive separate checks.</w:t>
            </w:r>
          </w:p>
        </w:tc>
      </w:tr>
    </w:tbl>
    <w:p>
      <w:pPr>
        <w:spacing w:after="40"/>
      </w:pPr>
      <w:r>
        <w:rPr>
          <w:rFonts w:ascii="Calibri" w:hAnsi="Calibri"/>
          <w:i w:val="0"/>
          <w:color w:val="24303F"/>
          <w:sz w:val="22"/>
        </w:rPr>
      </w:r>
    </w:p>
    <w:p>
      <w:r>
        <w:rPr>
          <w:rFonts w:ascii="Calibri" w:hAnsi="Calibri"/>
          <w:i/>
          <w:color w:val="667085"/>
          <w:sz w:val="17"/>
        </w:rPr>
        <w:t>Narrative ends here (8 pages including cover). Required exhibits, detailed tables, reproducibility evidence, and references follow in appendices and are excluded from the narrative page limit.</w:t>
      </w:r>
    </w:p>
    <w:p>
      <w:r>
        <w:br w:type="page"/>
      </w:r>
    </w:p>
    <w:p>
      <w:pPr>
        <w:spacing w:after="40"/>
      </w:pPr>
      <w:r>
        <w:rPr>
          <w:rFonts w:ascii="Calibri" w:hAnsi="Calibri"/>
          <w:b/>
          <w:color w:val="2A9D8F"/>
          <w:sz w:val="18"/>
        </w:rPr>
        <w:t>APPENDIX A</w:t>
      </w:r>
    </w:p>
    <w:p>
      <w:pPr>
        <w:pStyle w:val="Heading1"/>
        <w:spacing w:before="0"/>
      </w:pPr>
      <w:r>
        <w:t>Required exhibit: full performance table</w:t>
      </w:r>
    </w:p>
    <w:p>
      <w:pPr>
        <w:spacing w:after="160"/>
      </w:pPr>
      <w:r>
        <w:rPr>
          <w:rFonts w:ascii="Calibri" w:hAnsi="Calibri"/>
          <w:i w:val="0"/>
          <w:color w:val="667085"/>
          <w:sz w:val="21"/>
        </w:rPr>
        <w:t>All twelve funds; monthly walk-forward OOS; 2021–2023; net of 10 bps one-way costs.</w:t>
      </w:r>
    </w:p>
    <w:tbl>
      <w:tblPr>
        <w:tblStyle w:val="TableGrid"/>
        <w:tblW w:type="dxa" w:w="9360"/>
        <w:jc w:val="left"/>
        <w:tblLayout w:type="fixed"/>
        <w:tblLook w:firstColumn="1" w:firstRow="1" w:lastColumn="0" w:lastRow="0" w:noHBand="0" w:noVBand="1" w:val="04A0"/>
        <w:tblInd w:w="120" w:type="dxa"/>
      </w:tblPr>
      <w:tblGrid>
        <w:gridCol w:w="3000"/>
        <w:gridCol w:w="1050"/>
        <w:gridCol w:w="950"/>
        <w:gridCol w:w="900"/>
        <w:gridCol w:w="1050"/>
        <w:gridCol w:w="2410"/>
      </w:tblGrid>
      <w:tr>
        <w:trPr>
          <w:tblHeader w:val="true"/>
        </w:trPr>
        <w:tc>
          <w:tcPr>
            <w:tcW w:type="dxa" w:w="3000"/>
            <w:tcMar>
              <w:top w:w="80" w:type="dxa"/>
              <w:start w:w="120" w:type="dxa"/>
              <w:bottom w:w="80" w:type="dxa"/>
              <w:end w:w="120" w:type="dxa"/>
            </w:tcMar>
            <w:vAlign w:val="center"/>
            <w:shd w:fill="F2F4F7"/>
          </w:tcPr>
          <w:p>
            <w:pPr>
              <w:spacing w:after="0"/>
            </w:pPr>
            <w:r>
              <w:rPr>
                <w:rFonts w:ascii="Calibri" w:hAnsi="Calibri"/>
                <w:b/>
                <w:color w:val="12263A"/>
                <w:sz w:val="14"/>
              </w:rPr>
              <w:t>Fund</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4"/>
              </w:rPr>
              <w:t>Return</w:t>
            </w:r>
          </w:p>
        </w:tc>
        <w:tc>
          <w:tcPr>
            <w:tcW w:type="dxa" w:w="950"/>
            <w:tcMar>
              <w:top w:w="80" w:type="dxa"/>
              <w:start w:w="120" w:type="dxa"/>
              <w:bottom w:w="80" w:type="dxa"/>
              <w:end w:w="120" w:type="dxa"/>
            </w:tcMar>
            <w:vAlign w:val="center"/>
            <w:shd w:fill="F2F4F7"/>
          </w:tcPr>
          <w:p>
            <w:pPr>
              <w:spacing w:after="0"/>
            </w:pPr>
            <w:r>
              <w:rPr>
                <w:rFonts w:ascii="Calibri" w:hAnsi="Calibri"/>
                <w:b/>
                <w:color w:val="12263A"/>
                <w:sz w:val="14"/>
              </w:rPr>
              <w:t>Vol.</w:t>
            </w:r>
          </w:p>
        </w:tc>
        <w:tc>
          <w:tcPr>
            <w:tcW w:type="dxa" w:w="900"/>
            <w:tcMar>
              <w:top w:w="80" w:type="dxa"/>
              <w:start w:w="120" w:type="dxa"/>
              <w:bottom w:w="80" w:type="dxa"/>
              <w:end w:w="120" w:type="dxa"/>
            </w:tcMar>
            <w:vAlign w:val="center"/>
            <w:shd w:fill="F2F4F7"/>
          </w:tcPr>
          <w:p>
            <w:pPr>
              <w:spacing w:after="0"/>
            </w:pPr>
            <w:r>
              <w:rPr>
                <w:rFonts w:ascii="Calibri" w:hAnsi="Calibri"/>
                <w:b/>
                <w:color w:val="12263A"/>
                <w:sz w:val="14"/>
              </w:rPr>
              <w:t>Sharpe</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4"/>
              </w:rPr>
              <w:t>MDD</w:t>
            </w:r>
          </w:p>
        </w:tc>
        <w:tc>
          <w:tcPr>
            <w:tcW w:type="dxa" w:w="2410"/>
            <w:tcMar>
              <w:top w:w="80" w:type="dxa"/>
              <w:start w:w="120" w:type="dxa"/>
              <w:bottom w:w="80" w:type="dxa"/>
              <w:end w:w="120" w:type="dxa"/>
            </w:tcMar>
            <w:vAlign w:val="center"/>
            <w:shd w:fill="F2F4F7"/>
          </w:tcPr>
          <w:p>
            <w:pPr>
              <w:spacing w:after="0"/>
            </w:pPr>
            <w:r>
              <w:rPr>
                <w:rFonts w:ascii="Calibri" w:hAnsi="Calibri"/>
                <w:b/>
                <w:color w:val="12263A"/>
                <w:sz w:val="14"/>
              </w:rPr>
              <w:t>Turnover/yr</w:t>
            </w:r>
          </w:p>
        </w:tc>
      </w:tr>
      <w:tr>
        <w:tc>
          <w:tcPr>
            <w:tcW w:type="dxa" w:w="3000"/>
            <w:tcMar>
              <w:top w:w="80" w:type="dxa"/>
              <w:start w:w="120" w:type="dxa"/>
              <w:bottom w:w="80" w:type="dxa"/>
              <w:end w:w="120" w:type="dxa"/>
            </w:tcMar>
          </w:tcPr>
          <w:p>
            <w:pPr>
              <w:spacing w:after="0"/>
            </w:pPr>
            <w:r>
              <w:rPr>
                <w:rFonts w:ascii="Calibri" w:hAnsi="Calibri"/>
                <w:color w:val="24303F"/>
                <w:sz w:val="14"/>
              </w:rPr>
              <w:t>Equity Equal-Weight</w:t>
            </w:r>
          </w:p>
        </w:tc>
        <w:tc>
          <w:tcPr>
            <w:tcW w:type="dxa" w:w="1050"/>
            <w:tcMar>
              <w:top w:w="80" w:type="dxa"/>
              <w:start w:w="120" w:type="dxa"/>
              <w:bottom w:w="80" w:type="dxa"/>
              <w:end w:w="120" w:type="dxa"/>
            </w:tcMar>
          </w:tcPr>
          <w:p>
            <w:pPr>
              <w:spacing w:after="0"/>
            </w:pPr>
            <w:r>
              <w:rPr>
                <w:rFonts w:ascii="Calibri" w:hAnsi="Calibri"/>
                <w:color w:val="24303F"/>
                <w:sz w:val="14"/>
              </w:rPr>
              <w:t>12.6%</w:t>
            </w:r>
          </w:p>
        </w:tc>
        <w:tc>
          <w:tcPr>
            <w:tcW w:type="dxa" w:w="950"/>
            <w:tcMar>
              <w:top w:w="80" w:type="dxa"/>
              <w:start w:w="120" w:type="dxa"/>
              <w:bottom w:w="80" w:type="dxa"/>
              <w:end w:w="120" w:type="dxa"/>
            </w:tcMar>
          </w:tcPr>
          <w:p>
            <w:pPr>
              <w:spacing w:after="0"/>
            </w:pPr>
            <w:r>
              <w:rPr>
                <w:rFonts w:ascii="Calibri" w:hAnsi="Calibri"/>
                <w:color w:val="24303F"/>
                <w:sz w:val="14"/>
              </w:rPr>
              <w:t>16.1%</w:t>
            </w:r>
          </w:p>
        </w:tc>
        <w:tc>
          <w:tcPr>
            <w:tcW w:type="dxa" w:w="900"/>
            <w:tcMar>
              <w:top w:w="80" w:type="dxa"/>
              <w:start w:w="120" w:type="dxa"/>
              <w:bottom w:w="80" w:type="dxa"/>
              <w:end w:w="120" w:type="dxa"/>
            </w:tcMar>
          </w:tcPr>
          <w:p>
            <w:pPr>
              <w:spacing w:after="0"/>
            </w:pPr>
            <w:r>
              <w:rPr>
                <w:rFonts w:ascii="Calibri" w:hAnsi="Calibri"/>
                <w:color w:val="24303F"/>
                <w:sz w:val="14"/>
              </w:rPr>
              <w:t>0.82</w:t>
            </w:r>
          </w:p>
        </w:tc>
        <w:tc>
          <w:tcPr>
            <w:tcW w:type="dxa" w:w="1050"/>
            <w:tcMar>
              <w:top w:w="80" w:type="dxa"/>
              <w:start w:w="120" w:type="dxa"/>
              <w:bottom w:w="80" w:type="dxa"/>
              <w:end w:w="120" w:type="dxa"/>
            </w:tcMar>
          </w:tcPr>
          <w:p>
            <w:pPr>
              <w:spacing w:after="0"/>
            </w:pPr>
            <w:r>
              <w:rPr>
                <w:rFonts w:ascii="Calibri" w:hAnsi="Calibri"/>
                <w:color w:val="24303F"/>
                <w:sz w:val="14"/>
              </w:rPr>
              <w:t>-20.3%</w:t>
            </w:r>
          </w:p>
        </w:tc>
        <w:tc>
          <w:tcPr>
            <w:tcW w:type="dxa" w:w="2410"/>
            <w:tcMar>
              <w:top w:w="80" w:type="dxa"/>
              <w:start w:w="120" w:type="dxa"/>
              <w:bottom w:w="80" w:type="dxa"/>
              <w:end w:w="120" w:type="dxa"/>
            </w:tcMar>
          </w:tcPr>
          <w:p>
            <w:pPr>
              <w:spacing w:after="0"/>
            </w:pPr>
            <w:r>
              <w:rPr>
                <w:rFonts w:ascii="Calibri" w:hAnsi="Calibri"/>
                <w:color w:val="24303F"/>
                <w:sz w:val="14"/>
              </w:rPr>
              <w:t>0.65x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Equity Maximum-Sharpe</w:t>
            </w:r>
          </w:p>
        </w:tc>
        <w:tc>
          <w:tcPr>
            <w:tcW w:type="dxa" w:w="1050"/>
            <w:tcMar>
              <w:top w:w="80" w:type="dxa"/>
              <w:start w:w="120" w:type="dxa"/>
              <w:bottom w:w="80" w:type="dxa"/>
              <w:end w:w="120" w:type="dxa"/>
            </w:tcMar>
            <w:shd w:fill="FAFBFC"/>
          </w:tcPr>
          <w:p>
            <w:pPr>
              <w:spacing w:after="0"/>
            </w:pPr>
            <w:r>
              <w:rPr>
                <w:rFonts w:ascii="Calibri" w:hAnsi="Calibri"/>
                <w:color w:val="24303F"/>
                <w:sz w:val="14"/>
              </w:rPr>
              <w:t>10.7%</w:t>
            </w:r>
          </w:p>
        </w:tc>
        <w:tc>
          <w:tcPr>
            <w:tcW w:type="dxa" w:w="950"/>
            <w:tcMar>
              <w:top w:w="80" w:type="dxa"/>
              <w:start w:w="120" w:type="dxa"/>
              <w:bottom w:w="80" w:type="dxa"/>
              <w:end w:w="120" w:type="dxa"/>
            </w:tcMar>
            <w:shd w:fill="FAFBFC"/>
          </w:tcPr>
          <w:p>
            <w:pPr>
              <w:spacing w:after="0"/>
            </w:pPr>
            <w:r>
              <w:rPr>
                <w:rFonts w:ascii="Calibri" w:hAnsi="Calibri"/>
                <w:color w:val="24303F"/>
                <w:sz w:val="14"/>
              </w:rPr>
              <w:t>20.1%</w:t>
            </w:r>
          </w:p>
        </w:tc>
        <w:tc>
          <w:tcPr>
            <w:tcW w:type="dxa" w:w="900"/>
            <w:tcMar>
              <w:top w:w="80" w:type="dxa"/>
              <w:start w:w="120" w:type="dxa"/>
              <w:bottom w:w="80" w:type="dxa"/>
              <w:end w:w="120" w:type="dxa"/>
            </w:tcMar>
            <w:shd w:fill="FAFBFC"/>
          </w:tcPr>
          <w:p>
            <w:pPr>
              <w:spacing w:after="0"/>
            </w:pPr>
            <w:r>
              <w:rPr>
                <w:rFonts w:ascii="Calibri" w:hAnsi="Calibri"/>
                <w:color w:val="24303F"/>
                <w:sz w:val="14"/>
              </w:rPr>
              <w:t>0.61</w:t>
            </w:r>
          </w:p>
        </w:tc>
        <w:tc>
          <w:tcPr>
            <w:tcW w:type="dxa" w:w="1050"/>
            <w:tcMar>
              <w:top w:w="80" w:type="dxa"/>
              <w:start w:w="120" w:type="dxa"/>
              <w:bottom w:w="80" w:type="dxa"/>
              <w:end w:w="120" w:type="dxa"/>
            </w:tcMar>
            <w:shd w:fill="FAFBFC"/>
          </w:tcPr>
          <w:p>
            <w:pPr>
              <w:spacing w:after="0"/>
            </w:pPr>
            <w:r>
              <w:rPr>
                <w:rFonts w:ascii="Calibri" w:hAnsi="Calibri"/>
                <w:color w:val="24303F"/>
                <w:sz w:val="14"/>
              </w:rPr>
              <w:t>-36.0%</w:t>
            </w:r>
          </w:p>
        </w:tc>
        <w:tc>
          <w:tcPr>
            <w:tcW w:type="dxa" w:w="2410"/>
            <w:tcMar>
              <w:top w:w="80" w:type="dxa"/>
              <w:start w:w="120" w:type="dxa"/>
              <w:bottom w:w="80" w:type="dxa"/>
              <w:end w:w="120" w:type="dxa"/>
            </w:tcMar>
            <w:shd w:fill="FAFBFC"/>
          </w:tcPr>
          <w:p>
            <w:pPr>
              <w:spacing w:after="0"/>
            </w:pPr>
            <w:r>
              <w:rPr>
                <w:rFonts w:ascii="Calibri" w:hAnsi="Calibri"/>
                <w:color w:val="24303F"/>
                <w:sz w:val="14"/>
              </w:rPr>
              <w:t>1.67x</w:t>
            </w:r>
          </w:p>
        </w:tc>
      </w:tr>
      <w:tr>
        <w:tc>
          <w:tcPr>
            <w:tcW w:type="dxa" w:w="3000"/>
            <w:tcMar>
              <w:top w:w="80" w:type="dxa"/>
              <w:start w:w="120" w:type="dxa"/>
              <w:bottom w:w="80" w:type="dxa"/>
              <w:end w:w="120" w:type="dxa"/>
            </w:tcMar>
          </w:tcPr>
          <w:p>
            <w:pPr>
              <w:spacing w:after="0"/>
            </w:pPr>
            <w:r>
              <w:rPr>
                <w:rFonts w:ascii="Calibri" w:hAnsi="Calibri"/>
                <w:color w:val="24303F"/>
                <w:sz w:val="14"/>
              </w:rPr>
              <w:t>Equity Minimum-Variance</w:t>
            </w:r>
          </w:p>
        </w:tc>
        <w:tc>
          <w:tcPr>
            <w:tcW w:type="dxa" w:w="1050"/>
            <w:tcMar>
              <w:top w:w="80" w:type="dxa"/>
              <w:start w:w="120" w:type="dxa"/>
              <w:bottom w:w="80" w:type="dxa"/>
              <w:end w:w="120" w:type="dxa"/>
            </w:tcMar>
          </w:tcPr>
          <w:p>
            <w:pPr>
              <w:spacing w:after="0"/>
            </w:pPr>
            <w:r>
              <w:rPr>
                <w:rFonts w:ascii="Calibri" w:hAnsi="Calibri"/>
                <w:color w:val="24303F"/>
                <w:sz w:val="14"/>
              </w:rPr>
              <w:t>7.0%</w:t>
            </w:r>
          </w:p>
        </w:tc>
        <w:tc>
          <w:tcPr>
            <w:tcW w:type="dxa" w:w="950"/>
            <w:tcMar>
              <w:top w:w="80" w:type="dxa"/>
              <w:start w:w="120" w:type="dxa"/>
              <w:bottom w:w="80" w:type="dxa"/>
              <w:end w:w="120" w:type="dxa"/>
            </w:tcMar>
          </w:tcPr>
          <w:p>
            <w:pPr>
              <w:spacing w:after="0"/>
            </w:pPr>
            <w:r>
              <w:rPr>
                <w:rFonts w:ascii="Calibri" w:hAnsi="Calibri"/>
                <w:color w:val="24303F"/>
                <w:sz w:val="14"/>
              </w:rPr>
              <w:t>12.7%</w:t>
            </w:r>
          </w:p>
        </w:tc>
        <w:tc>
          <w:tcPr>
            <w:tcW w:type="dxa" w:w="900"/>
            <w:tcMar>
              <w:top w:w="80" w:type="dxa"/>
              <w:start w:w="120" w:type="dxa"/>
              <w:bottom w:w="80" w:type="dxa"/>
              <w:end w:w="120" w:type="dxa"/>
            </w:tcMar>
          </w:tcPr>
          <w:p>
            <w:pPr>
              <w:spacing w:after="0"/>
            </w:pPr>
            <w:r>
              <w:rPr>
                <w:rFonts w:ascii="Calibri" w:hAnsi="Calibri"/>
                <w:color w:val="24303F"/>
                <w:sz w:val="14"/>
              </w:rPr>
              <w:t>0.60</w:t>
            </w:r>
          </w:p>
        </w:tc>
        <w:tc>
          <w:tcPr>
            <w:tcW w:type="dxa" w:w="1050"/>
            <w:tcMar>
              <w:top w:w="80" w:type="dxa"/>
              <w:start w:w="120" w:type="dxa"/>
              <w:bottom w:w="80" w:type="dxa"/>
              <w:end w:w="120" w:type="dxa"/>
            </w:tcMar>
          </w:tcPr>
          <w:p>
            <w:pPr>
              <w:spacing w:after="0"/>
            </w:pPr>
            <w:r>
              <w:rPr>
                <w:rFonts w:ascii="Calibri" w:hAnsi="Calibri"/>
                <w:color w:val="24303F"/>
                <w:sz w:val="14"/>
              </w:rPr>
              <w:t>-17.8%</w:t>
            </w:r>
          </w:p>
        </w:tc>
        <w:tc>
          <w:tcPr>
            <w:tcW w:type="dxa" w:w="2410"/>
            <w:tcMar>
              <w:top w:w="80" w:type="dxa"/>
              <w:start w:w="120" w:type="dxa"/>
              <w:bottom w:w="80" w:type="dxa"/>
              <w:end w:w="120" w:type="dxa"/>
            </w:tcMar>
          </w:tcPr>
          <w:p>
            <w:pPr>
              <w:spacing w:after="0"/>
            </w:pPr>
            <w:r>
              <w:rPr>
                <w:rFonts w:ascii="Calibri" w:hAnsi="Calibri"/>
                <w:color w:val="24303F"/>
                <w:sz w:val="14"/>
              </w:rPr>
              <w:t>0.70x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Equity Risk Parity</w:t>
            </w:r>
          </w:p>
        </w:tc>
        <w:tc>
          <w:tcPr>
            <w:tcW w:type="dxa" w:w="1050"/>
            <w:tcMar>
              <w:top w:w="80" w:type="dxa"/>
              <w:start w:w="120" w:type="dxa"/>
              <w:bottom w:w="80" w:type="dxa"/>
              <w:end w:w="120" w:type="dxa"/>
            </w:tcMar>
            <w:shd w:fill="FAFBFC"/>
          </w:tcPr>
          <w:p>
            <w:pPr>
              <w:spacing w:after="0"/>
            </w:pPr>
            <w:r>
              <w:rPr>
                <w:rFonts w:ascii="Calibri" w:hAnsi="Calibri"/>
                <w:color w:val="24303F"/>
                <w:sz w:val="14"/>
              </w:rPr>
              <w:t>10.0%</w:t>
            </w:r>
          </w:p>
        </w:tc>
        <w:tc>
          <w:tcPr>
            <w:tcW w:type="dxa" w:w="950"/>
            <w:tcMar>
              <w:top w:w="80" w:type="dxa"/>
              <w:start w:w="120" w:type="dxa"/>
              <w:bottom w:w="80" w:type="dxa"/>
              <w:end w:w="120" w:type="dxa"/>
            </w:tcMar>
            <w:shd w:fill="FAFBFC"/>
          </w:tcPr>
          <w:p>
            <w:pPr>
              <w:spacing w:after="0"/>
            </w:pPr>
            <w:r>
              <w:rPr>
                <w:rFonts w:ascii="Calibri" w:hAnsi="Calibri"/>
                <w:color w:val="24303F"/>
                <w:sz w:val="14"/>
              </w:rPr>
              <w:t>14.9%</w:t>
            </w:r>
          </w:p>
        </w:tc>
        <w:tc>
          <w:tcPr>
            <w:tcW w:type="dxa" w:w="900"/>
            <w:tcMar>
              <w:top w:w="80" w:type="dxa"/>
              <w:start w:w="120" w:type="dxa"/>
              <w:bottom w:w="80" w:type="dxa"/>
              <w:end w:w="120" w:type="dxa"/>
            </w:tcMar>
            <w:shd w:fill="FAFBFC"/>
          </w:tcPr>
          <w:p>
            <w:pPr>
              <w:spacing w:after="0"/>
            </w:pPr>
            <w:r>
              <w:rPr>
                <w:rFonts w:ascii="Calibri" w:hAnsi="Calibri"/>
                <w:color w:val="24303F"/>
                <w:sz w:val="14"/>
              </w:rPr>
              <w:t>0.71</w:t>
            </w:r>
          </w:p>
        </w:tc>
        <w:tc>
          <w:tcPr>
            <w:tcW w:type="dxa" w:w="1050"/>
            <w:tcMar>
              <w:top w:w="80" w:type="dxa"/>
              <w:start w:w="120" w:type="dxa"/>
              <w:bottom w:w="80" w:type="dxa"/>
              <w:end w:w="120" w:type="dxa"/>
            </w:tcMar>
            <w:shd w:fill="FAFBFC"/>
          </w:tcPr>
          <w:p>
            <w:pPr>
              <w:spacing w:after="0"/>
            </w:pPr>
            <w:r>
              <w:rPr>
                <w:rFonts w:ascii="Calibri" w:hAnsi="Calibri"/>
                <w:color w:val="24303F"/>
                <w:sz w:val="14"/>
              </w:rPr>
              <w:t>-19.4%</w:t>
            </w:r>
          </w:p>
        </w:tc>
        <w:tc>
          <w:tcPr>
            <w:tcW w:type="dxa" w:w="2410"/>
            <w:tcMar>
              <w:top w:w="80" w:type="dxa"/>
              <w:start w:w="120" w:type="dxa"/>
              <w:bottom w:w="80" w:type="dxa"/>
              <w:end w:w="120" w:type="dxa"/>
            </w:tcMar>
            <w:shd w:fill="FAFBFC"/>
          </w:tcPr>
          <w:p>
            <w:pPr>
              <w:spacing w:after="0"/>
            </w:pPr>
            <w:r>
              <w:rPr>
                <w:rFonts w:ascii="Calibri" w:hAnsi="Calibri"/>
                <w:color w:val="24303F"/>
                <w:sz w:val="14"/>
              </w:rPr>
              <w:t>0.64x</w:t>
            </w:r>
          </w:p>
        </w:tc>
      </w:tr>
      <w:tr>
        <w:tc>
          <w:tcPr>
            <w:tcW w:type="dxa" w:w="3000"/>
            <w:tcMar>
              <w:top w:w="80" w:type="dxa"/>
              <w:start w:w="120" w:type="dxa"/>
              <w:bottom w:w="80" w:type="dxa"/>
              <w:end w:w="120" w:type="dxa"/>
            </w:tcMar>
          </w:tcPr>
          <w:p>
            <w:pPr>
              <w:spacing w:after="0"/>
            </w:pPr>
            <w:r>
              <w:rPr>
                <w:rFonts w:ascii="Calibri" w:hAnsi="Calibri"/>
                <w:color w:val="24303F"/>
                <w:sz w:val="14"/>
              </w:rPr>
              <w:t>Combined Equal-Weight</w:t>
            </w:r>
          </w:p>
        </w:tc>
        <w:tc>
          <w:tcPr>
            <w:tcW w:type="dxa" w:w="1050"/>
            <w:tcMar>
              <w:top w:w="80" w:type="dxa"/>
              <w:start w:w="120" w:type="dxa"/>
              <w:bottom w:w="80" w:type="dxa"/>
              <w:end w:w="120" w:type="dxa"/>
            </w:tcMar>
          </w:tcPr>
          <w:p>
            <w:pPr>
              <w:spacing w:after="0"/>
            </w:pPr>
            <w:r>
              <w:rPr>
                <w:rFonts w:ascii="Calibri" w:hAnsi="Calibri"/>
                <w:color w:val="24303F"/>
                <w:sz w:val="14"/>
              </w:rPr>
              <w:t>15.0%</w:t>
            </w:r>
          </w:p>
        </w:tc>
        <w:tc>
          <w:tcPr>
            <w:tcW w:type="dxa" w:w="950"/>
            <w:tcMar>
              <w:top w:w="80" w:type="dxa"/>
              <w:start w:w="120" w:type="dxa"/>
              <w:bottom w:w="80" w:type="dxa"/>
              <w:end w:w="120" w:type="dxa"/>
            </w:tcMar>
          </w:tcPr>
          <w:p>
            <w:pPr>
              <w:spacing w:after="0"/>
            </w:pPr>
            <w:r>
              <w:rPr>
                <w:rFonts w:ascii="Calibri" w:hAnsi="Calibri"/>
                <w:color w:val="24303F"/>
                <w:sz w:val="14"/>
              </w:rPr>
              <w:t>21.6%</w:t>
            </w:r>
          </w:p>
        </w:tc>
        <w:tc>
          <w:tcPr>
            <w:tcW w:type="dxa" w:w="900"/>
            <w:tcMar>
              <w:top w:w="80" w:type="dxa"/>
              <w:start w:w="120" w:type="dxa"/>
              <w:bottom w:w="80" w:type="dxa"/>
              <w:end w:w="120" w:type="dxa"/>
            </w:tcMar>
          </w:tcPr>
          <w:p>
            <w:pPr>
              <w:spacing w:after="0"/>
            </w:pPr>
            <w:r>
              <w:rPr>
                <w:rFonts w:ascii="Calibri" w:hAnsi="Calibri"/>
                <w:color w:val="24303F"/>
                <w:sz w:val="14"/>
              </w:rPr>
              <w:t>0.76</w:t>
            </w:r>
          </w:p>
        </w:tc>
        <w:tc>
          <w:tcPr>
            <w:tcW w:type="dxa" w:w="1050"/>
            <w:tcMar>
              <w:top w:w="80" w:type="dxa"/>
              <w:start w:w="120" w:type="dxa"/>
              <w:bottom w:w="80" w:type="dxa"/>
              <w:end w:w="120" w:type="dxa"/>
            </w:tcMar>
          </w:tcPr>
          <w:p>
            <w:pPr>
              <w:spacing w:after="0"/>
            </w:pPr>
            <w:r>
              <w:rPr>
                <w:rFonts w:ascii="Calibri" w:hAnsi="Calibri"/>
                <w:color w:val="24303F"/>
                <w:sz w:val="14"/>
              </w:rPr>
              <w:t>-27.9%</w:t>
            </w:r>
          </w:p>
        </w:tc>
        <w:tc>
          <w:tcPr>
            <w:tcW w:type="dxa" w:w="2410"/>
            <w:tcMar>
              <w:top w:w="80" w:type="dxa"/>
              <w:start w:w="120" w:type="dxa"/>
              <w:bottom w:w="80" w:type="dxa"/>
              <w:end w:w="120" w:type="dxa"/>
            </w:tcMar>
          </w:tcPr>
          <w:p>
            <w:pPr>
              <w:spacing w:after="0"/>
            </w:pPr>
            <w:r>
              <w:rPr>
                <w:rFonts w:ascii="Calibri" w:hAnsi="Calibri"/>
                <w:color w:val="24303F"/>
                <w:sz w:val="14"/>
              </w:rPr>
              <w:t>0.79x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Combined Maximum-Sharpe</w:t>
            </w:r>
          </w:p>
        </w:tc>
        <w:tc>
          <w:tcPr>
            <w:tcW w:type="dxa" w:w="1050"/>
            <w:tcMar>
              <w:top w:w="80" w:type="dxa"/>
              <w:start w:w="120" w:type="dxa"/>
              <w:bottom w:w="80" w:type="dxa"/>
              <w:end w:w="120" w:type="dxa"/>
            </w:tcMar>
            <w:shd w:fill="FAFBFC"/>
          </w:tcPr>
          <w:p>
            <w:pPr>
              <w:spacing w:after="0"/>
            </w:pPr>
            <w:r>
              <w:rPr>
                <w:rFonts w:ascii="Calibri" w:hAnsi="Calibri"/>
                <w:color w:val="24303F"/>
                <w:sz w:val="14"/>
              </w:rPr>
              <w:t>7.1%</w:t>
            </w:r>
          </w:p>
        </w:tc>
        <w:tc>
          <w:tcPr>
            <w:tcW w:type="dxa" w:w="950"/>
            <w:tcMar>
              <w:top w:w="80" w:type="dxa"/>
              <w:start w:w="120" w:type="dxa"/>
              <w:bottom w:w="80" w:type="dxa"/>
              <w:end w:w="120" w:type="dxa"/>
            </w:tcMar>
            <w:shd w:fill="FAFBFC"/>
          </w:tcPr>
          <w:p>
            <w:pPr>
              <w:spacing w:after="0"/>
            </w:pPr>
            <w:r>
              <w:rPr>
                <w:rFonts w:ascii="Calibri" w:hAnsi="Calibri"/>
                <w:color w:val="24303F"/>
                <w:sz w:val="14"/>
              </w:rPr>
              <w:t>32.7%</w:t>
            </w:r>
          </w:p>
        </w:tc>
        <w:tc>
          <w:tcPr>
            <w:tcW w:type="dxa" w:w="900"/>
            <w:tcMar>
              <w:top w:w="80" w:type="dxa"/>
              <w:start w:w="120" w:type="dxa"/>
              <w:bottom w:w="80" w:type="dxa"/>
              <w:end w:w="120" w:type="dxa"/>
            </w:tcMar>
            <w:shd w:fill="FAFBFC"/>
          </w:tcPr>
          <w:p>
            <w:pPr>
              <w:spacing w:after="0"/>
            </w:pPr>
            <w:r>
              <w:rPr>
                <w:rFonts w:ascii="Calibri" w:hAnsi="Calibri"/>
                <w:color w:val="24303F"/>
                <w:sz w:val="14"/>
              </w:rPr>
              <w:t>0.37</w:t>
            </w:r>
          </w:p>
        </w:tc>
        <w:tc>
          <w:tcPr>
            <w:tcW w:type="dxa" w:w="1050"/>
            <w:tcMar>
              <w:top w:w="80" w:type="dxa"/>
              <w:start w:w="120" w:type="dxa"/>
              <w:bottom w:w="80" w:type="dxa"/>
              <w:end w:w="120" w:type="dxa"/>
            </w:tcMar>
            <w:shd w:fill="FAFBFC"/>
          </w:tcPr>
          <w:p>
            <w:pPr>
              <w:spacing w:after="0"/>
            </w:pPr>
            <w:r>
              <w:rPr>
                <w:rFonts w:ascii="Calibri" w:hAnsi="Calibri"/>
                <w:color w:val="24303F"/>
                <w:sz w:val="14"/>
              </w:rPr>
              <w:t>-48.6%</w:t>
            </w:r>
          </w:p>
        </w:tc>
        <w:tc>
          <w:tcPr>
            <w:tcW w:type="dxa" w:w="2410"/>
            <w:tcMar>
              <w:top w:w="80" w:type="dxa"/>
              <w:start w:w="120" w:type="dxa"/>
              <w:bottom w:w="80" w:type="dxa"/>
              <w:end w:w="120" w:type="dxa"/>
            </w:tcMar>
            <w:shd w:fill="FAFBFC"/>
          </w:tcPr>
          <w:p>
            <w:pPr>
              <w:spacing w:after="0"/>
            </w:pPr>
            <w:r>
              <w:rPr>
                <w:rFonts w:ascii="Calibri" w:hAnsi="Calibri"/>
                <w:color w:val="24303F"/>
                <w:sz w:val="14"/>
              </w:rPr>
              <w:t>2.08x</w:t>
            </w:r>
          </w:p>
        </w:tc>
      </w:tr>
      <w:tr>
        <w:tc>
          <w:tcPr>
            <w:tcW w:type="dxa" w:w="3000"/>
            <w:tcMar>
              <w:top w:w="80" w:type="dxa"/>
              <w:start w:w="120" w:type="dxa"/>
              <w:bottom w:w="80" w:type="dxa"/>
              <w:end w:w="120" w:type="dxa"/>
            </w:tcMar>
          </w:tcPr>
          <w:p>
            <w:pPr>
              <w:spacing w:after="0"/>
            </w:pPr>
            <w:r>
              <w:rPr>
                <w:rFonts w:ascii="Calibri" w:hAnsi="Calibri"/>
                <w:color w:val="24303F"/>
                <w:sz w:val="14"/>
              </w:rPr>
              <w:t>Combined Minimum-Variance</w:t>
            </w:r>
          </w:p>
        </w:tc>
        <w:tc>
          <w:tcPr>
            <w:tcW w:type="dxa" w:w="1050"/>
            <w:tcMar>
              <w:top w:w="80" w:type="dxa"/>
              <w:start w:w="120" w:type="dxa"/>
              <w:bottom w:w="80" w:type="dxa"/>
              <w:end w:w="120" w:type="dxa"/>
            </w:tcMar>
          </w:tcPr>
          <w:p>
            <w:pPr>
              <w:spacing w:after="0"/>
            </w:pPr>
            <w:r>
              <w:rPr>
                <w:rFonts w:ascii="Calibri" w:hAnsi="Calibri"/>
                <w:color w:val="24303F"/>
                <w:sz w:val="14"/>
              </w:rPr>
              <w:t>7.0%</w:t>
            </w:r>
          </w:p>
        </w:tc>
        <w:tc>
          <w:tcPr>
            <w:tcW w:type="dxa" w:w="950"/>
            <w:tcMar>
              <w:top w:w="80" w:type="dxa"/>
              <w:start w:w="120" w:type="dxa"/>
              <w:bottom w:w="80" w:type="dxa"/>
              <w:end w:w="120" w:type="dxa"/>
            </w:tcMar>
          </w:tcPr>
          <w:p>
            <w:pPr>
              <w:spacing w:after="0"/>
            </w:pPr>
            <w:r>
              <w:rPr>
                <w:rFonts w:ascii="Calibri" w:hAnsi="Calibri"/>
                <w:color w:val="24303F"/>
                <w:sz w:val="14"/>
              </w:rPr>
              <w:t>12.7%</w:t>
            </w:r>
          </w:p>
        </w:tc>
        <w:tc>
          <w:tcPr>
            <w:tcW w:type="dxa" w:w="900"/>
            <w:tcMar>
              <w:top w:w="80" w:type="dxa"/>
              <w:start w:w="120" w:type="dxa"/>
              <w:bottom w:w="80" w:type="dxa"/>
              <w:end w:w="120" w:type="dxa"/>
            </w:tcMar>
          </w:tcPr>
          <w:p>
            <w:pPr>
              <w:spacing w:after="0"/>
            </w:pPr>
            <w:r>
              <w:rPr>
                <w:rFonts w:ascii="Calibri" w:hAnsi="Calibri"/>
                <w:color w:val="24303F"/>
                <w:sz w:val="14"/>
              </w:rPr>
              <w:t>0.60</w:t>
            </w:r>
          </w:p>
        </w:tc>
        <w:tc>
          <w:tcPr>
            <w:tcW w:type="dxa" w:w="1050"/>
            <w:tcMar>
              <w:top w:w="80" w:type="dxa"/>
              <w:start w:w="120" w:type="dxa"/>
              <w:bottom w:w="80" w:type="dxa"/>
              <w:end w:w="120" w:type="dxa"/>
            </w:tcMar>
          </w:tcPr>
          <w:p>
            <w:pPr>
              <w:spacing w:after="0"/>
            </w:pPr>
            <w:r>
              <w:rPr>
                <w:rFonts w:ascii="Calibri" w:hAnsi="Calibri"/>
                <w:color w:val="24303F"/>
                <w:sz w:val="14"/>
              </w:rPr>
              <w:t>-17.8%</w:t>
            </w:r>
          </w:p>
        </w:tc>
        <w:tc>
          <w:tcPr>
            <w:tcW w:type="dxa" w:w="2410"/>
            <w:tcMar>
              <w:top w:w="80" w:type="dxa"/>
              <w:start w:w="120" w:type="dxa"/>
              <w:bottom w:w="80" w:type="dxa"/>
              <w:end w:w="120" w:type="dxa"/>
            </w:tcMar>
          </w:tcPr>
          <w:p>
            <w:pPr>
              <w:spacing w:after="0"/>
            </w:pPr>
            <w:r>
              <w:rPr>
                <w:rFonts w:ascii="Calibri" w:hAnsi="Calibri"/>
                <w:color w:val="24303F"/>
                <w:sz w:val="14"/>
              </w:rPr>
              <w:t>0.70x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Combined Risk Parity</w:t>
            </w:r>
          </w:p>
        </w:tc>
        <w:tc>
          <w:tcPr>
            <w:tcW w:type="dxa" w:w="1050"/>
            <w:tcMar>
              <w:top w:w="80" w:type="dxa"/>
              <w:start w:w="120" w:type="dxa"/>
              <w:bottom w:w="80" w:type="dxa"/>
              <w:end w:w="120" w:type="dxa"/>
            </w:tcMar>
            <w:shd w:fill="FAFBFC"/>
          </w:tcPr>
          <w:p>
            <w:pPr>
              <w:spacing w:after="0"/>
            </w:pPr>
            <w:r>
              <w:rPr>
                <w:rFonts w:ascii="Calibri" w:hAnsi="Calibri"/>
                <w:color w:val="24303F"/>
                <w:sz w:val="14"/>
              </w:rPr>
              <w:t>12.7%</w:t>
            </w:r>
          </w:p>
        </w:tc>
        <w:tc>
          <w:tcPr>
            <w:tcW w:type="dxa" w:w="950"/>
            <w:tcMar>
              <w:top w:w="80" w:type="dxa"/>
              <w:start w:w="120" w:type="dxa"/>
              <w:bottom w:w="80" w:type="dxa"/>
              <w:end w:w="120" w:type="dxa"/>
            </w:tcMar>
            <w:shd w:fill="FAFBFC"/>
          </w:tcPr>
          <w:p>
            <w:pPr>
              <w:spacing w:after="0"/>
            </w:pPr>
            <w:r>
              <w:rPr>
                <w:rFonts w:ascii="Calibri" w:hAnsi="Calibri"/>
                <w:color w:val="24303F"/>
                <w:sz w:val="14"/>
              </w:rPr>
              <w:t>17.4%</w:t>
            </w:r>
          </w:p>
        </w:tc>
        <w:tc>
          <w:tcPr>
            <w:tcW w:type="dxa" w:w="900"/>
            <w:tcMar>
              <w:top w:w="80" w:type="dxa"/>
              <w:start w:w="120" w:type="dxa"/>
              <w:bottom w:w="80" w:type="dxa"/>
              <w:end w:w="120" w:type="dxa"/>
            </w:tcMar>
            <w:shd w:fill="FAFBFC"/>
          </w:tcPr>
          <w:p>
            <w:pPr>
              <w:spacing w:after="0"/>
            </w:pPr>
            <w:r>
              <w:rPr>
                <w:rFonts w:ascii="Calibri" w:hAnsi="Calibri"/>
                <w:color w:val="24303F"/>
                <w:sz w:val="14"/>
              </w:rPr>
              <w:t>0.77</w:t>
            </w:r>
          </w:p>
        </w:tc>
        <w:tc>
          <w:tcPr>
            <w:tcW w:type="dxa" w:w="1050"/>
            <w:tcMar>
              <w:top w:w="80" w:type="dxa"/>
              <w:start w:w="120" w:type="dxa"/>
              <w:bottom w:w="80" w:type="dxa"/>
              <w:end w:w="120" w:type="dxa"/>
            </w:tcMar>
            <w:shd w:fill="FAFBFC"/>
          </w:tcPr>
          <w:p>
            <w:pPr>
              <w:spacing w:after="0"/>
            </w:pPr>
            <w:r>
              <w:rPr>
                <w:rFonts w:ascii="Calibri" w:hAnsi="Calibri"/>
                <w:color w:val="24303F"/>
                <w:sz w:val="14"/>
              </w:rPr>
              <w:t>-22.4%</w:t>
            </w:r>
          </w:p>
        </w:tc>
        <w:tc>
          <w:tcPr>
            <w:tcW w:type="dxa" w:w="2410"/>
            <w:tcMar>
              <w:top w:w="80" w:type="dxa"/>
              <w:start w:w="120" w:type="dxa"/>
              <w:bottom w:w="80" w:type="dxa"/>
              <w:end w:w="120" w:type="dxa"/>
            </w:tcMar>
            <w:shd w:fill="FAFBFC"/>
          </w:tcPr>
          <w:p>
            <w:pPr>
              <w:spacing w:after="0"/>
            </w:pPr>
            <w:r>
              <w:rPr>
                <w:rFonts w:ascii="Calibri" w:hAnsi="Calibri"/>
                <w:color w:val="24303F"/>
                <w:sz w:val="14"/>
              </w:rPr>
              <w:t>0.71x</w:t>
            </w:r>
          </w:p>
        </w:tc>
      </w:tr>
      <w:tr>
        <w:tc>
          <w:tcPr>
            <w:tcW w:type="dxa" w:w="3000"/>
            <w:tcMar>
              <w:top w:w="80" w:type="dxa"/>
              <w:start w:w="120" w:type="dxa"/>
              <w:bottom w:w="80" w:type="dxa"/>
              <w:end w:w="120" w:type="dxa"/>
            </w:tcMar>
          </w:tcPr>
          <w:p>
            <w:pPr>
              <w:spacing w:after="0"/>
            </w:pPr>
            <w:r>
              <w:rPr>
                <w:rFonts w:ascii="Calibri" w:hAnsi="Calibri"/>
                <w:color w:val="24303F"/>
                <w:sz w:val="14"/>
              </w:rPr>
              <w:t>Crypto Equal-Weight</w:t>
            </w:r>
          </w:p>
        </w:tc>
        <w:tc>
          <w:tcPr>
            <w:tcW w:type="dxa" w:w="1050"/>
            <w:tcMar>
              <w:top w:w="80" w:type="dxa"/>
              <w:start w:w="120" w:type="dxa"/>
              <w:bottom w:w="80" w:type="dxa"/>
              <w:end w:w="120" w:type="dxa"/>
            </w:tcMar>
          </w:tcPr>
          <w:p>
            <w:pPr>
              <w:spacing w:after="0"/>
            </w:pPr>
            <w:r>
              <w:rPr>
                <w:rFonts w:ascii="Calibri" w:hAnsi="Calibri"/>
                <w:color w:val="24303F"/>
                <w:sz w:val="14"/>
              </w:rPr>
              <w:t>40.4%</w:t>
            </w:r>
          </w:p>
        </w:tc>
        <w:tc>
          <w:tcPr>
            <w:tcW w:type="dxa" w:w="950"/>
            <w:tcMar>
              <w:top w:w="80" w:type="dxa"/>
              <w:start w:w="120" w:type="dxa"/>
              <w:bottom w:w="80" w:type="dxa"/>
              <w:end w:w="120" w:type="dxa"/>
            </w:tcMar>
          </w:tcPr>
          <w:p>
            <w:pPr>
              <w:spacing w:after="0"/>
            </w:pPr>
            <w:r>
              <w:rPr>
                <w:rFonts w:ascii="Calibri" w:hAnsi="Calibri"/>
                <w:color w:val="24303F"/>
                <w:sz w:val="14"/>
              </w:rPr>
              <w:t>81.9%</w:t>
            </w:r>
          </w:p>
        </w:tc>
        <w:tc>
          <w:tcPr>
            <w:tcW w:type="dxa" w:w="900"/>
            <w:tcMar>
              <w:top w:w="80" w:type="dxa"/>
              <w:start w:w="120" w:type="dxa"/>
              <w:bottom w:w="80" w:type="dxa"/>
              <w:end w:w="120" w:type="dxa"/>
            </w:tcMar>
          </w:tcPr>
          <w:p>
            <w:pPr>
              <w:spacing w:after="0"/>
            </w:pPr>
            <w:r>
              <w:rPr>
                <w:rFonts w:ascii="Calibri" w:hAnsi="Calibri"/>
                <w:color w:val="24303F"/>
                <w:sz w:val="14"/>
              </w:rPr>
              <w:t>0.83</w:t>
            </w:r>
          </w:p>
        </w:tc>
        <w:tc>
          <w:tcPr>
            <w:tcW w:type="dxa" w:w="1050"/>
            <w:tcMar>
              <w:top w:w="80" w:type="dxa"/>
              <w:start w:w="120" w:type="dxa"/>
              <w:bottom w:w="80" w:type="dxa"/>
              <w:end w:w="120" w:type="dxa"/>
            </w:tcMar>
          </w:tcPr>
          <w:p>
            <w:pPr>
              <w:spacing w:after="0"/>
            </w:pPr>
            <w:r>
              <w:rPr>
                <w:rFonts w:ascii="Calibri" w:hAnsi="Calibri"/>
                <w:color w:val="24303F"/>
                <w:sz w:val="14"/>
              </w:rPr>
              <w:t>-81.6%</w:t>
            </w:r>
          </w:p>
        </w:tc>
        <w:tc>
          <w:tcPr>
            <w:tcW w:type="dxa" w:w="2410"/>
            <w:tcMar>
              <w:top w:w="80" w:type="dxa"/>
              <w:start w:w="120" w:type="dxa"/>
              <w:bottom w:w="80" w:type="dxa"/>
              <w:end w:w="120" w:type="dxa"/>
            </w:tcMar>
          </w:tcPr>
          <w:p>
            <w:pPr>
              <w:spacing w:after="0"/>
            </w:pPr>
            <w:r>
              <w:rPr>
                <w:rFonts w:ascii="Calibri" w:hAnsi="Calibri"/>
                <w:color w:val="24303F"/>
                <w:sz w:val="14"/>
              </w:rPr>
              <w:t>1.03x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Crypto Maximum-Sharpe</w:t>
            </w:r>
          </w:p>
        </w:tc>
        <w:tc>
          <w:tcPr>
            <w:tcW w:type="dxa" w:w="1050"/>
            <w:tcMar>
              <w:top w:w="80" w:type="dxa"/>
              <w:start w:w="120" w:type="dxa"/>
              <w:bottom w:w="80" w:type="dxa"/>
              <w:end w:w="120" w:type="dxa"/>
            </w:tcMar>
            <w:shd w:fill="FAFBFC"/>
          </w:tcPr>
          <w:p>
            <w:pPr>
              <w:spacing w:after="0"/>
            </w:pPr>
            <w:r>
              <w:rPr>
                <w:rFonts w:ascii="Calibri" w:hAnsi="Calibri"/>
                <w:color w:val="24303F"/>
                <w:sz w:val="14"/>
              </w:rPr>
              <w:t>40.0%</w:t>
            </w:r>
          </w:p>
        </w:tc>
        <w:tc>
          <w:tcPr>
            <w:tcW w:type="dxa" w:w="950"/>
            <w:tcMar>
              <w:top w:w="80" w:type="dxa"/>
              <w:start w:w="120" w:type="dxa"/>
              <w:bottom w:w="80" w:type="dxa"/>
              <w:end w:w="120" w:type="dxa"/>
            </w:tcMar>
            <w:shd w:fill="FAFBFC"/>
          </w:tcPr>
          <w:p>
            <w:pPr>
              <w:spacing w:after="0"/>
            </w:pPr>
            <w:r>
              <w:rPr>
                <w:rFonts w:ascii="Calibri" w:hAnsi="Calibri"/>
                <w:color w:val="24303F"/>
                <w:sz w:val="14"/>
              </w:rPr>
              <w:t>77.0%</w:t>
            </w:r>
          </w:p>
        </w:tc>
        <w:tc>
          <w:tcPr>
            <w:tcW w:type="dxa" w:w="900"/>
            <w:tcMar>
              <w:top w:w="80" w:type="dxa"/>
              <w:start w:w="120" w:type="dxa"/>
              <w:bottom w:w="80" w:type="dxa"/>
              <w:end w:w="120" w:type="dxa"/>
            </w:tcMar>
            <w:shd w:fill="FAFBFC"/>
          </w:tcPr>
          <w:p>
            <w:pPr>
              <w:spacing w:after="0"/>
            </w:pPr>
            <w:r>
              <w:rPr>
                <w:rFonts w:ascii="Calibri" w:hAnsi="Calibri"/>
                <w:color w:val="24303F"/>
                <w:sz w:val="14"/>
              </w:rPr>
              <w:t>0.82</w:t>
            </w:r>
          </w:p>
        </w:tc>
        <w:tc>
          <w:tcPr>
            <w:tcW w:type="dxa" w:w="1050"/>
            <w:tcMar>
              <w:top w:w="80" w:type="dxa"/>
              <w:start w:w="120" w:type="dxa"/>
              <w:bottom w:w="80" w:type="dxa"/>
              <w:end w:w="120" w:type="dxa"/>
            </w:tcMar>
            <w:shd w:fill="FAFBFC"/>
          </w:tcPr>
          <w:p>
            <w:pPr>
              <w:spacing w:after="0"/>
            </w:pPr>
            <w:r>
              <w:rPr>
                <w:rFonts w:ascii="Calibri" w:hAnsi="Calibri"/>
                <w:color w:val="24303F"/>
                <w:sz w:val="14"/>
              </w:rPr>
              <w:t>-78.0%</w:t>
            </w:r>
          </w:p>
        </w:tc>
        <w:tc>
          <w:tcPr>
            <w:tcW w:type="dxa" w:w="2410"/>
            <w:tcMar>
              <w:top w:w="80" w:type="dxa"/>
              <w:start w:w="120" w:type="dxa"/>
              <w:bottom w:w="80" w:type="dxa"/>
              <w:end w:w="120" w:type="dxa"/>
            </w:tcMar>
            <w:shd w:fill="FAFBFC"/>
          </w:tcPr>
          <w:p>
            <w:pPr>
              <w:spacing w:after="0"/>
            </w:pPr>
            <w:r>
              <w:rPr>
                <w:rFonts w:ascii="Calibri" w:hAnsi="Calibri"/>
                <w:color w:val="24303F"/>
                <w:sz w:val="14"/>
              </w:rPr>
              <w:t>1.28x</w:t>
            </w:r>
          </w:p>
        </w:tc>
      </w:tr>
      <w:tr>
        <w:tc>
          <w:tcPr>
            <w:tcW w:type="dxa" w:w="3000"/>
            <w:tcMar>
              <w:top w:w="80" w:type="dxa"/>
              <w:start w:w="120" w:type="dxa"/>
              <w:bottom w:w="80" w:type="dxa"/>
              <w:end w:w="120" w:type="dxa"/>
            </w:tcMar>
          </w:tcPr>
          <w:p>
            <w:pPr>
              <w:spacing w:after="0"/>
            </w:pPr>
            <w:r>
              <w:rPr>
                <w:rFonts w:ascii="Calibri" w:hAnsi="Calibri"/>
                <w:color w:val="24303F"/>
                <w:sz w:val="14"/>
              </w:rPr>
              <w:t>Crypto Minimum-Variance</w:t>
            </w:r>
          </w:p>
        </w:tc>
        <w:tc>
          <w:tcPr>
            <w:tcW w:type="dxa" w:w="1050"/>
            <w:tcMar>
              <w:top w:w="80" w:type="dxa"/>
              <w:start w:w="120" w:type="dxa"/>
              <w:bottom w:w="80" w:type="dxa"/>
              <w:end w:w="120" w:type="dxa"/>
            </w:tcMar>
          </w:tcPr>
          <w:p>
            <w:pPr>
              <w:spacing w:after="0"/>
            </w:pPr>
            <w:r>
              <w:rPr>
                <w:rFonts w:ascii="Calibri" w:hAnsi="Calibri"/>
                <w:color w:val="24303F"/>
                <w:sz w:val="14"/>
              </w:rPr>
              <w:t>53.6%</w:t>
            </w:r>
          </w:p>
        </w:tc>
        <w:tc>
          <w:tcPr>
            <w:tcW w:type="dxa" w:w="950"/>
            <w:tcMar>
              <w:top w:w="80" w:type="dxa"/>
              <w:start w:w="120" w:type="dxa"/>
              <w:bottom w:w="80" w:type="dxa"/>
              <w:end w:w="120" w:type="dxa"/>
            </w:tcMar>
          </w:tcPr>
          <w:p>
            <w:pPr>
              <w:spacing w:after="0"/>
            </w:pPr>
            <w:r>
              <w:rPr>
                <w:rFonts w:ascii="Calibri" w:hAnsi="Calibri"/>
                <w:color w:val="24303F"/>
                <w:sz w:val="14"/>
              </w:rPr>
              <w:t>74.3%</w:t>
            </w:r>
          </w:p>
        </w:tc>
        <w:tc>
          <w:tcPr>
            <w:tcW w:type="dxa" w:w="900"/>
            <w:tcMar>
              <w:top w:w="80" w:type="dxa"/>
              <w:start w:w="120" w:type="dxa"/>
              <w:bottom w:w="80" w:type="dxa"/>
              <w:end w:w="120" w:type="dxa"/>
            </w:tcMar>
          </w:tcPr>
          <w:p>
            <w:pPr>
              <w:spacing w:after="0"/>
            </w:pPr>
            <w:r>
              <w:rPr>
                <w:rFonts w:ascii="Calibri" w:hAnsi="Calibri"/>
                <w:color w:val="24303F"/>
                <w:sz w:val="14"/>
              </w:rPr>
              <w:t>0.95</w:t>
            </w:r>
          </w:p>
        </w:tc>
        <w:tc>
          <w:tcPr>
            <w:tcW w:type="dxa" w:w="1050"/>
            <w:tcMar>
              <w:top w:w="80" w:type="dxa"/>
              <w:start w:w="120" w:type="dxa"/>
              <w:bottom w:w="80" w:type="dxa"/>
              <w:end w:w="120" w:type="dxa"/>
            </w:tcMar>
          </w:tcPr>
          <w:p>
            <w:pPr>
              <w:spacing w:after="0"/>
            </w:pPr>
            <w:r>
              <w:rPr>
                <w:rFonts w:ascii="Calibri" w:hAnsi="Calibri"/>
                <w:color w:val="24303F"/>
                <w:sz w:val="14"/>
              </w:rPr>
              <w:t>-72.2%</w:t>
            </w:r>
          </w:p>
        </w:tc>
        <w:tc>
          <w:tcPr>
            <w:tcW w:type="dxa" w:w="2410"/>
            <w:tcMar>
              <w:top w:w="80" w:type="dxa"/>
              <w:start w:w="120" w:type="dxa"/>
              <w:bottom w:w="80" w:type="dxa"/>
              <w:end w:w="120" w:type="dxa"/>
            </w:tcMar>
          </w:tcPr>
          <w:p>
            <w:pPr>
              <w:spacing w:after="0"/>
            </w:pPr>
            <w:r>
              <w:rPr>
                <w:rFonts w:ascii="Calibri" w:hAnsi="Calibri"/>
                <w:color w:val="24303F"/>
                <w:sz w:val="14"/>
              </w:rPr>
              <w:t>1.13x</w:t>
            </w:r>
          </w:p>
        </w:tc>
      </w:tr>
      <w:tr>
        <w:tc>
          <w:tcPr>
            <w:tcW w:type="dxa" w:w="3000"/>
            <w:tcMar>
              <w:top w:w="80" w:type="dxa"/>
              <w:start w:w="120" w:type="dxa"/>
              <w:bottom w:w="80" w:type="dxa"/>
              <w:end w:w="120" w:type="dxa"/>
            </w:tcMar>
            <w:shd w:fill="FAFBFC"/>
          </w:tcPr>
          <w:p>
            <w:pPr>
              <w:spacing w:after="0"/>
            </w:pPr>
            <w:r>
              <w:rPr>
                <w:rFonts w:ascii="Calibri" w:hAnsi="Calibri"/>
                <w:color w:val="24303F"/>
                <w:sz w:val="14"/>
              </w:rPr>
              <w:t>Crypto Risk Parity</w:t>
            </w:r>
          </w:p>
        </w:tc>
        <w:tc>
          <w:tcPr>
            <w:tcW w:type="dxa" w:w="1050"/>
            <w:tcMar>
              <w:top w:w="80" w:type="dxa"/>
              <w:start w:w="120" w:type="dxa"/>
              <w:bottom w:w="80" w:type="dxa"/>
              <w:end w:w="120" w:type="dxa"/>
            </w:tcMar>
            <w:shd w:fill="FAFBFC"/>
          </w:tcPr>
          <w:p>
            <w:pPr>
              <w:spacing w:after="0"/>
            </w:pPr>
            <w:r>
              <w:rPr>
                <w:rFonts w:ascii="Calibri" w:hAnsi="Calibri"/>
                <w:color w:val="24303F"/>
                <w:sz w:val="14"/>
              </w:rPr>
              <w:t>41.6%</w:t>
            </w:r>
          </w:p>
        </w:tc>
        <w:tc>
          <w:tcPr>
            <w:tcW w:type="dxa" w:w="950"/>
            <w:tcMar>
              <w:top w:w="80" w:type="dxa"/>
              <w:start w:w="120" w:type="dxa"/>
              <w:bottom w:w="80" w:type="dxa"/>
              <w:end w:w="120" w:type="dxa"/>
            </w:tcMar>
            <w:shd w:fill="FAFBFC"/>
          </w:tcPr>
          <w:p>
            <w:pPr>
              <w:spacing w:after="0"/>
            </w:pPr>
            <w:r>
              <w:rPr>
                <w:rFonts w:ascii="Calibri" w:hAnsi="Calibri"/>
                <w:color w:val="24303F"/>
                <w:sz w:val="14"/>
              </w:rPr>
              <w:t>80.3%</w:t>
            </w:r>
          </w:p>
        </w:tc>
        <w:tc>
          <w:tcPr>
            <w:tcW w:type="dxa" w:w="900"/>
            <w:tcMar>
              <w:top w:w="80" w:type="dxa"/>
              <w:start w:w="120" w:type="dxa"/>
              <w:bottom w:w="80" w:type="dxa"/>
              <w:end w:w="120" w:type="dxa"/>
            </w:tcMar>
            <w:shd w:fill="FAFBFC"/>
          </w:tcPr>
          <w:p>
            <w:pPr>
              <w:spacing w:after="0"/>
            </w:pPr>
            <w:r>
              <w:rPr>
                <w:rFonts w:ascii="Calibri" w:hAnsi="Calibri"/>
                <w:color w:val="24303F"/>
                <w:sz w:val="14"/>
              </w:rPr>
              <w:t>0.84</w:t>
            </w:r>
          </w:p>
        </w:tc>
        <w:tc>
          <w:tcPr>
            <w:tcW w:type="dxa" w:w="1050"/>
            <w:tcMar>
              <w:top w:w="80" w:type="dxa"/>
              <w:start w:w="120" w:type="dxa"/>
              <w:bottom w:w="80" w:type="dxa"/>
              <w:end w:w="120" w:type="dxa"/>
            </w:tcMar>
            <w:shd w:fill="FAFBFC"/>
          </w:tcPr>
          <w:p>
            <w:pPr>
              <w:spacing w:after="0"/>
            </w:pPr>
            <w:r>
              <w:rPr>
                <w:rFonts w:ascii="Calibri" w:hAnsi="Calibri"/>
                <w:color w:val="24303F"/>
                <w:sz w:val="14"/>
              </w:rPr>
              <w:t>-80.5%</w:t>
            </w:r>
          </w:p>
        </w:tc>
        <w:tc>
          <w:tcPr>
            <w:tcW w:type="dxa" w:w="2410"/>
            <w:tcMar>
              <w:top w:w="80" w:type="dxa"/>
              <w:start w:w="120" w:type="dxa"/>
              <w:bottom w:w="80" w:type="dxa"/>
              <w:end w:w="120" w:type="dxa"/>
            </w:tcMar>
            <w:shd w:fill="FAFBFC"/>
          </w:tcPr>
          <w:p>
            <w:pPr>
              <w:spacing w:after="0"/>
            </w:pPr>
            <w:r>
              <w:rPr>
                <w:rFonts w:ascii="Calibri" w:hAnsi="Calibri"/>
                <w:color w:val="24303F"/>
                <w:sz w:val="14"/>
              </w:rPr>
              <w:t>1.03x</w:t>
            </w:r>
          </w:p>
        </w:tc>
      </w:tr>
    </w:tbl>
    <w:p>
      <w:pPr>
        <w:pStyle w:val="Caption"/>
      </w:pPr>
      <w:r>
        <w:t>Exhibit A1. Complete net performance metrics table.</w:t>
      </w:r>
    </w:p>
    <w:p>
      <w:pPr>
        <w:pStyle w:val="Source"/>
      </w:pPr>
      <w:r>
        <w:t>Source: results/tables/performance_metrics.csv. Return is compound annual growth; volatility and Sharpe use 252 for equity/combined and 365 for crypto; zero risk-free rate.</w:t>
      </w:r>
    </w:p>
    <w:p>
      <w:pPr>
        <w:spacing w:after="0"/>
        <w:jc w:val="center"/>
      </w:pPr>
      <w:r>
        <w:drawing>
          <wp:inline xmlns:a="http://schemas.openxmlformats.org/drawingml/2006/main" xmlns:pic="http://schemas.openxmlformats.org/drawingml/2006/picture">
            <wp:extent cx="5303520" cy="2676007"/>
            <wp:docPr id="4" name="Picture 4"/>
            <wp:cNvGraphicFramePr>
              <a:graphicFrameLocks noChangeAspect="1"/>
            </wp:cNvGraphicFramePr>
            <a:graphic>
              <a:graphicData uri="http://schemas.openxmlformats.org/drawingml/2006/picture">
                <pic:pic>
                  <pic:nvPicPr>
                    <pic:cNvPr id="0" name="sharpe_by_fund_and_method.png"/>
                    <pic:cNvPicPr/>
                  </pic:nvPicPr>
                  <pic:blipFill>
                    <a:blip r:embed="rId14"/>
                    <a:stretch>
                      <a:fillRect/>
                    </a:stretch>
                  </pic:blipFill>
                  <pic:spPr>
                    <a:xfrm>
                      <a:off x="0" y="0"/>
                      <a:ext cx="5303520" cy="2676007"/>
                    </a:xfrm>
                    <a:prstGeom prst="rect"/>
                  </pic:spPr>
                </pic:pic>
              </a:graphicData>
            </a:graphic>
          </wp:inline>
        </w:drawing>
      </w:r>
    </w:p>
    <w:p>
      <w:pPr>
        <w:pStyle w:val="Caption"/>
      </w:pPr>
      <w:r>
        <w:t>Exhibit A2. Net out-of-sample Sharpe ratio by method and family.</w:t>
      </w:r>
    </w:p>
    <w:p>
      <w:pPr>
        <w:pStyle w:val="Source"/>
      </w:pPr>
      <w:r>
        <w:t>Source: FINS5545 prices; student calculations; 2021–2023; 10 bps one-way cost.</w:t>
      </w:r>
    </w:p>
    <w:p>
      <w:pPr>
        <w:spacing w:after="80"/>
      </w:pPr>
      <w:r>
        <w:rPr>
          <w:rFonts w:ascii="Calibri" w:hAnsi="Calibri"/>
          <w:i w:val="0"/>
          <w:color w:val="667085"/>
          <w:sz w:val="19"/>
        </w:rPr>
        <w:t>Crypto leads risk-adjusted rankings in this sample but at a separate risk scale. Among equities, Equal-Weight is hard to improve on; Combined Risk Parity narrowly leads Combined Equal-Weight by Sharpe.</w:t>
      </w:r>
    </w:p>
    <w:p>
      <w:r>
        <w:br w:type="page"/>
      </w:r>
    </w:p>
    <w:p>
      <w:pPr>
        <w:spacing w:after="40"/>
      </w:pPr>
      <w:r>
        <w:rPr>
          <w:rFonts w:ascii="Calibri" w:hAnsi="Calibri"/>
          <w:b/>
          <w:color w:val="2A9D8F"/>
          <w:sz w:val="18"/>
        </w:rPr>
        <w:t>APPENDIX B</w:t>
      </w:r>
    </w:p>
    <w:p>
      <w:pPr>
        <w:pStyle w:val="Heading1"/>
        <w:spacing w:before="0"/>
      </w:pPr>
      <w:r>
        <w:t>Required exhibits: growth and drawdown</w:t>
      </w:r>
    </w:p>
    <w:p>
      <w:pPr>
        <w:spacing w:after="0"/>
        <w:jc w:val="center"/>
      </w:pPr>
      <w:r>
        <w:drawing>
          <wp:inline xmlns:a="http://schemas.openxmlformats.org/drawingml/2006/main" xmlns:pic="http://schemas.openxmlformats.org/drawingml/2006/picture">
            <wp:extent cx="5349240" cy="1710057"/>
            <wp:docPr id="5" name="Picture 5"/>
            <wp:cNvGraphicFramePr>
              <a:graphicFrameLocks noChangeAspect="1"/>
            </wp:cNvGraphicFramePr>
            <a:graphic>
              <a:graphicData uri="http://schemas.openxmlformats.org/drawingml/2006/picture">
                <pic:pic>
                  <pic:nvPicPr>
                    <pic:cNvPr id="0" name="growth_of_one_dollar.png"/>
                    <pic:cNvPicPr/>
                  </pic:nvPicPr>
                  <pic:blipFill>
                    <a:blip r:embed="rId15"/>
                    <a:stretch>
                      <a:fillRect/>
                    </a:stretch>
                  </pic:blipFill>
                  <pic:spPr>
                    <a:xfrm>
                      <a:off x="0" y="0"/>
                      <a:ext cx="5349240" cy="1710057"/>
                    </a:xfrm>
                    <a:prstGeom prst="rect"/>
                  </pic:spPr>
                </pic:pic>
              </a:graphicData>
            </a:graphic>
          </wp:inline>
        </w:drawing>
      </w:r>
    </w:p>
    <w:p>
      <w:pPr>
        <w:pStyle w:val="Caption"/>
      </w:pPr>
      <w:r>
        <w:t>Exhibit B1. Growth of $1 across all twelve funds, grouped by universe.</w:t>
      </w:r>
    </w:p>
    <w:p>
      <w:pPr>
        <w:pStyle w:val="Source"/>
      </w:pPr>
      <w:r>
        <w:t>Source: FINS5545 prices; student calculations; net of 10 bps one-way costs; 2021–2023.</w:t>
      </w:r>
    </w:p>
    <w:p>
      <w:pPr>
        <w:spacing w:after="80"/>
      </w:pPr>
      <w:r>
        <w:rPr>
          <w:rFonts w:ascii="Calibri" w:hAnsi="Calibri"/>
          <w:i w:val="0"/>
          <w:color w:val="667085"/>
          <w:sz w:val="19"/>
        </w:rPr>
        <w:t>Crypto paths dominate the vertical range and also experience the largest reversals. Equity and combined panels provide a more decision-relevant view for moderate-risk users.</w:t>
      </w:r>
    </w:p>
    <w:p>
      <w:pPr>
        <w:spacing w:after="0"/>
        <w:jc w:val="center"/>
      </w:pPr>
      <w:r>
        <w:drawing>
          <wp:inline xmlns:a="http://schemas.openxmlformats.org/drawingml/2006/main" xmlns:pic="http://schemas.openxmlformats.org/drawingml/2006/picture">
            <wp:extent cx="5349240" cy="2678113"/>
            <wp:docPr id="6" name="Picture 6"/>
            <wp:cNvGraphicFramePr>
              <a:graphicFrameLocks noChangeAspect="1"/>
            </wp:cNvGraphicFramePr>
            <a:graphic>
              <a:graphicData uri="http://schemas.openxmlformats.org/drawingml/2006/picture">
                <pic:pic>
                  <pic:nvPicPr>
                    <pic:cNvPr id="0" name="combined_fund_drawdown.png"/>
                    <pic:cNvPicPr/>
                  </pic:nvPicPr>
                  <pic:blipFill>
                    <a:blip r:embed="rId16"/>
                    <a:stretch>
                      <a:fillRect/>
                    </a:stretch>
                  </pic:blipFill>
                  <pic:spPr>
                    <a:xfrm>
                      <a:off x="0" y="0"/>
                      <a:ext cx="5349240" cy="2678113"/>
                    </a:xfrm>
                    <a:prstGeom prst="rect"/>
                  </pic:spPr>
                </pic:pic>
              </a:graphicData>
            </a:graphic>
          </wp:inline>
        </w:drawing>
      </w:r>
    </w:p>
    <w:p>
      <w:pPr>
        <w:pStyle w:val="Caption"/>
      </w:pPr>
      <w:r>
        <w:t>Exhibit B2. Drawdown paths for the four combined funds.</w:t>
      </w:r>
    </w:p>
    <w:p>
      <w:pPr>
        <w:pStyle w:val="Source"/>
      </w:pPr>
      <w:r>
        <w:t>Source: FINS5545 prices; student calculations; net of 10 bps one-way costs; 2021–2023.</w:t>
      </w:r>
    </w:p>
    <w:p>
      <w:pPr>
        <w:spacing w:after="80"/>
      </w:pPr>
      <w:r>
        <w:rPr>
          <w:rFonts w:ascii="Calibri" w:hAnsi="Calibri"/>
          <w:i w:val="0"/>
          <w:color w:val="667085"/>
          <w:sz w:val="19"/>
        </w:rPr>
        <w:t>Risk Parity reduces the worst combined-family drawdown relative to Equal-Weight; Maximum-Sharpe is much less stable.</w:t>
      </w:r>
    </w:p>
    <w:p>
      <w:r>
        <w:br w:type="page"/>
      </w:r>
    </w:p>
    <w:p>
      <w:pPr>
        <w:spacing w:after="40"/>
      </w:pPr>
      <w:r>
        <w:rPr>
          <w:rFonts w:ascii="Calibri" w:hAnsi="Calibri"/>
          <w:b/>
          <w:color w:val="2A9D8F"/>
          <w:sz w:val="18"/>
        </w:rPr>
        <w:t>APPENDIX C</w:t>
      </w:r>
    </w:p>
    <w:p>
      <w:pPr>
        <w:pStyle w:val="Heading1"/>
        <w:spacing w:before="0"/>
      </w:pPr>
      <w:r>
        <w:t>Required exhibit: portfolio weights over time</w:t>
      </w:r>
    </w:p>
    <w:p>
      <w:pPr>
        <w:spacing w:after="0"/>
        <w:jc w:val="center"/>
      </w:pPr>
      <w:r>
        <w:drawing>
          <wp:inline xmlns:a="http://schemas.openxmlformats.org/drawingml/2006/main" xmlns:pic="http://schemas.openxmlformats.org/drawingml/2006/picture">
            <wp:extent cx="5669280" cy="3497854"/>
            <wp:docPr id="7" name="Picture 7"/>
            <wp:cNvGraphicFramePr>
              <a:graphicFrameLocks noChangeAspect="1"/>
            </wp:cNvGraphicFramePr>
            <a:graphic>
              <a:graphicData uri="http://schemas.openxmlformats.org/drawingml/2006/picture">
                <pic:pic>
                  <pic:nvPicPr>
                    <pic:cNvPr id="0" name="combined_weights_over_time.png"/>
                    <pic:cNvPicPr/>
                  </pic:nvPicPr>
                  <pic:blipFill>
                    <a:blip r:embed="rId17"/>
                    <a:stretch>
                      <a:fillRect/>
                    </a:stretch>
                  </pic:blipFill>
                  <pic:spPr>
                    <a:xfrm>
                      <a:off x="0" y="0"/>
                      <a:ext cx="5669280" cy="3497854"/>
                    </a:xfrm>
                    <a:prstGeom prst="rect"/>
                  </pic:spPr>
                </pic:pic>
              </a:graphicData>
            </a:graphic>
          </wp:inline>
        </w:drawing>
      </w:r>
    </w:p>
    <w:p>
      <w:pPr>
        <w:pStyle w:val="Caption"/>
      </w:pPr>
      <w:r>
        <w:t>Exhibit C1. Monthly target allocations by group for all four combined-fund methods.</w:t>
      </w:r>
    </w:p>
    <w:p>
      <w:pPr>
        <w:pStyle w:val="Source"/>
      </w:pPr>
      <w:r>
        <w:t>Source: FINS5545 prices; expanding estimates use prior observations only; 2021–2023.</w:t>
      </w:r>
    </w:p>
    <w:p>
      <w:pPr>
        <w:spacing w:after="80"/>
      </w:pPr>
      <w:r>
        <w:rPr>
          <w:rFonts w:ascii="Calibri" w:hAnsi="Calibri"/>
          <w:i w:val="0"/>
          <w:color w:val="667085"/>
          <w:sz w:val="19"/>
        </w:rPr>
        <w:t>Equal-Weight is constant by construction. Minimum-Variance avoids crypto; Risk Parity evolves gradually; Maximum-Sharpe produces large allocation shifts as estimated returns change.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Audit link</w:t>
            </w:r>
          </w:p>
          <w:p>
            <w:pPr>
              <w:spacing w:after="0"/>
            </w:pPr>
            <w:r>
              <w:rPr>
                <w:rFonts w:ascii="Calibri" w:hAnsi="Calibri"/>
                <w:color w:val="24303F"/>
                <w:sz w:val="20"/>
              </w:rPr>
              <w:t>The underlying ticker-level monthly targets are in results/data/fund_weights.csv. results/tables/portfolio_constraint_checks.csv records weight sum, minimum, and maximum for every fund-rebalance pair.</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APPENDIX D</w:t>
      </w:r>
    </w:p>
    <w:p>
      <w:pPr>
        <w:pStyle w:val="Heading1"/>
        <w:spacing w:before="0"/>
      </w:pPr>
      <w:r>
        <w:t>Required exhibit: sector sentiment over time</w:t>
      </w:r>
    </w:p>
    <w:p>
      <w:pPr>
        <w:spacing w:after="0"/>
        <w:jc w:val="center"/>
      </w:pPr>
      <w:r>
        <w:drawing>
          <wp:inline xmlns:a="http://schemas.openxmlformats.org/drawingml/2006/main" xmlns:pic="http://schemas.openxmlformats.org/drawingml/2006/picture">
            <wp:extent cx="5577840" cy="5098094"/>
            <wp:docPr id="8" name="Picture 8"/>
            <wp:cNvGraphicFramePr>
              <a:graphicFrameLocks noChangeAspect="1"/>
            </wp:cNvGraphicFramePr>
            <a:graphic>
              <a:graphicData uri="http://schemas.openxmlformats.org/drawingml/2006/picture">
                <pic:pic>
                  <pic:nvPicPr>
                    <pic:cNvPr id="0" name="sector_sentiment_index.png"/>
                    <pic:cNvPicPr/>
                  </pic:nvPicPr>
                  <pic:blipFill>
                    <a:blip r:embed="rId18"/>
                    <a:stretch>
                      <a:fillRect/>
                    </a:stretch>
                  </pic:blipFill>
                  <pic:spPr>
                    <a:xfrm>
                      <a:off x="0" y="0"/>
                      <a:ext cx="5577840" cy="5098094"/>
                    </a:xfrm>
                    <a:prstGeom prst="rect"/>
                  </pic:spPr>
                </pic:pic>
              </a:graphicData>
            </a:graphic>
          </wp:inline>
        </w:drawing>
      </w:r>
    </w:p>
    <w:p>
      <w:pPr>
        <w:pStyle w:val="Caption"/>
      </w:pPr>
      <w:r>
        <w:t>Exhibit D1. Lagged 21-day finVADER sentiment by sector, 2020–2023.</w:t>
      </w:r>
    </w:p>
    <w:p>
      <w:pPr>
        <w:pStyle w:val="Source"/>
      </w:pPr>
      <w:r>
        <w:t>Source: FINS5545 headlines; headline scores average within ticker-day, then equally across tickers; five-day carry; one trading-day lag.</w:t>
      </w:r>
    </w:p>
    <w:p>
      <w:pPr>
        <w:spacing w:after="80"/>
      </w:pPr>
      <w:r>
        <w:rPr>
          <w:rFonts w:ascii="Calibri" w:hAnsi="Calibri"/>
          <w:i w:val="0"/>
          <w:color w:val="667085"/>
          <w:sz w:val="19"/>
        </w:rPr>
        <w:t>Sector tone moves through common regimes but retains cross-sector dispersion. Equal-ticker aggregation prevents firms with more headlines from dominating the index.</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1"/>
            <w:tcBorders>
              <w:start w:val="single" w:sz="18" w:color="2A9D8F"/>
            </w:tcBorders>
          </w:tcPr>
          <w:p>
            <w:pPr>
              <w:spacing w:after="40"/>
            </w:pPr>
            <w:r>
              <w:rPr>
                <w:rFonts w:ascii="Calibri" w:hAnsi="Calibri"/>
                <w:b/>
                <w:color w:val="12263A"/>
                <w:sz w:val="21"/>
              </w:rPr>
              <w:t>Interpretation</w:t>
            </w:r>
          </w:p>
          <w:p>
            <w:pPr>
              <w:spacing w:after="0"/>
            </w:pPr>
            <w:r>
              <w:rPr>
                <w:rFonts w:ascii="Calibri" w:hAnsi="Calibri"/>
                <w:color w:val="24303F"/>
                <w:sz w:val="20"/>
              </w:rPr>
              <w:t>The sector chart is a descriptive state variable. It is not itself a trading result. Any allocation use is evaluated separately in Appendix E with the prescribed lag, holdout, turnover, and costs.</w:t>
            </w:r>
          </w:p>
        </w:tc>
      </w:tr>
    </w:tbl>
    <w:p>
      <w:pPr>
        <w:spacing w:after="40"/>
      </w:pPr>
      <w:r>
        <w:rPr>
          <w:rFonts w:ascii="Calibri" w:hAnsi="Calibri"/>
          <w:i w:val="0"/>
          <w:color w:val="24303F"/>
          <w:sz w:val="22"/>
        </w:rPr>
      </w:r>
    </w:p>
    <w:p>
      <w:r>
        <w:br w:type="page"/>
      </w:r>
    </w:p>
    <w:p>
      <w:pPr>
        <w:spacing w:after="40"/>
      </w:pPr>
      <w:r>
        <w:rPr>
          <w:rFonts w:ascii="Calibri" w:hAnsi="Calibri"/>
          <w:b/>
          <w:color w:val="2A9D8F"/>
          <w:sz w:val="18"/>
        </w:rPr>
        <w:t>APPENDIX E</w:t>
      </w:r>
    </w:p>
    <w:p>
      <w:pPr>
        <w:pStyle w:val="Heading1"/>
        <w:spacing w:before="0"/>
      </w:pPr>
      <w:r>
        <w:t>Sentiment diagnostics and fear/greed</w:t>
      </w:r>
    </w:p>
    <w:p>
      <w:pPr>
        <w:spacing w:after="0"/>
        <w:jc w:val="center"/>
      </w:pPr>
      <w:r>
        <w:drawing>
          <wp:inline xmlns:a="http://schemas.openxmlformats.org/drawingml/2006/main" xmlns:pic="http://schemas.openxmlformats.org/drawingml/2006/picture">
            <wp:extent cx="5394960" cy="3609949"/>
            <wp:docPr id="9" name="Picture 9"/>
            <wp:cNvGraphicFramePr>
              <a:graphicFrameLocks noChangeAspect="1"/>
            </wp:cNvGraphicFramePr>
            <a:graphic>
              <a:graphicData uri="http://schemas.openxmlformats.org/drawingml/2006/picture">
                <pic:pic>
                  <pic:nvPicPr>
                    <pic:cNvPr id="0" name="fear_greed_index.png"/>
                    <pic:cNvPicPr/>
                  </pic:nvPicPr>
                  <pic:blipFill>
                    <a:blip r:embed="rId19"/>
                    <a:stretch>
                      <a:fillRect/>
                    </a:stretch>
                  </pic:blipFill>
                  <pic:spPr>
                    <a:xfrm>
                      <a:off x="0" y="0"/>
                      <a:ext cx="5394960" cy="3609949"/>
                    </a:xfrm>
                    <a:prstGeom prst="rect"/>
                  </pic:spPr>
                </pic:pic>
              </a:graphicData>
            </a:graphic>
          </wp:inline>
        </w:drawing>
      </w:r>
    </w:p>
    <w:p>
      <w:pPr>
        <w:pStyle w:val="Caption"/>
      </w:pPr>
      <w:r>
        <w:t>Exhibit E1. MarketLens news fear/greed level and expanding live z-score.</w:t>
      </w:r>
    </w:p>
    <w:p>
      <w:pPr>
        <w:pStyle w:val="Source"/>
      </w:pPr>
      <w:r>
        <w:t>Source: FINS5545 headlines; finVADER; equal headline contribution after ticker-day aggregation; 2020–2023.</w:t>
      </w:r>
    </w:p>
    <w:p>
      <w:pPr>
        <w:spacing w:after="80"/>
      </w:pPr>
      <w:r>
        <w:rPr>
          <w:rFonts w:ascii="Calibri" w:hAnsi="Calibri"/>
          <w:i w:val="0"/>
          <w:color w:val="667085"/>
          <w:sz w:val="19"/>
        </w:rPr>
        <w:t>The expanding z-score only uses history available by each date; the full-sample standardisation is retained in CSV for descriptive comparison, not live decisions.</w:t>
      </w:r>
    </w:p>
    <w:p>
      <w:pPr>
        <w:spacing w:after="0"/>
        <w:jc w:val="center"/>
      </w:pPr>
      <w:r>
        <w:drawing>
          <wp:inline xmlns:a="http://schemas.openxmlformats.org/drawingml/2006/main" xmlns:pic="http://schemas.openxmlformats.org/drawingml/2006/picture">
            <wp:extent cx="5212080" cy="2278158"/>
            <wp:docPr id="10" name="Picture 10"/>
            <wp:cNvGraphicFramePr>
              <a:graphicFrameLocks noChangeAspect="1"/>
            </wp:cNvGraphicFramePr>
            <a:graphic>
              <a:graphicData uri="http://schemas.openxmlformats.org/drawingml/2006/picture">
                <pic:pic>
                  <pic:nvPicPr>
                    <pic:cNvPr id="0" name="sentiment_model_validation.png"/>
                    <pic:cNvPicPr/>
                  </pic:nvPicPr>
                  <pic:blipFill>
                    <a:blip r:embed="rId12"/>
                    <a:stretch>
                      <a:fillRect/>
                    </a:stretch>
                  </pic:blipFill>
                  <pic:spPr>
                    <a:xfrm>
                      <a:off x="0" y="0"/>
                      <a:ext cx="5212080" cy="2278158"/>
                    </a:xfrm>
                    <a:prstGeom prst="rect"/>
                  </pic:spPr>
                </pic:pic>
              </a:graphicData>
            </a:graphic>
          </wp:inline>
        </w:drawing>
      </w:r>
    </w:p>
    <w:p>
      <w:pPr>
        <w:pStyle w:val="Caption"/>
      </w:pPr>
      <w:r>
        <w:t>Exhibit E2. Sentiment model coverage robustness.</w:t>
      </w:r>
    </w:p>
    <w:p>
      <w:pPr>
        <w:pStyle w:val="Source"/>
      </w:pPr>
      <w:r>
        <w:t>Source: results/tables/sentiment_model_validation.csv; 2020–2023.</w:t>
      </w:r>
    </w:p>
    <w:p>
      <w:r>
        <w:br w:type="page"/>
      </w:r>
    </w:p>
    <w:p>
      <w:pPr>
        <w:spacing w:after="40"/>
      </w:pPr>
      <w:r>
        <w:rPr>
          <w:rFonts w:ascii="Calibri" w:hAnsi="Calibri"/>
          <w:b/>
          <w:color w:val="2A9D8F"/>
          <w:sz w:val="18"/>
        </w:rPr>
        <w:t>APPENDIX F</w:t>
      </w:r>
    </w:p>
    <w:p>
      <w:pPr>
        <w:pStyle w:val="Heading1"/>
        <w:spacing w:before="0"/>
      </w:pPr>
      <w:r>
        <w:t>Required fusion evidence and robustness</w:t>
      </w:r>
    </w:p>
    <w:tbl>
      <w:tblPr>
        <w:tblStyle w:val="TableGrid"/>
        <w:tblW w:type="dxa" w:w="9360"/>
        <w:jc w:val="left"/>
        <w:tblLayout w:type="fixed"/>
        <w:tblLook w:firstColumn="1" w:firstRow="1" w:lastColumn="0" w:lastRow="0" w:noHBand="0" w:noVBand="1" w:val="04A0"/>
        <w:tblInd w:w="120" w:type="dxa"/>
      </w:tblPr>
      <w:tblGrid>
        <w:gridCol w:w="1800"/>
        <w:gridCol w:w="2400"/>
        <w:gridCol w:w="1000"/>
        <w:gridCol w:w="1000"/>
        <w:gridCol w:w="1050"/>
        <w:gridCol w:w="2110"/>
      </w:tblGrid>
      <w:tr>
        <w:trPr>
          <w:tblHeader w:val="true"/>
        </w:trPr>
        <w:tc>
          <w:tcPr>
            <w:tcW w:type="dxa" w:w="1800"/>
            <w:tcMar>
              <w:top w:w="80" w:type="dxa"/>
              <w:start w:w="120" w:type="dxa"/>
              <w:bottom w:w="80" w:type="dxa"/>
              <w:end w:w="120" w:type="dxa"/>
            </w:tcMar>
            <w:vAlign w:val="center"/>
            <w:shd w:fill="F2F4F7"/>
          </w:tcPr>
          <w:p>
            <w:pPr>
              <w:spacing w:after="0"/>
            </w:pPr>
            <w:r>
              <w:rPr>
                <w:rFonts w:ascii="Calibri" w:hAnsi="Calibri"/>
                <w:b/>
                <w:color w:val="12263A"/>
                <w:sz w:val="15"/>
              </w:rPr>
              <w:t>Period</w:t>
            </w:r>
          </w:p>
        </w:tc>
        <w:tc>
          <w:tcPr>
            <w:tcW w:type="dxa" w:w="2400"/>
            <w:tcMar>
              <w:top w:w="80" w:type="dxa"/>
              <w:start w:w="120" w:type="dxa"/>
              <w:bottom w:w="80" w:type="dxa"/>
              <w:end w:w="120" w:type="dxa"/>
            </w:tcMar>
            <w:vAlign w:val="center"/>
            <w:shd w:fill="F2F4F7"/>
          </w:tcPr>
          <w:p>
            <w:pPr>
              <w:spacing w:after="0"/>
            </w:pPr>
            <w:r>
              <w:rPr>
                <w:rFonts w:ascii="Calibri" w:hAnsi="Calibri"/>
                <w:b/>
                <w:color w:val="12263A"/>
                <w:sz w:val="15"/>
              </w:rPr>
              <w:t>Model</w:t>
            </w:r>
          </w:p>
        </w:tc>
        <w:tc>
          <w:tcPr>
            <w:tcW w:type="dxa" w:w="1000"/>
            <w:tcMar>
              <w:top w:w="80" w:type="dxa"/>
              <w:start w:w="120" w:type="dxa"/>
              <w:bottom w:w="80" w:type="dxa"/>
              <w:end w:w="120" w:type="dxa"/>
            </w:tcMar>
            <w:vAlign w:val="center"/>
            <w:shd w:fill="F2F4F7"/>
          </w:tcPr>
          <w:p>
            <w:pPr>
              <w:spacing w:after="0"/>
            </w:pPr>
            <w:r>
              <w:rPr>
                <w:rFonts w:ascii="Calibri" w:hAnsi="Calibri"/>
                <w:b/>
                <w:color w:val="12263A"/>
                <w:sz w:val="15"/>
              </w:rPr>
              <w:t>Return</w:t>
            </w:r>
          </w:p>
        </w:tc>
        <w:tc>
          <w:tcPr>
            <w:tcW w:type="dxa" w:w="1000"/>
            <w:tcMar>
              <w:top w:w="80" w:type="dxa"/>
              <w:start w:w="120" w:type="dxa"/>
              <w:bottom w:w="80" w:type="dxa"/>
              <w:end w:w="120" w:type="dxa"/>
            </w:tcMar>
            <w:vAlign w:val="center"/>
            <w:shd w:fill="F2F4F7"/>
          </w:tcPr>
          <w:p>
            <w:pPr>
              <w:spacing w:after="0"/>
            </w:pPr>
            <w:r>
              <w:rPr>
                <w:rFonts w:ascii="Calibri" w:hAnsi="Calibri"/>
                <w:b/>
                <w:color w:val="12263A"/>
                <w:sz w:val="15"/>
              </w:rPr>
              <w:t>Sharpe</w:t>
            </w:r>
          </w:p>
        </w:tc>
        <w:tc>
          <w:tcPr>
            <w:tcW w:type="dxa" w:w="1050"/>
            <w:tcMar>
              <w:top w:w="80" w:type="dxa"/>
              <w:start w:w="120" w:type="dxa"/>
              <w:bottom w:w="80" w:type="dxa"/>
              <w:end w:w="120" w:type="dxa"/>
            </w:tcMar>
            <w:vAlign w:val="center"/>
            <w:shd w:fill="F2F4F7"/>
          </w:tcPr>
          <w:p>
            <w:pPr>
              <w:spacing w:after="0"/>
            </w:pPr>
            <w:r>
              <w:rPr>
                <w:rFonts w:ascii="Calibri" w:hAnsi="Calibri"/>
                <w:b/>
                <w:color w:val="12263A"/>
                <w:sz w:val="15"/>
              </w:rPr>
              <w:t>MDD</w:t>
            </w:r>
          </w:p>
        </w:tc>
        <w:tc>
          <w:tcPr>
            <w:tcW w:type="dxa" w:w="2110"/>
            <w:tcMar>
              <w:top w:w="80" w:type="dxa"/>
              <w:start w:w="120" w:type="dxa"/>
              <w:bottom w:w="80" w:type="dxa"/>
              <w:end w:w="120" w:type="dxa"/>
            </w:tcMar>
            <w:vAlign w:val="center"/>
            <w:shd w:fill="F2F4F7"/>
          </w:tcPr>
          <w:p>
            <w:pPr>
              <w:spacing w:after="0"/>
            </w:pPr>
            <w:r>
              <w:rPr>
                <w:rFonts w:ascii="Calibri" w:hAnsi="Calibri"/>
                <w:b/>
                <w:color w:val="12263A"/>
                <w:sz w:val="15"/>
              </w:rPr>
              <w:t>Turnover</w:t>
            </w:r>
          </w:p>
        </w:tc>
      </w:tr>
      <w:tr>
        <w:tc>
          <w:tcPr>
            <w:tcW w:type="dxa" w:w="1800"/>
            <w:tcMar>
              <w:top w:w="80" w:type="dxa"/>
              <w:start w:w="120" w:type="dxa"/>
              <w:bottom w:w="80" w:type="dxa"/>
              <w:end w:w="120" w:type="dxa"/>
            </w:tcMar>
          </w:tcPr>
          <w:p>
            <w:pPr>
              <w:spacing w:after="0"/>
            </w:pPr>
            <w:r>
              <w:rPr>
                <w:rFonts w:ascii="Calibri" w:hAnsi="Calibri"/>
                <w:color w:val="24303F"/>
                <w:sz w:val="15"/>
              </w:rPr>
              <w:t>Full OOS (descriptive; strength tuned within period)</w:t>
            </w:r>
          </w:p>
        </w:tc>
        <w:tc>
          <w:tcPr>
            <w:tcW w:type="dxa" w:w="2400"/>
            <w:tcMar>
              <w:top w:w="80" w:type="dxa"/>
              <w:start w:w="120" w:type="dxa"/>
              <w:bottom w:w="80" w:type="dxa"/>
              <w:end w:w="120" w:type="dxa"/>
            </w:tcMar>
          </w:tcPr>
          <w:p>
            <w:pPr>
              <w:spacing w:after="0"/>
            </w:pPr>
            <w:r>
              <w:rPr>
                <w:rFonts w:ascii="Calibri" w:hAnsi="Calibri"/>
                <w:color w:val="24303F"/>
                <w:sz w:val="15"/>
              </w:rPr>
              <w:t>Base Equity Minimum-Variance</w:t>
            </w:r>
          </w:p>
        </w:tc>
        <w:tc>
          <w:tcPr>
            <w:tcW w:type="dxa" w:w="1000"/>
            <w:tcMar>
              <w:top w:w="80" w:type="dxa"/>
              <w:start w:w="120" w:type="dxa"/>
              <w:bottom w:w="80" w:type="dxa"/>
              <w:end w:w="120" w:type="dxa"/>
            </w:tcMar>
          </w:tcPr>
          <w:p>
            <w:pPr>
              <w:spacing w:after="0"/>
            </w:pPr>
            <w:r>
              <w:rPr>
                <w:rFonts w:ascii="Calibri" w:hAnsi="Calibri"/>
                <w:color w:val="24303F"/>
                <w:sz w:val="15"/>
              </w:rPr>
              <w:t>7.0%</w:t>
            </w:r>
          </w:p>
        </w:tc>
        <w:tc>
          <w:tcPr>
            <w:tcW w:type="dxa" w:w="1000"/>
            <w:tcMar>
              <w:top w:w="80" w:type="dxa"/>
              <w:start w:w="120" w:type="dxa"/>
              <w:bottom w:w="80" w:type="dxa"/>
              <w:end w:w="120" w:type="dxa"/>
            </w:tcMar>
          </w:tcPr>
          <w:p>
            <w:pPr>
              <w:spacing w:after="0"/>
            </w:pPr>
            <w:r>
              <w:rPr>
                <w:rFonts w:ascii="Calibri" w:hAnsi="Calibri"/>
                <w:color w:val="24303F"/>
                <w:sz w:val="15"/>
              </w:rPr>
              <w:t>0.60</w:t>
            </w:r>
          </w:p>
        </w:tc>
        <w:tc>
          <w:tcPr>
            <w:tcW w:type="dxa" w:w="1050"/>
            <w:tcMar>
              <w:top w:w="80" w:type="dxa"/>
              <w:start w:w="120" w:type="dxa"/>
              <w:bottom w:w="80" w:type="dxa"/>
              <w:end w:w="120" w:type="dxa"/>
            </w:tcMar>
          </w:tcPr>
          <w:p>
            <w:pPr>
              <w:spacing w:after="0"/>
            </w:pPr>
            <w:r>
              <w:rPr>
                <w:rFonts w:ascii="Calibri" w:hAnsi="Calibri"/>
                <w:color w:val="24303F"/>
                <w:sz w:val="15"/>
              </w:rPr>
              <w:t>-17.8%</w:t>
            </w:r>
          </w:p>
        </w:tc>
        <w:tc>
          <w:tcPr>
            <w:tcW w:type="dxa" w:w="2110"/>
            <w:tcMar>
              <w:top w:w="80" w:type="dxa"/>
              <w:start w:w="120" w:type="dxa"/>
              <w:bottom w:w="80" w:type="dxa"/>
              <w:end w:w="120" w:type="dxa"/>
            </w:tcMar>
          </w:tcPr>
          <w:p>
            <w:pPr>
              <w:spacing w:after="0"/>
            </w:pPr>
            <w:r>
              <w:rPr>
                <w:rFonts w:ascii="Calibri" w:hAnsi="Calibri"/>
                <w:color w:val="24303F"/>
                <w:sz w:val="15"/>
              </w:rPr>
              <w:t>2.09x</w:t>
            </w:r>
          </w:p>
        </w:tc>
      </w:tr>
      <w:tr>
        <w:tc>
          <w:tcPr>
            <w:tcW w:type="dxa" w:w="1800"/>
            <w:tcMar>
              <w:top w:w="80" w:type="dxa"/>
              <w:start w:w="120" w:type="dxa"/>
              <w:bottom w:w="80" w:type="dxa"/>
              <w:end w:w="120" w:type="dxa"/>
            </w:tcMar>
            <w:shd w:fill="FAFBFC"/>
          </w:tcPr>
          <w:p>
            <w:pPr>
              <w:spacing w:after="0"/>
            </w:pPr>
            <w:r>
              <w:rPr>
                <w:rFonts w:ascii="Calibri" w:hAnsi="Calibri"/>
                <w:color w:val="24303F"/>
                <w:sz w:val="15"/>
              </w:rPr>
              <w:t>Full OOS (descriptive; strength tuned within period)</w:t>
            </w:r>
          </w:p>
        </w:tc>
        <w:tc>
          <w:tcPr>
            <w:tcW w:type="dxa" w:w="2400"/>
            <w:tcMar>
              <w:top w:w="80" w:type="dxa"/>
              <w:start w:w="120" w:type="dxa"/>
              <w:bottom w:w="80" w:type="dxa"/>
              <w:end w:w="120" w:type="dxa"/>
            </w:tcMar>
            <w:shd w:fill="FAFBFC"/>
          </w:tcPr>
          <w:p>
            <w:pPr>
              <w:spacing w:after="0"/>
            </w:pPr>
            <w:r>
              <w:rPr>
                <w:rFonts w:ascii="Calibri" w:hAnsi="Calibri"/>
                <w:color w:val="24303F"/>
                <w:sz w:val="15"/>
              </w:rPr>
              <w:t>Finance-Sentiment Tilt</w:t>
            </w:r>
          </w:p>
        </w:tc>
        <w:tc>
          <w:tcPr>
            <w:tcW w:type="dxa" w:w="1000"/>
            <w:tcMar>
              <w:top w:w="80" w:type="dxa"/>
              <w:start w:w="120" w:type="dxa"/>
              <w:bottom w:w="80" w:type="dxa"/>
              <w:end w:w="120" w:type="dxa"/>
            </w:tcMar>
            <w:shd w:fill="FAFBFC"/>
          </w:tcPr>
          <w:p>
            <w:pPr>
              <w:spacing w:after="0"/>
            </w:pPr>
            <w:r>
              <w:rPr>
                <w:rFonts w:ascii="Calibri" w:hAnsi="Calibri"/>
                <w:color w:val="24303F"/>
                <w:sz w:val="15"/>
              </w:rPr>
              <w:t>6.9%</w:t>
            </w:r>
          </w:p>
        </w:tc>
        <w:tc>
          <w:tcPr>
            <w:tcW w:type="dxa" w:w="1000"/>
            <w:tcMar>
              <w:top w:w="80" w:type="dxa"/>
              <w:start w:w="120" w:type="dxa"/>
              <w:bottom w:w="80" w:type="dxa"/>
              <w:end w:w="120" w:type="dxa"/>
            </w:tcMar>
            <w:shd w:fill="FAFBFC"/>
          </w:tcPr>
          <w:p>
            <w:pPr>
              <w:spacing w:after="0"/>
            </w:pPr>
            <w:r>
              <w:rPr>
                <w:rFonts w:ascii="Calibri" w:hAnsi="Calibri"/>
                <w:color w:val="24303F"/>
                <w:sz w:val="15"/>
              </w:rPr>
              <w:t>0.59</w:t>
            </w:r>
          </w:p>
        </w:tc>
        <w:tc>
          <w:tcPr>
            <w:tcW w:type="dxa" w:w="1050"/>
            <w:tcMar>
              <w:top w:w="80" w:type="dxa"/>
              <w:start w:w="120" w:type="dxa"/>
              <w:bottom w:w="80" w:type="dxa"/>
              <w:end w:w="120" w:type="dxa"/>
            </w:tcMar>
            <w:shd w:fill="FAFBFC"/>
          </w:tcPr>
          <w:p>
            <w:pPr>
              <w:spacing w:after="0"/>
            </w:pPr>
            <w:r>
              <w:rPr>
                <w:rFonts w:ascii="Calibri" w:hAnsi="Calibri"/>
                <w:color w:val="24303F"/>
                <w:sz w:val="15"/>
              </w:rPr>
              <w:t>-18.1%</w:t>
            </w:r>
          </w:p>
        </w:tc>
        <w:tc>
          <w:tcPr>
            <w:tcW w:type="dxa" w:w="2110"/>
            <w:tcMar>
              <w:top w:w="80" w:type="dxa"/>
              <w:start w:w="120" w:type="dxa"/>
              <w:bottom w:w="80" w:type="dxa"/>
              <w:end w:w="120" w:type="dxa"/>
            </w:tcMar>
            <w:shd w:fill="FAFBFC"/>
          </w:tcPr>
          <w:p>
            <w:pPr>
              <w:spacing w:after="0"/>
            </w:pPr>
            <w:r>
              <w:rPr>
                <w:rFonts w:ascii="Calibri" w:hAnsi="Calibri"/>
                <w:color w:val="24303F"/>
                <w:sz w:val="15"/>
              </w:rPr>
              <w:t>4.79x</w:t>
            </w:r>
          </w:p>
        </w:tc>
      </w:tr>
      <w:tr>
        <w:tc>
          <w:tcPr>
            <w:tcW w:type="dxa" w:w="1800"/>
            <w:tcMar>
              <w:top w:w="80" w:type="dxa"/>
              <w:start w:w="120" w:type="dxa"/>
              <w:bottom w:w="80" w:type="dxa"/>
              <w:end w:w="120" w:type="dxa"/>
            </w:tcMar>
          </w:tcPr>
          <w:p>
            <w:pPr>
              <w:spacing w:after="0"/>
            </w:pPr>
            <w:r>
              <w:rPr>
                <w:rFonts w:ascii="Calibri" w:hAnsi="Calibri"/>
                <w:color w:val="24303F"/>
                <w:sz w:val="15"/>
              </w:rPr>
              <w:t>Discovery (strength selected here)</w:t>
            </w:r>
          </w:p>
        </w:tc>
        <w:tc>
          <w:tcPr>
            <w:tcW w:type="dxa" w:w="2400"/>
            <w:tcMar>
              <w:top w:w="80" w:type="dxa"/>
              <w:start w:w="120" w:type="dxa"/>
              <w:bottom w:w="80" w:type="dxa"/>
              <w:end w:w="120" w:type="dxa"/>
            </w:tcMar>
          </w:tcPr>
          <w:p>
            <w:pPr>
              <w:spacing w:after="0"/>
            </w:pPr>
            <w:r>
              <w:rPr>
                <w:rFonts w:ascii="Calibri" w:hAnsi="Calibri"/>
                <w:color w:val="24303F"/>
                <w:sz w:val="15"/>
              </w:rPr>
              <w:t>Base Equity Minimum-Variance</w:t>
            </w:r>
          </w:p>
        </w:tc>
        <w:tc>
          <w:tcPr>
            <w:tcW w:type="dxa" w:w="1000"/>
            <w:tcMar>
              <w:top w:w="80" w:type="dxa"/>
              <w:start w:w="120" w:type="dxa"/>
              <w:bottom w:w="80" w:type="dxa"/>
              <w:end w:w="120" w:type="dxa"/>
            </w:tcMar>
          </w:tcPr>
          <w:p>
            <w:pPr>
              <w:spacing w:after="0"/>
            </w:pPr>
            <w:r>
              <w:rPr>
                <w:rFonts w:ascii="Calibri" w:hAnsi="Calibri"/>
                <w:color w:val="24303F"/>
                <w:sz w:val="15"/>
              </w:rPr>
              <w:t>8.0%</w:t>
            </w:r>
          </w:p>
        </w:tc>
        <w:tc>
          <w:tcPr>
            <w:tcW w:type="dxa" w:w="1000"/>
            <w:tcMar>
              <w:top w:w="80" w:type="dxa"/>
              <w:start w:w="120" w:type="dxa"/>
              <w:bottom w:w="80" w:type="dxa"/>
              <w:end w:w="120" w:type="dxa"/>
            </w:tcMar>
          </w:tcPr>
          <w:p>
            <w:pPr>
              <w:spacing w:after="0"/>
            </w:pPr>
            <w:r>
              <w:rPr>
                <w:rFonts w:ascii="Calibri" w:hAnsi="Calibri"/>
                <w:color w:val="24303F"/>
                <w:sz w:val="15"/>
              </w:rPr>
              <w:t>0.63</w:t>
            </w:r>
          </w:p>
        </w:tc>
        <w:tc>
          <w:tcPr>
            <w:tcW w:type="dxa" w:w="1050"/>
            <w:tcMar>
              <w:top w:w="80" w:type="dxa"/>
              <w:start w:w="120" w:type="dxa"/>
              <w:bottom w:w="80" w:type="dxa"/>
              <w:end w:w="120" w:type="dxa"/>
            </w:tcMar>
          </w:tcPr>
          <w:p>
            <w:pPr>
              <w:spacing w:after="0"/>
            </w:pPr>
            <w:r>
              <w:rPr>
                <w:rFonts w:ascii="Calibri" w:hAnsi="Calibri"/>
                <w:color w:val="24303F"/>
                <w:sz w:val="15"/>
              </w:rPr>
              <w:t>-17.8%</w:t>
            </w:r>
          </w:p>
        </w:tc>
        <w:tc>
          <w:tcPr>
            <w:tcW w:type="dxa" w:w="2110"/>
            <w:tcMar>
              <w:top w:w="80" w:type="dxa"/>
              <w:start w:w="120" w:type="dxa"/>
              <w:bottom w:w="80" w:type="dxa"/>
              <w:end w:w="120" w:type="dxa"/>
            </w:tcMar>
          </w:tcPr>
          <w:p>
            <w:pPr>
              <w:spacing w:after="0"/>
            </w:pPr>
            <w:r>
              <w:rPr>
                <w:rFonts w:ascii="Calibri" w:hAnsi="Calibri"/>
                <w:color w:val="24303F"/>
                <w:sz w:val="15"/>
              </w:rPr>
              <w:t>1.82x</w:t>
            </w:r>
          </w:p>
        </w:tc>
      </w:tr>
      <w:tr>
        <w:tc>
          <w:tcPr>
            <w:tcW w:type="dxa" w:w="1800"/>
            <w:tcMar>
              <w:top w:w="80" w:type="dxa"/>
              <w:start w:w="120" w:type="dxa"/>
              <w:bottom w:w="80" w:type="dxa"/>
              <w:end w:w="120" w:type="dxa"/>
            </w:tcMar>
            <w:shd w:fill="FAFBFC"/>
          </w:tcPr>
          <w:p>
            <w:pPr>
              <w:spacing w:after="0"/>
            </w:pPr>
            <w:r>
              <w:rPr>
                <w:rFonts w:ascii="Calibri" w:hAnsi="Calibri"/>
                <w:color w:val="24303F"/>
                <w:sz w:val="15"/>
              </w:rPr>
              <w:t>Discovery (strength selected here)</w:t>
            </w:r>
          </w:p>
        </w:tc>
        <w:tc>
          <w:tcPr>
            <w:tcW w:type="dxa" w:w="2400"/>
            <w:tcMar>
              <w:top w:w="80" w:type="dxa"/>
              <w:start w:w="120" w:type="dxa"/>
              <w:bottom w:w="80" w:type="dxa"/>
              <w:end w:w="120" w:type="dxa"/>
            </w:tcMar>
            <w:shd w:fill="FAFBFC"/>
          </w:tcPr>
          <w:p>
            <w:pPr>
              <w:spacing w:after="0"/>
            </w:pPr>
            <w:r>
              <w:rPr>
                <w:rFonts w:ascii="Calibri" w:hAnsi="Calibri"/>
                <w:color w:val="24303F"/>
                <w:sz w:val="15"/>
              </w:rPr>
              <w:t>Finance-Sentiment Tilt</w:t>
            </w:r>
          </w:p>
        </w:tc>
        <w:tc>
          <w:tcPr>
            <w:tcW w:type="dxa" w:w="1000"/>
            <w:tcMar>
              <w:top w:w="80" w:type="dxa"/>
              <w:start w:w="120" w:type="dxa"/>
              <w:bottom w:w="80" w:type="dxa"/>
              <w:end w:w="120" w:type="dxa"/>
            </w:tcMar>
            <w:shd w:fill="FAFBFC"/>
          </w:tcPr>
          <w:p>
            <w:pPr>
              <w:spacing w:after="0"/>
            </w:pPr>
            <w:r>
              <w:rPr>
                <w:rFonts w:ascii="Calibri" w:hAnsi="Calibri"/>
                <w:color w:val="24303F"/>
                <w:sz w:val="15"/>
              </w:rPr>
              <w:t>7.7%</w:t>
            </w:r>
          </w:p>
        </w:tc>
        <w:tc>
          <w:tcPr>
            <w:tcW w:type="dxa" w:w="1000"/>
            <w:tcMar>
              <w:top w:w="80" w:type="dxa"/>
              <w:start w:w="120" w:type="dxa"/>
              <w:bottom w:w="80" w:type="dxa"/>
              <w:end w:w="120" w:type="dxa"/>
            </w:tcMar>
            <w:shd w:fill="FAFBFC"/>
          </w:tcPr>
          <w:p>
            <w:pPr>
              <w:spacing w:after="0"/>
            </w:pPr>
            <w:r>
              <w:rPr>
                <w:rFonts w:ascii="Calibri" w:hAnsi="Calibri"/>
                <w:color w:val="24303F"/>
                <w:sz w:val="15"/>
              </w:rPr>
              <w:t>0.62</w:t>
            </w:r>
          </w:p>
        </w:tc>
        <w:tc>
          <w:tcPr>
            <w:tcW w:type="dxa" w:w="1050"/>
            <w:tcMar>
              <w:top w:w="80" w:type="dxa"/>
              <w:start w:w="120" w:type="dxa"/>
              <w:bottom w:w="80" w:type="dxa"/>
              <w:end w:w="120" w:type="dxa"/>
            </w:tcMar>
            <w:shd w:fill="FAFBFC"/>
          </w:tcPr>
          <w:p>
            <w:pPr>
              <w:spacing w:after="0"/>
            </w:pPr>
            <w:r>
              <w:rPr>
                <w:rFonts w:ascii="Calibri" w:hAnsi="Calibri"/>
                <w:color w:val="24303F"/>
                <w:sz w:val="15"/>
              </w:rPr>
              <w:t>-18.1%</w:t>
            </w:r>
          </w:p>
        </w:tc>
        <w:tc>
          <w:tcPr>
            <w:tcW w:type="dxa" w:w="2110"/>
            <w:tcMar>
              <w:top w:w="80" w:type="dxa"/>
              <w:start w:w="120" w:type="dxa"/>
              <w:bottom w:w="80" w:type="dxa"/>
              <w:end w:w="120" w:type="dxa"/>
            </w:tcMar>
            <w:shd w:fill="FAFBFC"/>
          </w:tcPr>
          <w:p>
            <w:pPr>
              <w:spacing w:after="0"/>
            </w:pPr>
            <w:r>
              <w:rPr>
                <w:rFonts w:ascii="Calibri" w:hAnsi="Calibri"/>
                <w:color w:val="24303F"/>
                <w:sz w:val="15"/>
              </w:rPr>
              <w:t>3.75x</w:t>
            </w:r>
          </w:p>
        </w:tc>
      </w:tr>
      <w:tr>
        <w:tc>
          <w:tcPr>
            <w:tcW w:type="dxa" w:w="1800"/>
            <w:tcMar>
              <w:top w:w="80" w:type="dxa"/>
              <w:start w:w="120" w:type="dxa"/>
              <w:bottom w:w="80" w:type="dxa"/>
              <w:end w:w="120" w:type="dxa"/>
            </w:tcMar>
          </w:tcPr>
          <w:p>
            <w:pPr>
              <w:spacing w:after="0"/>
            </w:pPr>
            <w:r>
              <w:rPr>
                <w:rFonts w:ascii="Calibri" w:hAnsi="Calibri"/>
                <w:color w:val="24303F"/>
                <w:sz w:val="15"/>
              </w:rPr>
              <w:t>Untouched holdout</w:t>
            </w:r>
          </w:p>
        </w:tc>
        <w:tc>
          <w:tcPr>
            <w:tcW w:type="dxa" w:w="2400"/>
            <w:tcMar>
              <w:top w:w="80" w:type="dxa"/>
              <w:start w:w="120" w:type="dxa"/>
              <w:bottom w:w="80" w:type="dxa"/>
              <w:end w:w="120" w:type="dxa"/>
            </w:tcMar>
          </w:tcPr>
          <w:p>
            <w:pPr>
              <w:spacing w:after="0"/>
            </w:pPr>
            <w:r>
              <w:rPr>
                <w:rFonts w:ascii="Calibri" w:hAnsi="Calibri"/>
                <w:color w:val="24303F"/>
                <w:sz w:val="15"/>
              </w:rPr>
              <w:t>Base Equity Minimum-Variance</w:t>
            </w:r>
          </w:p>
        </w:tc>
        <w:tc>
          <w:tcPr>
            <w:tcW w:type="dxa" w:w="1000"/>
            <w:tcMar>
              <w:top w:w="80" w:type="dxa"/>
              <w:start w:w="120" w:type="dxa"/>
              <w:bottom w:w="80" w:type="dxa"/>
              <w:end w:w="120" w:type="dxa"/>
            </w:tcMar>
          </w:tcPr>
          <w:p>
            <w:pPr>
              <w:spacing w:after="0"/>
            </w:pPr>
            <w:r>
              <w:rPr>
                <w:rFonts w:ascii="Calibri" w:hAnsi="Calibri"/>
                <w:color w:val="24303F"/>
                <w:sz w:val="15"/>
              </w:rPr>
              <w:t>5.1%</w:t>
            </w:r>
          </w:p>
        </w:tc>
        <w:tc>
          <w:tcPr>
            <w:tcW w:type="dxa" w:w="1000"/>
            <w:tcMar>
              <w:top w:w="80" w:type="dxa"/>
              <w:start w:w="120" w:type="dxa"/>
              <w:bottom w:w="80" w:type="dxa"/>
              <w:end w:w="120" w:type="dxa"/>
            </w:tcMar>
          </w:tcPr>
          <w:p>
            <w:pPr>
              <w:spacing w:after="0"/>
            </w:pPr>
            <w:r>
              <w:rPr>
                <w:rFonts w:ascii="Calibri" w:hAnsi="Calibri"/>
                <w:color w:val="24303F"/>
                <w:sz w:val="15"/>
              </w:rPr>
              <w:t>0.51</w:t>
            </w:r>
          </w:p>
        </w:tc>
        <w:tc>
          <w:tcPr>
            <w:tcW w:type="dxa" w:w="1050"/>
            <w:tcMar>
              <w:top w:w="80" w:type="dxa"/>
              <w:start w:w="120" w:type="dxa"/>
              <w:bottom w:w="80" w:type="dxa"/>
              <w:end w:w="120" w:type="dxa"/>
            </w:tcMar>
          </w:tcPr>
          <w:p>
            <w:pPr>
              <w:spacing w:after="0"/>
            </w:pPr>
            <w:r>
              <w:rPr>
                <w:rFonts w:ascii="Calibri" w:hAnsi="Calibri"/>
                <w:color w:val="24303F"/>
                <w:sz w:val="15"/>
              </w:rPr>
              <w:t>-8.6%</w:t>
            </w:r>
          </w:p>
        </w:tc>
        <w:tc>
          <w:tcPr>
            <w:tcW w:type="dxa" w:w="2110"/>
            <w:tcMar>
              <w:top w:w="80" w:type="dxa"/>
              <w:start w:w="120" w:type="dxa"/>
              <w:bottom w:w="80" w:type="dxa"/>
              <w:end w:w="120" w:type="dxa"/>
            </w:tcMar>
          </w:tcPr>
          <w:p>
            <w:pPr>
              <w:spacing w:after="0"/>
            </w:pPr>
            <w:r>
              <w:rPr>
                <w:rFonts w:ascii="Calibri" w:hAnsi="Calibri"/>
                <w:color w:val="24303F"/>
                <w:sz w:val="15"/>
              </w:rPr>
              <w:t>0.27x</w:t>
            </w:r>
          </w:p>
        </w:tc>
      </w:tr>
      <w:tr>
        <w:tc>
          <w:tcPr>
            <w:tcW w:type="dxa" w:w="1800"/>
            <w:tcMar>
              <w:top w:w="80" w:type="dxa"/>
              <w:start w:w="120" w:type="dxa"/>
              <w:bottom w:w="80" w:type="dxa"/>
              <w:end w:w="120" w:type="dxa"/>
            </w:tcMar>
            <w:shd w:fill="FAFBFC"/>
          </w:tcPr>
          <w:p>
            <w:pPr>
              <w:spacing w:after="0"/>
            </w:pPr>
            <w:r>
              <w:rPr>
                <w:rFonts w:ascii="Calibri" w:hAnsi="Calibri"/>
                <w:color w:val="24303F"/>
                <w:sz w:val="15"/>
              </w:rPr>
              <w:t>Untouched holdout</w:t>
            </w:r>
          </w:p>
        </w:tc>
        <w:tc>
          <w:tcPr>
            <w:tcW w:type="dxa" w:w="2400"/>
            <w:tcMar>
              <w:top w:w="80" w:type="dxa"/>
              <w:start w:w="120" w:type="dxa"/>
              <w:bottom w:w="80" w:type="dxa"/>
              <w:end w:w="120" w:type="dxa"/>
            </w:tcMar>
            <w:shd w:fill="FAFBFC"/>
          </w:tcPr>
          <w:p>
            <w:pPr>
              <w:spacing w:after="0"/>
            </w:pPr>
            <w:r>
              <w:rPr>
                <w:rFonts w:ascii="Calibri" w:hAnsi="Calibri"/>
                <w:color w:val="24303F"/>
                <w:sz w:val="15"/>
              </w:rPr>
              <w:t>Finance-Sentiment Tilt</w:t>
            </w:r>
          </w:p>
        </w:tc>
        <w:tc>
          <w:tcPr>
            <w:tcW w:type="dxa" w:w="1000"/>
            <w:tcMar>
              <w:top w:w="80" w:type="dxa"/>
              <w:start w:w="120" w:type="dxa"/>
              <w:bottom w:w="80" w:type="dxa"/>
              <w:end w:w="120" w:type="dxa"/>
            </w:tcMar>
            <w:shd w:fill="FAFBFC"/>
          </w:tcPr>
          <w:p>
            <w:pPr>
              <w:spacing w:after="0"/>
            </w:pPr>
            <w:r>
              <w:rPr>
                <w:rFonts w:ascii="Calibri" w:hAnsi="Calibri"/>
                <w:color w:val="24303F"/>
                <w:sz w:val="15"/>
              </w:rPr>
              <w:t>5.3%</w:t>
            </w:r>
          </w:p>
        </w:tc>
        <w:tc>
          <w:tcPr>
            <w:tcW w:type="dxa" w:w="1000"/>
            <w:tcMar>
              <w:top w:w="80" w:type="dxa"/>
              <w:start w:w="120" w:type="dxa"/>
              <w:bottom w:w="80" w:type="dxa"/>
              <w:end w:w="120" w:type="dxa"/>
            </w:tcMar>
            <w:shd w:fill="FAFBFC"/>
          </w:tcPr>
          <w:p>
            <w:pPr>
              <w:spacing w:after="0"/>
            </w:pPr>
            <w:r>
              <w:rPr>
                <w:rFonts w:ascii="Calibri" w:hAnsi="Calibri"/>
                <w:color w:val="24303F"/>
                <w:sz w:val="15"/>
              </w:rPr>
              <w:t>0.52</w:t>
            </w:r>
          </w:p>
        </w:tc>
        <w:tc>
          <w:tcPr>
            <w:tcW w:type="dxa" w:w="1050"/>
            <w:tcMar>
              <w:top w:w="80" w:type="dxa"/>
              <w:start w:w="120" w:type="dxa"/>
              <w:bottom w:w="80" w:type="dxa"/>
              <w:end w:w="120" w:type="dxa"/>
            </w:tcMar>
            <w:shd w:fill="FAFBFC"/>
          </w:tcPr>
          <w:p>
            <w:pPr>
              <w:spacing w:after="0"/>
            </w:pPr>
            <w:r>
              <w:rPr>
                <w:rFonts w:ascii="Calibri" w:hAnsi="Calibri"/>
                <w:color w:val="24303F"/>
                <w:sz w:val="15"/>
              </w:rPr>
              <w:t>-8.5%</w:t>
            </w:r>
          </w:p>
        </w:tc>
        <w:tc>
          <w:tcPr>
            <w:tcW w:type="dxa" w:w="2110"/>
            <w:tcMar>
              <w:top w:w="80" w:type="dxa"/>
              <w:start w:w="120" w:type="dxa"/>
              <w:bottom w:w="80" w:type="dxa"/>
              <w:end w:w="120" w:type="dxa"/>
            </w:tcMar>
            <w:shd w:fill="FAFBFC"/>
          </w:tcPr>
          <w:p>
            <w:pPr>
              <w:spacing w:after="0"/>
            </w:pPr>
            <w:r>
              <w:rPr>
                <w:rFonts w:ascii="Calibri" w:hAnsi="Calibri"/>
                <w:color w:val="24303F"/>
                <w:sz w:val="15"/>
              </w:rPr>
              <w:t>1.04x</w:t>
            </w:r>
          </w:p>
        </w:tc>
      </w:tr>
    </w:tbl>
    <w:p>
      <w:pPr>
        <w:pStyle w:val="Caption"/>
      </w:pPr>
      <w:r>
        <w:t>Exhibit F1. Base versus pre-set +0.25 sentiment candidate in discovery and untouched holdout periods.</w:t>
      </w:r>
    </w:p>
    <w:p>
      <w:pPr>
        <w:pStyle w:val="Source"/>
      </w:pPr>
      <w:r>
        <w:t>Source: results/tables/fusion_performance.csv; net of 10 bps one-way costs.</w:t>
      </w:r>
    </w:p>
    <w:p>
      <w:pPr>
        <w:spacing w:after="0"/>
        <w:jc w:val="center"/>
      </w:pPr>
      <w:r>
        <w:drawing>
          <wp:inline xmlns:a="http://schemas.openxmlformats.org/drawingml/2006/main" xmlns:pic="http://schemas.openxmlformats.org/drawingml/2006/picture">
            <wp:extent cx="5349240" cy="2616677"/>
            <wp:docPr id="11" name="Picture 11"/>
            <wp:cNvGraphicFramePr>
              <a:graphicFrameLocks noChangeAspect="1"/>
            </wp:cNvGraphicFramePr>
            <a:graphic>
              <a:graphicData uri="http://schemas.openxmlformats.org/drawingml/2006/picture">
                <pic:pic>
                  <pic:nvPicPr>
                    <pic:cNvPr id="0" name="fusion_holdout_comparison.png"/>
                    <pic:cNvPicPr/>
                  </pic:nvPicPr>
                  <pic:blipFill>
                    <a:blip r:embed="rId13"/>
                    <a:stretch>
                      <a:fillRect/>
                    </a:stretch>
                  </pic:blipFill>
                  <pic:spPr>
                    <a:xfrm>
                      <a:off x="0" y="0"/>
                      <a:ext cx="5349240" cy="2616677"/>
                    </a:xfrm>
                    <a:prstGeom prst="rect"/>
                  </pic:spPr>
                </pic:pic>
              </a:graphicData>
            </a:graphic>
          </wp:inline>
        </w:drawing>
      </w:r>
    </w:p>
    <w:p>
      <w:pPr>
        <w:pStyle w:val="Caption"/>
      </w:pPr>
      <w:r>
        <w:t>Exhibit F2. Required before/after fusion growth comparison in 2023.</w:t>
      </w:r>
    </w:p>
    <w:p>
      <w:pPr>
        <w:pStyle w:val="Source"/>
      </w:pPr>
      <w:r>
        <w:t>Source: FINS5545 equity returns and lagged finVADER; student calculations.</w:t>
      </w:r>
    </w:p>
    <w:p>
      <w:r>
        <w:br w:type="page"/>
      </w:r>
    </w:p>
    <w:p>
      <w:pPr>
        <w:spacing w:after="40"/>
      </w:pPr>
      <w:r>
        <w:rPr>
          <w:rFonts w:ascii="Calibri" w:hAnsi="Calibri"/>
          <w:b/>
          <w:color w:val="2A9D8F"/>
          <w:sz w:val="18"/>
        </w:rPr>
        <w:t>APPENDIX F (CONTINUED)</w:t>
      </w:r>
    </w:p>
    <w:p>
      <w:pPr>
        <w:pStyle w:val="Heading1"/>
        <w:spacing w:before="0"/>
      </w:pPr>
      <w:r>
        <w:t>Transaction-cost robustness</w:t>
      </w:r>
    </w:p>
    <w:p>
      <w:pPr>
        <w:spacing w:after="0"/>
        <w:jc w:val="center"/>
      </w:pPr>
      <w:r>
        <w:drawing>
          <wp:inline xmlns:a="http://schemas.openxmlformats.org/drawingml/2006/main" xmlns:pic="http://schemas.openxmlformats.org/drawingml/2006/picture">
            <wp:extent cx="5349240" cy="2374476"/>
            <wp:docPr id="12" name="Picture 12"/>
            <wp:cNvGraphicFramePr>
              <a:graphicFrameLocks noChangeAspect="1"/>
            </wp:cNvGraphicFramePr>
            <a:graphic>
              <a:graphicData uri="http://schemas.openxmlformats.org/drawingml/2006/picture">
                <pic:pic>
                  <pic:nvPicPr>
                    <pic:cNvPr id="0" name="fusion_transaction_cost_robustness.png"/>
                    <pic:cNvPicPr/>
                  </pic:nvPicPr>
                  <pic:blipFill>
                    <a:blip r:embed="rId20"/>
                    <a:stretch>
                      <a:fillRect/>
                    </a:stretch>
                  </pic:blipFill>
                  <pic:spPr>
                    <a:xfrm>
                      <a:off x="0" y="0"/>
                      <a:ext cx="5349240" cy="2374476"/>
                    </a:xfrm>
                    <a:prstGeom prst="rect"/>
                  </pic:spPr>
                </pic:pic>
              </a:graphicData>
            </a:graphic>
          </wp:inline>
        </w:drawing>
      </w:r>
    </w:p>
    <w:p>
      <w:pPr>
        <w:pStyle w:val="Caption"/>
      </w:pPr>
      <w:r>
        <w:t>Exhibit F3. Fusion Sharpe sensitivity to one-way trading costs and turnover.</w:t>
      </w:r>
    </w:p>
    <w:p>
      <w:pPr>
        <w:pStyle w:val="Source"/>
      </w:pPr>
      <w:r>
        <w:t>Source: results/tables/fusion_cost_robustness.csv; cost scenarios 0–50 bps.</w:t>
      </w:r>
    </w:p>
    <w:p>
      <w:pPr>
        <w:spacing w:after="80"/>
      </w:pPr>
      <w:r>
        <w:rPr>
          <w:rFonts w:ascii="Calibri" w:hAnsi="Calibri"/>
          <w:i w:val="0"/>
          <w:color w:val="667085"/>
          <w:sz w:val="19"/>
        </w:rPr>
        <w:t>The candidate advantage is not robust: it is erased around 25 bps in the holdout and is weaker over the full OOS period. This supports the no-productisation decision.</w:t>
      </w:r>
    </w:p>
    <w:p>
      <w:r>
        <w:br w:type="page"/>
      </w:r>
    </w:p>
    <w:p>
      <w:pPr>
        <w:spacing w:after="40"/>
      </w:pPr>
      <w:r>
        <w:rPr>
          <w:rFonts w:ascii="Calibri" w:hAnsi="Calibri"/>
          <w:b/>
          <w:color w:val="2A9D8F"/>
          <w:sz w:val="18"/>
        </w:rPr>
        <w:t>APPENDIX G</w:t>
      </w:r>
    </w:p>
    <w:p>
      <w:pPr>
        <w:pStyle w:val="Heading1"/>
        <w:spacing w:before="0"/>
      </w:pPr>
      <w:r>
        <w:t>Reproducibility, limitations, and references</w:t>
      </w:r>
    </w:p>
    <w:p>
      <w:pPr>
        <w:pStyle w:val="Heading2"/>
      </w:pPr>
      <w:r>
        <w:t>Reproducibility chain</w:t>
      </w:r>
    </w:p>
    <w:tbl>
      <w:tblPr>
        <w:tblStyle w:val="TableGrid"/>
        <w:tblW w:type="dxa" w:w="9360"/>
        <w:jc w:val="left"/>
        <w:tblLayout w:type="fixed"/>
        <w:tblLook w:firstColumn="1" w:firstRow="1" w:lastColumn="0" w:lastRow="0" w:noHBand="0" w:noVBand="1" w:val="04A0"/>
        <w:tblInd w:w="120" w:type="dxa"/>
      </w:tblPr>
      <w:tblGrid>
        <w:gridCol w:w="1450"/>
        <w:gridCol w:w="7910"/>
      </w:tblGrid>
      <w:tr>
        <w:trPr>
          <w:tblHeader w:val="true"/>
        </w:trPr>
        <w:tc>
          <w:tcPr>
            <w:tcW w:type="dxa" w:w="1450"/>
            <w:tcMar>
              <w:top w:w="80" w:type="dxa"/>
              <w:start w:w="120" w:type="dxa"/>
              <w:bottom w:w="80" w:type="dxa"/>
              <w:end w:w="120" w:type="dxa"/>
            </w:tcMar>
            <w:vAlign w:val="center"/>
            <w:shd w:fill="F2F4F7"/>
          </w:tcPr>
          <w:p>
            <w:pPr>
              <w:spacing w:after="0"/>
            </w:pPr>
            <w:r>
              <w:rPr>
                <w:rFonts w:ascii="Calibri" w:hAnsi="Calibri"/>
                <w:b/>
                <w:color w:val="12263A"/>
                <w:sz w:val="16"/>
              </w:rPr>
              <w:t>Layer</w:t>
            </w:r>
          </w:p>
        </w:tc>
        <w:tc>
          <w:tcPr>
            <w:tcW w:type="dxa" w:w="7910"/>
            <w:tcMar>
              <w:top w:w="80" w:type="dxa"/>
              <w:start w:w="120" w:type="dxa"/>
              <w:bottom w:w="80" w:type="dxa"/>
              <w:end w:w="120" w:type="dxa"/>
            </w:tcMar>
            <w:vAlign w:val="center"/>
            <w:shd w:fill="F2F4F7"/>
          </w:tcPr>
          <w:p>
            <w:pPr>
              <w:spacing w:after="0"/>
            </w:pPr>
            <w:r>
              <w:rPr>
                <w:rFonts w:ascii="Calibri" w:hAnsi="Calibri"/>
                <w:b/>
                <w:color w:val="12263A"/>
                <w:sz w:val="16"/>
              </w:rPr>
              <w:t>Control</w:t>
            </w:r>
          </w:p>
        </w:tc>
      </w:tr>
      <w:tr>
        <w:tc>
          <w:tcPr>
            <w:tcW w:type="dxa" w:w="1450"/>
            <w:tcMar>
              <w:top w:w="80" w:type="dxa"/>
              <w:start w:w="120" w:type="dxa"/>
              <w:bottom w:w="80" w:type="dxa"/>
              <w:end w:w="120" w:type="dxa"/>
            </w:tcMar>
          </w:tcPr>
          <w:p>
            <w:pPr>
              <w:spacing w:after="0"/>
            </w:pPr>
            <w:r>
              <w:rPr>
                <w:rFonts w:ascii="Calibri" w:hAnsi="Calibri"/>
                <w:color w:val="24303F"/>
                <w:sz w:val="16"/>
              </w:rPr>
              <w:t>Data</w:t>
            </w:r>
          </w:p>
        </w:tc>
        <w:tc>
          <w:tcPr>
            <w:tcW w:type="dxa" w:w="7910"/>
            <w:tcMar>
              <w:top w:w="80" w:type="dxa"/>
              <w:start w:w="120" w:type="dxa"/>
              <w:bottom w:w="80" w:type="dxa"/>
              <w:end w:w="120" w:type="dxa"/>
            </w:tcMar>
          </w:tcPr>
          <w:p>
            <w:pPr>
              <w:spacing w:after="0"/>
            </w:pPr>
            <w:r>
              <w:rPr>
                <w:rFonts w:ascii="Calibri" w:hAnsi="Calibri"/>
                <w:color w:val="24303F"/>
                <w:sz w:val="16"/>
              </w:rPr>
              <w:t>Official hosted ZIP loaded only through src/data_access.py; raw files excluded.</w:t>
            </w:r>
          </w:p>
        </w:tc>
      </w:tr>
      <w:tr>
        <w:tc>
          <w:tcPr>
            <w:tcW w:type="dxa" w:w="1450"/>
            <w:tcMar>
              <w:top w:w="80" w:type="dxa"/>
              <w:start w:w="120" w:type="dxa"/>
              <w:bottom w:w="80" w:type="dxa"/>
              <w:end w:w="120" w:type="dxa"/>
            </w:tcMar>
            <w:shd w:fill="FAFBFC"/>
          </w:tcPr>
          <w:p>
            <w:pPr>
              <w:spacing w:after="0"/>
            </w:pPr>
            <w:r>
              <w:rPr>
                <w:rFonts w:ascii="Calibri" w:hAnsi="Calibri"/>
                <w:color w:val="24303F"/>
                <w:sz w:val="16"/>
              </w:rPr>
              <w:t>Build</w:t>
            </w:r>
          </w:p>
        </w:tc>
        <w:tc>
          <w:tcPr>
            <w:tcW w:type="dxa" w:w="7910"/>
            <w:tcMar>
              <w:top w:w="80" w:type="dxa"/>
              <w:start w:w="120" w:type="dxa"/>
              <w:bottom w:w="80" w:type="dxa"/>
              <w:end w:w="120" w:type="dxa"/>
            </w:tcMar>
            <w:shd w:fill="FAFBFC"/>
          </w:tcPr>
          <w:p>
            <w:pPr>
              <w:spacing w:after="0"/>
            </w:pPr>
            <w:r>
              <w:rPr>
                <w:rFonts w:ascii="Calibri" w:hAnsi="Calibri"/>
                <w:color w:val="24303F"/>
                <w:sz w:val="16"/>
              </w:rPr>
              <w:t>scripts/run_part_b.py recreates cleaned panels, all funds, sentiment, fusion, tables, and figures.</w:t>
            </w:r>
          </w:p>
        </w:tc>
      </w:tr>
      <w:tr>
        <w:tc>
          <w:tcPr>
            <w:tcW w:type="dxa" w:w="1450"/>
            <w:tcMar>
              <w:top w:w="80" w:type="dxa"/>
              <w:start w:w="120" w:type="dxa"/>
              <w:bottom w:w="80" w:type="dxa"/>
              <w:end w:w="120" w:type="dxa"/>
            </w:tcMar>
          </w:tcPr>
          <w:p>
            <w:pPr>
              <w:spacing w:after="0"/>
            </w:pPr>
            <w:r>
              <w:rPr>
                <w:rFonts w:ascii="Calibri" w:hAnsi="Calibri"/>
                <w:color w:val="24303F"/>
                <w:sz w:val="16"/>
              </w:rPr>
              <w:t>Deploy</w:t>
            </w:r>
          </w:p>
        </w:tc>
        <w:tc>
          <w:tcPr>
            <w:tcW w:type="dxa" w:w="7910"/>
            <w:tcMar>
              <w:top w:w="80" w:type="dxa"/>
              <w:start w:w="120" w:type="dxa"/>
              <w:bottom w:w="80" w:type="dxa"/>
              <w:end w:w="120" w:type="dxa"/>
            </w:tcMar>
          </w:tcPr>
          <w:p>
            <w:pPr>
              <w:spacing w:after="0"/>
            </w:pPr>
            <w:r>
              <w:rPr>
                <w:rFonts w:ascii="Calibri" w:hAnsi="Calibri"/>
                <w:color w:val="24303F"/>
                <w:sz w:val="16"/>
              </w:rPr>
              <w:t>streamlit_app.py loads only committed results CSVs; no runtime data download, NLP, or optimisation.</w:t>
            </w:r>
          </w:p>
        </w:tc>
      </w:tr>
      <w:tr>
        <w:tc>
          <w:tcPr>
            <w:tcW w:type="dxa" w:w="1450"/>
            <w:tcMar>
              <w:top w:w="80" w:type="dxa"/>
              <w:start w:w="120" w:type="dxa"/>
              <w:bottom w:w="80" w:type="dxa"/>
              <w:end w:w="120" w:type="dxa"/>
            </w:tcMar>
            <w:shd w:fill="FAFBFC"/>
          </w:tcPr>
          <w:p>
            <w:pPr>
              <w:spacing w:after="0"/>
            </w:pPr>
            <w:r>
              <w:rPr>
                <w:rFonts w:ascii="Calibri" w:hAnsi="Calibri"/>
                <w:color w:val="24303F"/>
                <w:sz w:val="16"/>
              </w:rPr>
              <w:t>Tests</w:t>
            </w:r>
          </w:p>
        </w:tc>
        <w:tc>
          <w:tcPr>
            <w:tcW w:type="dxa" w:w="7910"/>
            <w:tcMar>
              <w:top w:w="80" w:type="dxa"/>
              <w:start w:w="120" w:type="dxa"/>
              <w:bottom w:w="80" w:type="dxa"/>
              <w:end w:w="120" w:type="dxa"/>
            </w:tcMar>
            <w:shd w:fill="FAFBFC"/>
          </w:tcPr>
          <w:p>
            <w:pPr>
              <w:spacing w:after="0"/>
            </w:pPr>
            <w:r>
              <w:rPr>
                <w:rFonts w:ascii="Calibri" w:hAnsi="Calibri"/>
                <w:color w:val="24303F"/>
                <w:sz w:val="16"/>
              </w:rPr>
              <w:t>pytest checks future-data invariance, required artifacts, weight sums, non-negativity, and known metrics; Streamlit AppTest reports zero exceptions.</w:t>
            </w:r>
          </w:p>
        </w:tc>
      </w:tr>
      <w:tr>
        <w:tc>
          <w:tcPr>
            <w:tcW w:type="dxa" w:w="1450"/>
            <w:tcMar>
              <w:top w:w="80" w:type="dxa"/>
              <w:start w:w="120" w:type="dxa"/>
              <w:bottom w:w="80" w:type="dxa"/>
              <w:end w:w="120" w:type="dxa"/>
            </w:tcMar>
          </w:tcPr>
          <w:p>
            <w:pPr>
              <w:spacing w:after="0"/>
            </w:pPr>
            <w:r>
              <w:rPr>
                <w:rFonts w:ascii="Calibri" w:hAnsi="Calibri"/>
                <w:color w:val="24303F"/>
                <w:sz w:val="16"/>
              </w:rPr>
              <w:t>AI audit</w:t>
            </w:r>
          </w:p>
        </w:tc>
        <w:tc>
          <w:tcPr>
            <w:tcW w:type="dxa" w:w="7910"/>
            <w:tcMar>
              <w:top w:w="80" w:type="dxa"/>
              <w:start w:w="120" w:type="dxa"/>
              <w:bottom w:w="80" w:type="dxa"/>
              <w:end w:w="120" w:type="dxa"/>
            </w:tcMar>
          </w:tcPr>
          <w:p>
            <w:pPr>
              <w:spacing w:after="0"/>
            </w:pPr>
            <w:r>
              <w:rPr>
                <w:rFonts w:ascii="Calibri" w:hAnsi="Calibri"/>
                <w:color w:val="24303F"/>
                <w:sz w:val="16"/>
              </w:rPr>
              <w:t>AGENTS.md and ai/ record the constraints, prompts, risks, rejected selection, chart corrections, and student responsibilities.</w:t>
            </w:r>
          </w:p>
        </w:tc>
      </w:tr>
    </w:tbl>
    <w:p>
      <w:pPr>
        <w:pStyle w:val="Caption"/>
      </w:pPr>
      <w:r>
        <w:t>Exhibit G1. Reproduction and hand-in controls.</w:t>
      </w:r>
    </w:p>
    <w:p>
      <w:pPr>
        <w:pStyle w:val="Source"/>
      </w:pPr>
      <w:r>
        <w:t>Source: project repository; see README.md and docs/FINAL_HANDOFF.md.</w:t>
      </w:r>
    </w:p>
    <w:p>
      <w:pPr>
        <w:pStyle w:val="Heading2"/>
      </w:pPr>
      <w:r>
        <w:t>Limitations</w:t>
      </w:r>
    </w:p>
    <w:p>
      <w:r>
        <w:rPr>
          <w:rFonts w:ascii="Calibri" w:hAnsi="Calibri"/>
          <w:i w:val="0"/>
          <w:color w:val="24303F"/>
          <w:sz w:val="20"/>
        </w:rPr>
        <w:t>The 2021–2023 live sample is short and regime-specific. Headline titles omit article context, lexical sentiment can misread sarcasm or entity scope, and the news panel covers equities rather than crypto. Optimiser estimates remain noisy. Cost assumptions are scenarios rather than broker-specific estimates; taxes, slippage, market impact and asset-management operations are outside scope.</w:t>
      </w:r>
    </w:p>
    <w:p>
      <w:pPr>
        <w:pStyle w:val="Heading2"/>
      </w:pPr>
      <w:r>
        <w:t>References</w:t>
      </w:r>
    </w:p>
    <w:p>
      <w:pPr>
        <w:spacing w:after="60"/>
      </w:pPr>
      <w:r>
        <w:rPr>
          <w:rFonts w:ascii="Calibri" w:hAnsi="Calibri"/>
          <w:i w:val="0"/>
          <w:color w:val="24303F"/>
          <w:sz w:val="16"/>
        </w:rPr>
        <w:t>Consoli, S., Barbaglia, L., &amp; Manzan, S. (2022). Fine-grained, aspect-based sentiment analysis on economic and financial lexicon. Knowledge-Based Systems, 247, 108781.</w:t>
      </w:r>
    </w:p>
    <w:p>
      <w:pPr>
        <w:spacing w:after="60"/>
      </w:pPr>
      <w:r>
        <w:rPr>
          <w:rFonts w:ascii="Calibri" w:hAnsi="Calibri"/>
          <w:i w:val="0"/>
          <w:color w:val="24303F"/>
          <w:sz w:val="16"/>
        </w:rPr>
        <w:t>DeMiguel, V., Garlappi, L., &amp; Uppal, R. (2009). Optimal versus naive diversification: How inefficient is the 1/N portfolio strategy? Review of Financial Studies, 22(5), 1915–1953.</w:t>
      </w:r>
    </w:p>
    <w:p>
      <w:pPr>
        <w:spacing w:after="60"/>
      </w:pPr>
      <w:r>
        <w:rPr>
          <w:rFonts w:ascii="Calibri" w:hAnsi="Calibri"/>
          <w:i w:val="0"/>
          <w:color w:val="24303F"/>
          <w:sz w:val="16"/>
        </w:rPr>
        <w:t>Henry, E. (2008). Are investors influenced by how earnings press releases are written? Journal of Business Communication, 45(4), 363–407.</w:t>
      </w:r>
    </w:p>
    <w:p>
      <w:pPr>
        <w:spacing w:after="60"/>
      </w:pPr>
      <w:r>
        <w:rPr>
          <w:rFonts w:ascii="Calibri" w:hAnsi="Calibri"/>
          <w:i w:val="0"/>
          <w:color w:val="24303F"/>
          <w:sz w:val="16"/>
        </w:rPr>
        <w:t>Hutto, C. J., &amp; Gilbert, E. (2014). VADER: A parsimonious rule-based model for sentiment analysis of social media text. ICWSM, 8(1), 216–225.</w:t>
      </w:r>
    </w:p>
    <w:p>
      <w:pPr>
        <w:spacing w:after="60"/>
      </w:pPr>
      <w:r>
        <w:rPr>
          <w:rFonts w:ascii="Calibri" w:hAnsi="Calibri"/>
          <w:i w:val="0"/>
          <w:color w:val="24303F"/>
          <w:sz w:val="16"/>
        </w:rPr>
        <w:t>Koráb, P. (2023). FinVADER: VADER sentiment classifier updated with financial lexicons. Python package.</w:t>
      </w:r>
    </w:p>
    <w:p>
      <w:pPr>
        <w:spacing w:after="60"/>
      </w:pPr>
      <w:r>
        <w:rPr>
          <w:rFonts w:ascii="Calibri" w:hAnsi="Calibri"/>
          <w:i w:val="0"/>
          <w:color w:val="24303F"/>
          <w:sz w:val="16"/>
        </w:rPr>
        <w:t>Maillard, S., Roncalli, T., &amp; Teiletche, J. (2010). The properties of equally weighted risk contribution portfolios. Journal of Portfolio Management, 36(4), 60–70.</w:t>
      </w:r>
    </w:p>
    <w:p>
      <w:pPr>
        <w:spacing w:after="60"/>
      </w:pPr>
      <w:r>
        <w:rPr>
          <w:rFonts w:ascii="Calibri" w:hAnsi="Calibri"/>
          <w:i w:val="0"/>
          <w:color w:val="24303F"/>
          <w:sz w:val="16"/>
        </w:rPr>
        <w:t>Markowitz, H. (1952). Portfolio selection. Journal of Finance, 7(1), 77–91.</w:t>
      </w:r>
    </w:p>
    <w:p>
      <w:pPr>
        <w:spacing w:after="60"/>
      </w:pPr>
      <w:r>
        <w:rPr>
          <w:rFonts w:ascii="Calibri" w:hAnsi="Calibri"/>
          <w:i w:val="0"/>
          <w:color w:val="24303F"/>
          <w:sz w:val="16"/>
        </w:rPr>
        <w:t>Sharpe, W. F. (1966). Mutual fund performance. Journal of Business, 39(1), 119–138.</w:t>
      </w:r>
    </w:p>
    <w:p>
      <w:pPr>
        <w:spacing w:after="60"/>
      </w:pPr>
      <w:r>
        <w:rPr>
          <w:rFonts w:ascii="Calibri" w:hAnsi="Calibri"/>
          <w:i w:val="0"/>
          <w:color w:val="24303F"/>
          <w:sz w:val="16"/>
        </w:rPr>
        <w:t>UNSW FINS5545 (2026). Week 9: From Text to a Fear and Greed Index; Week 10: Revision and Project B guidance; Project B brief and official course data.</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z5646230  •  Evidence to 31 Dec 2023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MARKETLENS  |  FINS5545 PROJECT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0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26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26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40"/>
    </w:pPr>
    <w:rPr>
      <w:rFonts w:ascii="Calibri" w:hAnsi="Calibri"/>
      <w:b/>
      <w:bCs/>
      <w:color w:val="12263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before="80" w:after="80"/>
    </w:pPr>
    <w:rPr>
      <w:rFonts w:ascii="Calibri" w:hAnsi="Calibr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