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Calibri" w:hAnsi="Calibri"/>
          <w:i w:val="0"/>
          <w:color w:val="24303F"/>
          <w:sz w:val="22"/>
        </w:rPr>
      </w:r>
    </w:p>
    <w:p>
      <w:pPr>
        <w:spacing w:after="200"/>
      </w:pPr>
      <w:r>
        <w:rPr>
          <w:rFonts w:ascii="Calibri" w:hAnsi="Calibri"/>
          <w:i w:val="0"/>
          <w:color w:val="24303F"/>
          <w:sz w:val="22"/>
        </w:rPr>
      </w:r>
    </w:p>
    <w:p>
      <w:pPr>
        <w:spacing w:after="200"/>
      </w:pPr>
      <w:r>
        <w:rPr>
          <w:rFonts w:ascii="Calibri" w:hAnsi="Calibri"/>
          <w:i w:val="0"/>
          <w:color w:val="24303F"/>
          <w:sz w:val="22"/>
        </w:rPr>
      </w:r>
    </w:p>
    <w:p>
      <w:pPr>
        <w:spacing w:after="200"/>
      </w:pPr>
      <w:r>
        <w:rPr>
          <w:rFonts w:ascii="Calibri" w:hAnsi="Calibri"/>
          <w:i w:val="0"/>
          <w:color w:val="24303F"/>
          <w:sz w:val="22"/>
        </w:rPr>
      </w:r>
    </w:p>
    <w:p>
      <w:pPr>
        <w:spacing w:after="320"/>
        <w:jc w:val="center"/>
      </w:pPr>
      <w:r>
        <w:rPr>
          <w:rFonts w:ascii="Calibri" w:hAnsi="Calibri"/>
          <w:b/>
          <w:i w:val="0"/>
          <w:color w:val="2A9D8F"/>
          <w:sz w:val="20"/>
        </w:rPr>
        <w:t>EVIDENCE REPORT  |  STATIONS 3–4</w:t>
      </w:r>
    </w:p>
    <w:p>
      <w:pPr>
        <w:spacing w:after="40"/>
        <w:jc w:val="center"/>
      </w:pPr>
      <w:r>
        <w:rPr>
          <w:rFonts w:ascii="Calibri" w:hAnsi="Calibri"/>
          <w:b/>
          <w:i w:val="0"/>
          <w:color w:val="12263A"/>
          <w:sz w:val="60"/>
        </w:rPr>
        <w:t>MarketLens</w:t>
      </w:r>
    </w:p>
    <w:p>
      <w:pPr>
        <w:spacing w:after="240"/>
        <w:jc w:val="center"/>
      </w:pPr>
      <w:r>
        <w:rPr>
          <w:rFonts w:ascii="Calibri" w:hAnsi="Calibri"/>
          <w:i w:val="0"/>
          <w:color w:val="2A9D8F"/>
          <w:sz w:val="30"/>
        </w:rPr>
        <w:t>Walk-forward funds, finance-aware sentiment, and a governed fusion experiment</w:t>
      </w:r>
    </w:p>
    <w:p>
      <w:pPr>
        <w:spacing w:after="680"/>
        <w:jc w:val="center"/>
      </w:pPr>
      <w:r>
        <w:rPr>
          <w:rFonts w:ascii="Calibri" w:hAnsi="Calibri"/>
          <w:i w:val="0"/>
          <w:color w:val="667085"/>
          <w:sz w:val="22"/>
        </w:rPr>
        <w:t>FINS5545 Assignment 3 / Project B</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12</w:t>
            </w:r>
          </w:p>
          <w:p>
            <w:pPr>
              <w:spacing w:after="0"/>
              <w:jc w:val="center"/>
            </w:pPr>
            <w:r>
              <w:rPr>
                <w:rFonts w:ascii="Calibri" w:hAnsi="Calibri"/>
                <w:b/>
                <w:color w:val="667085"/>
                <w:sz w:val="16"/>
              </w:rPr>
              <w:t>OOS FUNDS</w:t>
            </w:r>
          </w:p>
        </w:tc>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36</w:t>
            </w:r>
          </w:p>
          <w:p>
            <w:pPr>
              <w:spacing w:after="0"/>
              <w:jc w:val="center"/>
            </w:pPr>
            <w:r>
              <w:rPr>
                <w:rFonts w:ascii="Calibri" w:hAnsi="Calibri"/>
                <w:b/>
                <w:color w:val="667085"/>
                <w:sz w:val="16"/>
              </w:rPr>
              <w:t>MONTHLY DECISIONS</w:t>
            </w:r>
          </w:p>
        </w:tc>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146,836</w:t>
            </w:r>
          </w:p>
          <w:p>
            <w:pPr>
              <w:spacing w:after="0"/>
              <w:jc w:val="center"/>
            </w:pPr>
            <w:r>
              <w:rPr>
                <w:rFonts w:ascii="Calibri" w:hAnsi="Calibri"/>
                <w:b/>
                <w:color w:val="667085"/>
                <w:sz w:val="16"/>
              </w:rPr>
              <w:t>HEADLINES</w:t>
            </w:r>
          </w:p>
        </w:tc>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2021–23</w:t>
            </w:r>
          </w:p>
          <w:p>
            <w:pPr>
              <w:spacing w:after="0"/>
              <w:jc w:val="center"/>
            </w:pPr>
            <w:r>
              <w:rPr>
                <w:rFonts w:ascii="Calibri" w:hAnsi="Calibri"/>
                <w:b/>
                <w:color w:val="667085"/>
                <w:sz w:val="16"/>
              </w:rPr>
              <w:t>LIVE SAMPLE</w:t>
            </w:r>
          </w:p>
        </w:tc>
      </w:tr>
    </w:tbl>
    <w:p>
      <w:pPr>
        <w:spacing w:after="40"/>
      </w:pPr>
      <w:r>
        <w:rPr>
          <w:rFonts w:ascii="Calibri" w:hAnsi="Calibri"/>
          <w:i w:val="0"/>
          <w:color w:val="24303F"/>
          <w:sz w:val="22"/>
        </w:rPr>
      </w:r>
    </w:p>
    <w:p>
      <w:pPr>
        <w:spacing w:after="60"/>
        <w:jc w:val="center"/>
      </w:pPr>
      <w:r>
        <w:rPr>
          <w:rFonts w:ascii="Calibri" w:hAnsi="Calibri"/>
          <w:i w:val="0"/>
          <w:color w:val="12263A"/>
          <w:sz w:val="22"/>
        </w:rPr>
        <w:t>Prepared by z5646230</w:t>
      </w:r>
    </w:p>
    <w:p>
      <w:pPr>
        <w:spacing w:after="560"/>
        <w:jc w:val="center"/>
      </w:pPr>
      <w:r>
        <w:rPr>
          <w:rFonts w:ascii="Calibri" w:hAnsi="Calibri"/>
          <w:i w:val="0"/>
          <w:color w:val="667085"/>
          <w:sz w:val="19"/>
        </w:rPr>
        <w:t>Course data through 31 December 2023  •  Prepared August 2026</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Report stance</w:t>
            </w:r>
          </w:p>
          <w:p>
            <w:pPr>
              <w:spacing w:after="0"/>
            </w:pPr>
            <w:r>
              <w:rPr>
                <w:rFonts w:ascii="Calibri" w:hAnsi="Calibri"/>
                <w:color w:val="24303F"/>
                <w:sz w:val="20"/>
              </w:rPr>
              <w:t>Historical evidence is reported after a 10 bps one-way cost unless stated. The sentiment candidate is not promoted as alpha because its discovery-window selection is zero and its small holdout benefit is cost-fragile.</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01</w:t>
      </w:r>
    </w:p>
    <w:p>
      <w:pPr>
        <w:pStyle w:val="Heading1"/>
        <w:spacing w:before="0"/>
      </w:pPr>
      <w:r>
        <w:t>Executive evidence</w:t>
      </w:r>
    </w:p>
    <w:p>
      <w:pPr>
        <w:spacing w:after="160"/>
      </w:pPr>
      <w:r>
        <w:t>MarketLens is intended for investors who want to compare risk and return in a clear and understandable way.</w:t>
      </w:r>
    </w:p>
    <w:p>
      <w:r>
        <w:t>MarketLens uses the cleaned Project A price and news data to construct equity, crypto, and combined research portfolios. Four portfolio rules are applied to each universe. All reported returns use weights estimated from information available before the relevant investment period. In the app, users can compare the twelve funds, review an individual fact sheet, examine news sentiment, and test an illustrative allocation after fees.</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12.6%</w:t>
            </w:r>
          </w:p>
          <w:p>
            <w:pPr>
              <w:spacing w:after="0"/>
              <w:jc w:val="center"/>
            </w:pPr>
            <w:r>
              <w:rPr>
                <w:rFonts w:ascii="Calibri" w:hAnsi="Calibri"/>
                <w:b/>
                <w:color w:val="667085"/>
                <w:sz w:val="16"/>
              </w:rPr>
              <w:t>EQUITY EW RETURN</w:t>
            </w:r>
          </w:p>
        </w:tc>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0.82</w:t>
            </w:r>
          </w:p>
          <w:p>
            <w:pPr>
              <w:spacing w:after="0"/>
              <w:jc w:val="center"/>
            </w:pPr>
            <w:r>
              <w:rPr>
                <w:rFonts w:ascii="Calibri" w:hAnsi="Calibri"/>
                <w:b/>
                <w:color w:val="667085"/>
                <w:sz w:val="16"/>
              </w:rPr>
              <w:t>EQUITY EW SHARPE</w:t>
            </w:r>
          </w:p>
        </w:tc>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-22.4%</w:t>
            </w:r>
          </w:p>
          <w:p>
            <w:pPr>
              <w:spacing w:after="0"/>
              <w:jc w:val="center"/>
            </w:pPr>
            <w:r>
              <w:rPr>
                <w:rFonts w:ascii="Calibri" w:hAnsi="Calibri"/>
                <w:b/>
                <w:color w:val="667085"/>
                <w:sz w:val="16"/>
              </w:rPr>
              <w:t>COMBINED RP MDD</w:t>
            </w:r>
          </w:p>
        </w:tc>
        <w:tc>
          <w:tcPr>
            <w:tcW w:type="dxa" w:w="2340"/>
            <w:tcMar>
              <w:top w:w="80" w:type="dxa"/>
              <w:start w:w="120" w:type="dxa"/>
              <w:bottom w:w="80" w:type="dxa"/>
              <w:end w:w="120" w:type="dxa"/>
            </w:tcMar>
            <w:vAlign w:val="center"/>
            <w:shd w:fill="EAF3F1"/>
          </w:tcPr>
          <w:p>
            <w:pPr>
              <w:spacing w:after="20"/>
              <w:jc w:val="center"/>
            </w:pPr>
            <w:r>
              <w:rPr>
                <w:rFonts w:ascii="Calibri" w:hAnsi="Calibri"/>
                <w:b/>
                <w:color w:val="12263A"/>
                <w:sz w:val="32"/>
              </w:rPr>
              <w:t>0.95</w:t>
            </w:r>
          </w:p>
          <w:p>
            <w:pPr>
              <w:spacing w:after="0"/>
              <w:jc w:val="center"/>
            </w:pPr>
            <w:r>
              <w:rPr>
                <w:rFonts w:ascii="Calibri" w:hAnsi="Calibri"/>
                <w:b/>
                <w:color w:val="667085"/>
                <w:sz w:val="16"/>
              </w:rPr>
              <w:t>CRYPTO MV SHARPE</w:t>
            </w:r>
          </w:p>
        </w:tc>
      </w:tr>
    </w:tbl>
    <w:p>
      <w:pPr>
        <w:spacing w:after="40"/>
      </w:pPr>
      <w:r>
        <w:rPr>
          <w:rFonts w:ascii="Calibri" w:hAnsi="Calibri"/>
          <w:i w:val="0"/>
          <w:color w:val="24303F"/>
          <w:sz w:val="22"/>
        </w:rPr>
      </w:r>
    </w:p>
    <w:p>
      <w:pPr>
        <w:pStyle w:val="Heading2"/>
      </w:pPr>
      <w:r>
        <w:t>What the evidence says</w:t>
      </w:r>
    </w:p>
    <w:p>
      <w:r>
        <w:t>Among the equity funds, Equal-Weight has the highest net Sharpe ratio (0.82), with a 12.6% annualised return and 16.1% volatility. This also provides a useful check on estimated-return optimisation: Maximum-Sharpe trades more frequently but does not outperform the simpler rule.</w:t>
      </w:r>
    </w:p>
    <w:p>
      <w:r>
        <w:t>Crypto Minimum-Variance records the highest annualised return and Sharpe ratio in this sample. However, its 74.3% volatility and -72.2% maximum drawdown indicate that it is better viewed as a high-risk satellite allocation than as a general default.</w:t>
      </w:r>
    </w:p>
    <w:p>
      <w:r>
        <w:t>Combined Risk Parity has a more moderate mixed-asset profile: a 12.7% annualised return, 17.4% volatility, a 0.77 Sharpe ratio, and a -22.4% maximum drawdown. Combined Equal-Weight earns more, but at the cost of higher volatility and a larger drawdown.</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1EC"/>
            <w:tcBorders>
              <w:start w:val="single" w:sz="18" w:color="E76F51"/>
            </w:tcBorders>
          </w:tcPr>
          <w:p>
            <w:pPr>
              <w:spacing w:after="40"/>
            </w:pPr>
            <w:r>
              <w:rPr>
                <w:rFonts w:ascii="Calibri" w:hAnsi="Calibri"/>
                <w:b/>
                <w:color w:val="12263A"/>
                <w:sz w:val="21"/>
              </w:rPr>
              <w:t>Innovation conclusion</w:t>
            </w:r>
          </w:p>
          <w:p>
            <w:pPr>
              <w:spacing w:after="0"/>
            </w:pPr>
            <w:r>
              <w:rPr>
                <w:rFonts w:ascii="Calibri" w:hAnsi="Calibri"/>
                <w:color w:val="24303F"/>
                <w:sz w:val="20"/>
              </w:rPr>
              <w:t>The pre-set +0.25 sentiment tilt raises 2023 net Sharpe from 0.51 to 0.52 at 10 bps, but 2021–2022 discovery selects λ=+0.00. The small 2023 advantage disappears near 25 bps. Sentiment remains research analytics pending stronger evidence.</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02</w:t>
      </w:r>
    </w:p>
    <w:p>
      <w:pPr>
        <w:pStyle w:val="Heading1"/>
        <w:spacing w:before="0"/>
      </w:pPr>
      <w:r>
        <w:t>Backtest and fund architecture</w:t>
      </w:r>
    </w:p>
    <w:p>
      <w:pPr>
        <w:spacing w:after="160"/>
      </w:pPr>
      <w:r>
        <w:t>Following the Week 10 framework, the backtest uses expanding estimates, monthly walk-forward decisions, and the appropriate calendar for each asset class.</w:t>
      </w:r>
    </w:p>
    <w:p>
      <w:pPr>
        <w:pStyle w:val="Heading2"/>
      </w:pPr>
      <w:r>
        <w:t>Past-only decision rule</w:t>
      </w:r>
    </w:p>
    <w:p>
      <w:r>
        <w:t>Calendar year 2020 forms the initial estimation window. From 2021, each portfolio is rebalanced on the first observed date of the month. At every decision date, weights are estimated only from earlier observations and are then held until the next rebalance, with holdings allowed to drift between decisions. Initial turnover is set to 100%. Thereafter, turnover is half the L1 distance between drifted pre-trade holdings and the new target weights. One-way trading costs equal turnover multiplied by the assumed cost rate.</w:t>
      </w:r>
    </w:p>
    <w:tbl>
      <w:tblPr>
        <w:tblStyle w:val="TableGrid"/>
        <w:tblW w:type="dxa" w:w="9360"/>
        <w:jc w:val="left"/>
        <w:tblLayout w:type="fixed"/>
        <w:tblLook w:firstColumn="1" w:firstRow="1" w:lastColumn="0" w:lastRow="0" w:noHBand="0" w:noVBand="1" w:val="04A0"/>
        <w:tblInd w:w="120" w:type="dxa"/>
      </w:tblPr>
      <w:tblGrid>
        <w:gridCol w:w="1250"/>
        <w:gridCol w:w="760"/>
        <w:gridCol w:w="2380"/>
        <w:gridCol w:w="1000"/>
        <w:gridCol w:w="2150"/>
        <w:gridCol w:w="1820"/>
      </w:tblGrid>
      <w:tr>
        <w:trPr>
          <w:tblHeader w:val="true"/>
        </w:trPr>
        <w:tc>
          <w:tcPr>
            <w:tcW w:type="dxa" w:w="1250"/>
            <w:tcMar>
              <w:top w:w="80" w:type="dxa"/>
              <w:start w:w="120" w:type="dxa"/>
              <w:bottom w:w="80" w:type="dxa"/>
              <w:end w:w="120" w:type="dxa"/>
            </w:tcMar>
            <w:vAlign w:val="center"/>
            <w:shd w:fill="F2F4F7"/>
          </w:tcPr>
          <w:p>
            <w:pPr>
              <w:spacing w:after="0"/>
            </w:pPr>
            <w:r>
              <w:rPr>
                <w:rFonts w:ascii="Calibri" w:hAnsi="Calibri"/>
                <w:b/>
                <w:color w:val="12263A"/>
                <w:sz w:val="16"/>
              </w:rPr>
              <w:t>Family</w:t>
            </w:r>
          </w:p>
        </w:tc>
        <w:tc>
          <w:tcPr>
            <w:tcW w:type="dxa" w:w="760"/>
            <w:tcMar>
              <w:top w:w="80" w:type="dxa"/>
              <w:start w:w="120" w:type="dxa"/>
              <w:bottom w:w="80" w:type="dxa"/>
              <w:end w:w="120" w:type="dxa"/>
            </w:tcMar>
            <w:vAlign w:val="center"/>
            <w:shd w:fill="F2F4F7"/>
          </w:tcPr>
          <w:p>
            <w:pPr>
              <w:spacing w:after="0"/>
            </w:pPr>
            <w:r>
              <w:rPr>
                <w:rFonts w:ascii="Calibri" w:hAnsi="Calibri"/>
                <w:b/>
                <w:color w:val="12263A"/>
                <w:sz w:val="16"/>
              </w:rPr>
              <w:t>Assets</w:t>
            </w:r>
          </w:p>
        </w:tc>
        <w:tc>
          <w:tcPr>
            <w:tcW w:type="dxa" w:w="2380"/>
            <w:tcMar>
              <w:top w:w="80" w:type="dxa"/>
              <w:start w:w="120" w:type="dxa"/>
              <w:bottom w:w="80" w:type="dxa"/>
              <w:end w:w="120" w:type="dxa"/>
            </w:tcMar>
            <w:vAlign w:val="center"/>
            <w:shd w:fill="F2F4F7"/>
          </w:tcPr>
          <w:p>
            <w:pPr>
              <w:spacing w:after="0"/>
            </w:pPr>
            <w:r>
              <w:rPr>
                <w:rFonts w:ascii="Calibri" w:hAnsi="Calibri"/>
                <w:b/>
                <w:color w:val="12263A"/>
                <w:sz w:val="16"/>
              </w:rPr>
              <w:t>Calendar</w:t>
            </w:r>
          </w:p>
        </w:tc>
        <w:tc>
          <w:tcPr>
            <w:tcW w:type="dxa" w:w="1000"/>
            <w:tcMar>
              <w:top w:w="80" w:type="dxa"/>
              <w:start w:w="120" w:type="dxa"/>
              <w:bottom w:w="80" w:type="dxa"/>
              <w:end w:w="120" w:type="dxa"/>
            </w:tcMar>
            <w:vAlign w:val="center"/>
            <w:shd w:fill="F2F4F7"/>
          </w:tcPr>
          <w:p>
            <w:pPr>
              <w:spacing w:after="0"/>
            </w:pPr>
            <w:r>
              <w:rPr>
                <w:rFonts w:ascii="Calibri" w:hAnsi="Calibri"/>
                <w:b/>
                <w:color w:val="12263A"/>
                <w:sz w:val="16"/>
              </w:rPr>
              <w:t>Annualise</w:t>
            </w:r>
          </w:p>
        </w:tc>
        <w:tc>
          <w:tcPr>
            <w:tcW w:type="dxa" w:w="2150"/>
            <w:tcMar>
              <w:top w:w="80" w:type="dxa"/>
              <w:start w:w="120" w:type="dxa"/>
              <w:bottom w:w="80" w:type="dxa"/>
              <w:end w:w="120" w:type="dxa"/>
            </w:tcMar>
            <w:vAlign w:val="center"/>
            <w:shd w:fill="F2F4F7"/>
          </w:tcPr>
          <w:p>
            <w:pPr>
              <w:spacing w:after="0"/>
            </w:pPr>
            <w:r>
              <w:rPr>
                <w:rFonts w:ascii="Calibri" w:hAnsi="Calibri"/>
                <w:b/>
                <w:color w:val="12263A"/>
                <w:sz w:val="16"/>
              </w:rPr>
              <w:t>First live</w:t>
            </w:r>
          </w:p>
        </w:tc>
        <w:tc>
          <w:tcPr>
            <w:tcW w:type="dxa" w:w="1820"/>
            <w:tcMar>
              <w:top w:w="80" w:type="dxa"/>
              <w:start w:w="120" w:type="dxa"/>
              <w:bottom w:w="80" w:type="dxa"/>
              <w:end w:w="120" w:type="dxa"/>
            </w:tcMar>
            <w:vAlign w:val="center"/>
            <w:shd w:fill="F2F4F7"/>
          </w:tcPr>
          <w:p>
            <w:pPr>
              <w:spacing w:after="0"/>
            </w:pPr>
            <w:r>
              <w:rPr>
                <w:rFonts w:ascii="Calibri" w:hAnsi="Calibri"/>
                <w:b/>
                <w:color w:val="12263A"/>
                <w:sz w:val="16"/>
              </w:rPr>
              <w:t>Cap</w:t>
            </w:r>
          </w:p>
        </w:tc>
      </w:tr>
      <w:tr>
        <w:tc>
          <w:tcPr>
            <w:tcW w:type="dxa" w:w="1250"/>
            <w:tcMar>
              <w:top w:w="80" w:type="dxa"/>
              <w:start w:w="120" w:type="dxa"/>
              <w:bottom w:w="80" w:type="dxa"/>
              <w:end w:w="120" w:type="dxa"/>
            </w:tcMar>
          </w:tcPr>
          <w:p>
            <w:pPr>
              <w:spacing w:after="0"/>
            </w:pPr>
            <w:r>
              <w:rPr>
                <w:rFonts w:ascii="Calibri" w:hAnsi="Calibri"/>
                <w:color w:val="24303F"/>
                <w:sz w:val="16"/>
              </w:rPr>
              <w:t>Equity</w:t>
            </w:r>
          </w:p>
        </w:tc>
        <w:tc>
          <w:tcPr>
            <w:tcW w:type="dxa" w:w="760"/>
            <w:tcMar>
              <w:top w:w="80" w:type="dxa"/>
              <w:start w:w="120" w:type="dxa"/>
              <w:bottom w:w="80" w:type="dxa"/>
              <w:end w:w="120" w:type="dxa"/>
            </w:tcMar>
          </w:tcPr>
          <w:p>
            <w:pPr>
              <w:spacing w:after="0"/>
            </w:pPr>
            <w:r>
              <w:rPr>
                <w:rFonts w:ascii="Calibri" w:hAnsi="Calibri"/>
                <w:color w:val="24303F"/>
                <w:sz w:val="16"/>
              </w:rPr>
              <w:t>50</w:t>
            </w:r>
          </w:p>
        </w:tc>
        <w:tc>
          <w:tcPr>
            <w:tcW w:type="dxa" w:w="2380"/>
            <w:tcMar>
              <w:top w:w="80" w:type="dxa"/>
              <w:start w:w="120" w:type="dxa"/>
              <w:bottom w:w="80" w:type="dxa"/>
              <w:end w:w="120" w:type="dxa"/>
            </w:tcMar>
          </w:tcPr>
          <w:p>
            <w:pPr>
              <w:spacing w:after="0"/>
            </w:pPr>
            <w:r>
              <w:rPr>
                <w:rFonts w:ascii="Calibri" w:hAnsi="Calibri"/>
                <w:color w:val="24303F"/>
                <w:sz w:val="16"/>
              </w:rPr>
              <w:t>Equity trading days</w:t>
            </w:r>
          </w:p>
        </w:tc>
        <w:tc>
          <w:tcPr>
            <w:tcW w:type="dxa" w:w="1000"/>
            <w:tcMar>
              <w:top w:w="80" w:type="dxa"/>
              <w:start w:w="120" w:type="dxa"/>
              <w:bottom w:w="80" w:type="dxa"/>
              <w:end w:w="120" w:type="dxa"/>
            </w:tcMar>
          </w:tcPr>
          <w:p>
            <w:pPr>
              <w:spacing w:after="0"/>
            </w:pPr>
            <w:r>
              <w:rPr>
                <w:rFonts w:ascii="Calibri" w:hAnsi="Calibri"/>
                <w:color w:val="24303F"/>
                <w:sz w:val="16"/>
              </w:rPr>
              <w:t>252</w:t>
            </w:r>
          </w:p>
        </w:tc>
        <w:tc>
          <w:tcPr>
            <w:tcW w:type="dxa" w:w="2150"/>
            <w:tcMar>
              <w:top w:w="80" w:type="dxa"/>
              <w:start w:w="120" w:type="dxa"/>
              <w:bottom w:w="80" w:type="dxa"/>
              <w:end w:w="120" w:type="dxa"/>
            </w:tcMar>
          </w:tcPr>
          <w:p>
            <w:pPr>
              <w:spacing w:after="0"/>
            </w:pPr>
            <w:r>
              <w:rPr>
                <w:rFonts w:ascii="Calibri" w:hAnsi="Calibri"/>
                <w:color w:val="24303F"/>
                <w:sz w:val="16"/>
              </w:rPr>
              <w:t>2021-01-04</w:t>
            </w:r>
          </w:p>
        </w:tc>
        <w:tc>
          <w:tcPr>
            <w:tcW w:type="dxa" w:w="1820"/>
            <w:tcMar>
              <w:top w:w="80" w:type="dxa"/>
              <w:start w:w="120" w:type="dxa"/>
              <w:bottom w:w="80" w:type="dxa"/>
              <w:end w:w="120" w:type="dxa"/>
            </w:tcMar>
          </w:tcPr>
          <w:p>
            <w:pPr>
              <w:spacing w:after="0"/>
            </w:pPr>
            <w:r>
              <w:rPr>
                <w:rFonts w:ascii="Calibri" w:hAnsi="Calibri"/>
                <w:color w:val="24303F"/>
                <w:sz w:val="16"/>
              </w:rPr>
              <w:t>20.0%</w:t>
            </w:r>
          </w:p>
        </w:tc>
      </w:tr>
      <w:tr>
        <w:tc>
          <w:tcPr>
            <w:tcW w:type="dxa" w:w="1250"/>
            <w:tcMar>
              <w:top w:w="80" w:type="dxa"/>
              <w:start w:w="120" w:type="dxa"/>
              <w:bottom w:w="80" w:type="dxa"/>
              <w:end w:w="120" w:type="dxa"/>
            </w:tcMar>
            <w:shd w:fill="FAFBFC"/>
          </w:tcPr>
          <w:p>
            <w:pPr>
              <w:spacing w:after="0"/>
            </w:pPr>
            <w:r>
              <w:rPr>
                <w:rFonts w:ascii="Calibri" w:hAnsi="Calibri"/>
                <w:color w:val="24303F"/>
                <w:sz w:val="16"/>
              </w:rPr>
              <w:t>Crypto</w:t>
            </w:r>
          </w:p>
        </w:tc>
        <w:tc>
          <w:tcPr>
            <w:tcW w:type="dxa" w:w="760"/>
            <w:tcMar>
              <w:top w:w="80" w:type="dxa"/>
              <w:start w:w="120" w:type="dxa"/>
              <w:bottom w:w="80" w:type="dxa"/>
              <w:end w:w="120" w:type="dxa"/>
            </w:tcMar>
            <w:shd w:fill="FAFBFC"/>
          </w:tcPr>
          <w:p>
            <w:pPr>
              <w:spacing w:after="0"/>
            </w:pPr>
            <w:r>
              <w:rPr>
                <w:rFonts w:ascii="Calibri" w:hAnsi="Calibri"/>
                <w:color w:val="24303F"/>
                <w:sz w:val="16"/>
              </w:rPr>
              <w:t>10</w:t>
            </w:r>
          </w:p>
        </w:tc>
        <w:tc>
          <w:tcPr>
            <w:tcW w:type="dxa" w:w="2380"/>
            <w:tcMar>
              <w:top w:w="80" w:type="dxa"/>
              <w:start w:w="120" w:type="dxa"/>
              <w:bottom w:w="80" w:type="dxa"/>
              <w:end w:w="120" w:type="dxa"/>
            </w:tcMar>
            <w:shd w:fill="FAFBFC"/>
          </w:tcPr>
          <w:p>
            <w:pPr>
              <w:spacing w:after="0"/>
            </w:pPr>
            <w:r>
              <w:rPr>
                <w:rFonts w:ascii="Calibri" w:hAnsi="Calibri"/>
                <w:color w:val="24303F"/>
                <w:sz w:val="16"/>
              </w:rPr>
              <w:t>Calendar days</w:t>
            </w:r>
          </w:p>
        </w:tc>
        <w:tc>
          <w:tcPr>
            <w:tcW w:type="dxa" w:w="1000"/>
            <w:tcMar>
              <w:top w:w="80" w:type="dxa"/>
              <w:start w:w="120" w:type="dxa"/>
              <w:bottom w:w="80" w:type="dxa"/>
              <w:end w:w="120" w:type="dxa"/>
            </w:tcMar>
            <w:shd w:fill="FAFBFC"/>
          </w:tcPr>
          <w:p>
            <w:pPr>
              <w:spacing w:after="0"/>
            </w:pPr>
            <w:r>
              <w:rPr>
                <w:rFonts w:ascii="Calibri" w:hAnsi="Calibri"/>
                <w:color w:val="24303F"/>
                <w:sz w:val="16"/>
              </w:rPr>
              <w:t>365</w:t>
            </w:r>
          </w:p>
        </w:tc>
        <w:tc>
          <w:tcPr>
            <w:tcW w:type="dxa" w:w="2150"/>
            <w:tcMar>
              <w:top w:w="80" w:type="dxa"/>
              <w:start w:w="120" w:type="dxa"/>
              <w:bottom w:w="80" w:type="dxa"/>
              <w:end w:w="120" w:type="dxa"/>
            </w:tcMar>
            <w:shd w:fill="FAFBFC"/>
          </w:tcPr>
          <w:p>
            <w:pPr>
              <w:spacing w:after="0"/>
            </w:pPr>
            <w:r>
              <w:rPr>
                <w:rFonts w:ascii="Calibri" w:hAnsi="Calibri"/>
                <w:color w:val="24303F"/>
                <w:sz w:val="16"/>
              </w:rPr>
              <w:t>2021-01-01</w:t>
            </w:r>
          </w:p>
        </w:tc>
        <w:tc>
          <w:tcPr>
            <w:tcW w:type="dxa" w:w="1820"/>
            <w:tcMar>
              <w:top w:w="80" w:type="dxa"/>
              <w:start w:w="120" w:type="dxa"/>
              <w:bottom w:w="80" w:type="dxa"/>
              <w:end w:w="120" w:type="dxa"/>
            </w:tcMar>
            <w:shd w:fill="FAFBFC"/>
          </w:tcPr>
          <w:p>
            <w:pPr>
              <w:spacing w:after="0"/>
            </w:pPr>
            <w:r>
              <w:rPr>
                <w:rFonts w:ascii="Calibri" w:hAnsi="Calibri"/>
                <w:color w:val="24303F"/>
                <w:sz w:val="16"/>
              </w:rPr>
              <w:t>25.0%</w:t>
            </w:r>
          </w:p>
        </w:tc>
      </w:tr>
      <w:tr>
        <w:tc>
          <w:tcPr>
            <w:tcW w:type="dxa" w:w="1250"/>
            <w:tcMar>
              <w:top w:w="80" w:type="dxa"/>
              <w:start w:w="120" w:type="dxa"/>
              <w:bottom w:w="80" w:type="dxa"/>
              <w:end w:w="120" w:type="dxa"/>
            </w:tcMar>
          </w:tcPr>
          <w:p>
            <w:pPr>
              <w:spacing w:after="0"/>
            </w:pPr>
            <w:r>
              <w:rPr>
                <w:rFonts w:ascii="Calibri" w:hAnsi="Calibri"/>
                <w:color w:val="24303F"/>
                <w:sz w:val="16"/>
              </w:rPr>
              <w:t>Combined</w:t>
            </w:r>
          </w:p>
        </w:tc>
        <w:tc>
          <w:tcPr>
            <w:tcW w:type="dxa" w:w="760"/>
            <w:tcMar>
              <w:top w:w="80" w:type="dxa"/>
              <w:start w:w="120" w:type="dxa"/>
              <w:bottom w:w="80" w:type="dxa"/>
              <w:end w:w="120" w:type="dxa"/>
            </w:tcMar>
          </w:tcPr>
          <w:p>
            <w:pPr>
              <w:spacing w:after="0"/>
            </w:pPr>
            <w:r>
              <w:rPr>
                <w:rFonts w:ascii="Calibri" w:hAnsi="Calibri"/>
                <w:color w:val="24303F"/>
                <w:sz w:val="16"/>
              </w:rPr>
              <w:t>60</w:t>
            </w:r>
          </w:p>
        </w:tc>
        <w:tc>
          <w:tcPr>
            <w:tcW w:type="dxa" w:w="2380"/>
            <w:tcMar>
              <w:top w:w="80" w:type="dxa"/>
              <w:start w:w="120" w:type="dxa"/>
              <w:bottom w:w="80" w:type="dxa"/>
              <w:end w:w="120" w:type="dxa"/>
            </w:tcMar>
          </w:tcPr>
          <w:p>
            <w:pPr>
              <w:spacing w:after="0"/>
            </w:pPr>
            <w:r>
              <w:rPr>
                <w:rFonts w:ascii="Calibri" w:hAnsi="Calibri"/>
                <w:color w:val="24303F"/>
                <w:sz w:val="16"/>
              </w:rPr>
              <w:t>Equity trading days</w:t>
            </w:r>
          </w:p>
        </w:tc>
        <w:tc>
          <w:tcPr>
            <w:tcW w:type="dxa" w:w="1000"/>
            <w:tcMar>
              <w:top w:w="80" w:type="dxa"/>
              <w:start w:w="120" w:type="dxa"/>
              <w:bottom w:w="80" w:type="dxa"/>
              <w:end w:w="120" w:type="dxa"/>
            </w:tcMar>
          </w:tcPr>
          <w:p>
            <w:pPr>
              <w:spacing w:after="0"/>
            </w:pPr>
            <w:r>
              <w:rPr>
                <w:rFonts w:ascii="Calibri" w:hAnsi="Calibri"/>
                <w:color w:val="24303F"/>
                <w:sz w:val="16"/>
              </w:rPr>
              <w:t>252</w:t>
            </w:r>
          </w:p>
        </w:tc>
        <w:tc>
          <w:tcPr>
            <w:tcW w:type="dxa" w:w="2150"/>
            <w:tcMar>
              <w:top w:w="80" w:type="dxa"/>
              <w:start w:w="120" w:type="dxa"/>
              <w:bottom w:w="80" w:type="dxa"/>
              <w:end w:w="120" w:type="dxa"/>
            </w:tcMar>
          </w:tcPr>
          <w:p>
            <w:pPr>
              <w:spacing w:after="0"/>
            </w:pPr>
            <w:r>
              <w:rPr>
                <w:rFonts w:ascii="Calibri" w:hAnsi="Calibri"/>
                <w:color w:val="24303F"/>
                <w:sz w:val="16"/>
              </w:rPr>
              <w:t>2021-01-04</w:t>
            </w:r>
          </w:p>
        </w:tc>
        <w:tc>
          <w:tcPr>
            <w:tcW w:type="dxa" w:w="1820"/>
            <w:tcMar>
              <w:top w:w="80" w:type="dxa"/>
              <w:start w:w="120" w:type="dxa"/>
              <w:bottom w:w="80" w:type="dxa"/>
              <w:end w:w="120" w:type="dxa"/>
            </w:tcMar>
          </w:tcPr>
          <w:p>
            <w:pPr>
              <w:spacing w:after="0"/>
            </w:pPr>
            <w:r>
              <w:rPr>
                <w:rFonts w:ascii="Calibri" w:hAnsi="Calibri"/>
                <w:color w:val="24303F"/>
                <w:sz w:val="16"/>
              </w:rPr>
              <w:t>20.0%</w:t>
            </w:r>
          </w:p>
        </w:tc>
      </w:tr>
    </w:tbl>
    <w:p>
      <w:pPr>
        <w:pStyle w:val="Caption"/>
      </w:pPr>
      <w:r>
        <w:t>Table 1. Walk-forward contract by asset family.</w:t>
      </w:r>
    </w:p>
    <w:p>
      <w:pPr>
        <w:pStyle w:val="Source"/>
      </w:pPr>
      <w:r>
        <w:t>Source: results/tables/backtest_design.csv; student calculations.</w:t>
      </w:r>
    </w:p>
    <w:p>
      <w:pPr>
        <w:pStyle w:val="Heading2"/>
      </w:pPr>
      <w:r>
        <w:t>Four methods, one controlled comparison</w:t>
      </w:r>
    </w:p>
    <w:p>
      <w:r>
        <w:t>Equal-Weight allocates 1/N to each asset and estimates no moments. Minimum-Variance uses the expanding covariance matrix to minimise portfolio risk. Maximum-Sharpe also uses expanding mean returns and is therefore more exposed to estimation error. Risk Parity seeks to equalise volatility contributions. All portfolios are long-only and fully invested. Individual weights are capped at 20% in the equity and combined universes and 25% in crypto.</w:t>
      </w:r>
    </w:p>
    <w:p>
      <w:pPr>
        <w:pStyle w:val="Heading2"/>
      </w:pPr>
      <w:r>
        <w:t>Calendar and annualisation choices</w:t>
      </w:r>
    </w:p>
    <w:p>
      <w:r>
        <w:t>Simple returns for equities and crypto are calculated separately on their native calendars. For the combined universe, crypto returns are then sampled on the equity calendar. This avoids creating an artificial one-day return from a weekend price gap after merging price levels. Equity and combined portfolios use 252 annual periods, while crypto uses 365. Sharpe ratios assume a zero risk-free rate, consistent with the course examples.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Automated audit</w:t>
            </w:r>
          </w:p>
          <w:p>
            <w:pPr>
              <w:spacing w:after="0"/>
            </w:pPr>
            <w:r>
              <w:rPr>
                <w:rFonts w:ascii="Calibri" w:hAnsi="Calibri"/>
                <w:color w:val="24303F"/>
                <w:sz w:val="20"/>
              </w:rPr>
              <w:t>A synthetic test replaces all future returns after a cutoff and verifies that earlier monthly weights are unchanged. Generated target weights also pass sum-to-one, non-negativity, and cap checks.</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03</w:t>
      </w:r>
    </w:p>
    <w:p>
      <w:pPr>
        <w:pStyle w:val="Heading1"/>
        <w:spacing w:before="0"/>
      </w:pPr>
      <w:r>
        <w:t>Fund evidence and customer choice</w:t>
      </w:r>
    </w:p>
    <w:p>
      <w:pPr>
        <w:spacing w:after="160"/>
      </w:pPr>
      <w:r>
        <w:t>There is no single best fund on every measure. The preferred choice depends on how much the user values growth, protection from large losses, and simplicity.</w:t>
      </w:r>
    </w:p>
    <w:tbl>
      <w:tblPr>
        <w:tblStyle w:val="TableGrid"/>
        <w:tblW w:type="dxa" w:w="9360"/>
        <w:jc w:val="left"/>
        <w:tblLayout w:type="fixed"/>
        <w:tblLook w:firstColumn="1" w:firstRow="1" w:lastColumn="0" w:lastRow="0" w:noHBand="0" w:noVBand="1" w:val="04A0"/>
        <w:tblInd w:w="120" w:type="dxa"/>
      </w:tblPr>
      <w:tblGrid>
        <w:gridCol w:w="2900"/>
        <w:gridCol w:w="1100"/>
        <w:gridCol w:w="1000"/>
        <w:gridCol w:w="1050"/>
        <w:gridCol w:w="1150"/>
        <w:gridCol w:w="2160"/>
      </w:tblGrid>
      <w:tr>
        <w:trPr>
          <w:tblHeader w:val="true"/>
        </w:trPr>
        <w:tc>
          <w:tcPr>
            <w:tcW w:type="dxa" w:w="2900"/>
            <w:tcMar>
              <w:top w:w="80" w:type="dxa"/>
              <w:start w:w="120" w:type="dxa"/>
              <w:bottom w:w="80" w:type="dxa"/>
              <w:end w:w="120" w:type="dxa"/>
            </w:tcMar>
            <w:vAlign w:val="center"/>
            <w:shd w:fill="F2F4F7"/>
          </w:tcPr>
          <w:p>
            <w:pPr>
              <w:spacing w:after="0"/>
            </w:pPr>
            <w:r>
              <w:rPr>
                <w:rFonts w:ascii="Calibri" w:hAnsi="Calibri"/>
                <w:b/>
                <w:color w:val="12263A"/>
                <w:sz w:val="16"/>
              </w:rPr>
              <w:t>Fund</w:t>
            </w:r>
          </w:p>
        </w:tc>
        <w:tc>
          <w:tcPr>
            <w:tcW w:type="dxa" w:w="1100"/>
            <w:tcMar>
              <w:top w:w="80" w:type="dxa"/>
              <w:start w:w="120" w:type="dxa"/>
              <w:bottom w:w="80" w:type="dxa"/>
              <w:end w:w="120" w:type="dxa"/>
            </w:tcMar>
            <w:vAlign w:val="center"/>
            <w:shd w:fill="F2F4F7"/>
          </w:tcPr>
          <w:p>
            <w:pPr>
              <w:spacing w:after="0"/>
            </w:pPr>
            <w:r>
              <w:rPr>
                <w:rFonts w:ascii="Calibri" w:hAnsi="Calibri"/>
                <w:b/>
                <w:color w:val="12263A"/>
                <w:sz w:val="16"/>
              </w:rPr>
              <w:t>Return</w:t>
            </w:r>
          </w:p>
        </w:tc>
        <w:tc>
          <w:tcPr>
            <w:tcW w:type="dxa" w:w="1000"/>
            <w:tcMar>
              <w:top w:w="80" w:type="dxa"/>
              <w:start w:w="120" w:type="dxa"/>
              <w:bottom w:w="80" w:type="dxa"/>
              <w:end w:w="120" w:type="dxa"/>
            </w:tcMar>
            <w:vAlign w:val="center"/>
            <w:shd w:fill="F2F4F7"/>
          </w:tcPr>
          <w:p>
            <w:pPr>
              <w:spacing w:after="0"/>
            </w:pPr>
            <w:r>
              <w:rPr>
                <w:rFonts w:ascii="Calibri" w:hAnsi="Calibri"/>
                <w:b/>
                <w:color w:val="12263A"/>
                <w:sz w:val="16"/>
              </w:rPr>
              <w:t>Vol.</w:t>
            </w:r>
          </w:p>
        </w:tc>
        <w:tc>
          <w:tcPr>
            <w:tcW w:type="dxa" w:w="1050"/>
            <w:tcMar>
              <w:top w:w="80" w:type="dxa"/>
              <w:start w:w="120" w:type="dxa"/>
              <w:bottom w:w="80" w:type="dxa"/>
              <w:end w:w="120" w:type="dxa"/>
            </w:tcMar>
            <w:vAlign w:val="center"/>
            <w:shd w:fill="F2F4F7"/>
          </w:tcPr>
          <w:p>
            <w:pPr>
              <w:spacing w:after="0"/>
            </w:pPr>
            <w:r>
              <w:rPr>
                <w:rFonts w:ascii="Calibri" w:hAnsi="Calibri"/>
                <w:b/>
                <w:color w:val="12263A"/>
                <w:sz w:val="16"/>
              </w:rPr>
              <w:t>Sharpe</w:t>
            </w:r>
          </w:p>
        </w:tc>
        <w:tc>
          <w:tcPr>
            <w:tcW w:type="dxa" w:w="1150"/>
            <w:tcMar>
              <w:top w:w="80" w:type="dxa"/>
              <w:start w:w="120" w:type="dxa"/>
              <w:bottom w:w="80" w:type="dxa"/>
              <w:end w:w="120" w:type="dxa"/>
            </w:tcMar>
            <w:vAlign w:val="center"/>
            <w:shd w:fill="F2F4F7"/>
          </w:tcPr>
          <w:p>
            <w:pPr>
              <w:spacing w:after="0"/>
            </w:pPr>
            <w:r>
              <w:rPr>
                <w:rFonts w:ascii="Calibri" w:hAnsi="Calibri"/>
                <w:b/>
                <w:color w:val="12263A"/>
                <w:sz w:val="16"/>
              </w:rPr>
              <w:t>MDD</w:t>
            </w:r>
          </w:p>
        </w:tc>
        <w:tc>
          <w:tcPr>
            <w:tcW w:type="dxa" w:w="2160"/>
            <w:tcMar>
              <w:top w:w="80" w:type="dxa"/>
              <w:start w:w="120" w:type="dxa"/>
              <w:bottom w:w="80" w:type="dxa"/>
              <w:end w:w="120" w:type="dxa"/>
            </w:tcMar>
            <w:vAlign w:val="center"/>
            <w:shd w:fill="F2F4F7"/>
          </w:tcPr>
          <w:p>
            <w:pPr>
              <w:spacing w:after="0"/>
            </w:pPr>
            <w:r>
              <w:rPr>
                <w:rFonts w:ascii="Calibri" w:hAnsi="Calibri"/>
                <w:b/>
                <w:color w:val="12263A"/>
                <w:sz w:val="16"/>
              </w:rPr>
              <w:t>Turnover/yr</w:t>
            </w:r>
          </w:p>
        </w:tc>
      </w:tr>
      <w:tr>
        <w:tc>
          <w:tcPr>
            <w:tcW w:type="dxa" w:w="2900"/>
            <w:tcMar>
              <w:top w:w="80" w:type="dxa"/>
              <w:start w:w="120" w:type="dxa"/>
              <w:bottom w:w="80" w:type="dxa"/>
              <w:end w:w="120" w:type="dxa"/>
            </w:tcMar>
          </w:tcPr>
          <w:p>
            <w:pPr>
              <w:spacing w:after="0"/>
            </w:pPr>
            <w:r>
              <w:rPr>
                <w:rFonts w:ascii="Calibri" w:hAnsi="Calibri"/>
                <w:color w:val="24303F"/>
                <w:sz w:val="16"/>
              </w:rPr>
              <w:t>Equity Equal-Weight</w:t>
            </w:r>
          </w:p>
        </w:tc>
        <w:tc>
          <w:tcPr>
            <w:tcW w:type="dxa" w:w="1100"/>
            <w:tcMar>
              <w:top w:w="80" w:type="dxa"/>
              <w:start w:w="120" w:type="dxa"/>
              <w:bottom w:w="80" w:type="dxa"/>
              <w:end w:w="120" w:type="dxa"/>
            </w:tcMar>
          </w:tcPr>
          <w:p>
            <w:pPr>
              <w:spacing w:after="0"/>
            </w:pPr>
            <w:r>
              <w:rPr>
                <w:rFonts w:ascii="Calibri" w:hAnsi="Calibri"/>
                <w:color w:val="24303F"/>
                <w:sz w:val="16"/>
              </w:rPr>
              <w:t>12.6%</w:t>
            </w:r>
          </w:p>
        </w:tc>
        <w:tc>
          <w:tcPr>
            <w:tcW w:type="dxa" w:w="1000"/>
            <w:tcMar>
              <w:top w:w="80" w:type="dxa"/>
              <w:start w:w="120" w:type="dxa"/>
              <w:bottom w:w="80" w:type="dxa"/>
              <w:end w:w="120" w:type="dxa"/>
            </w:tcMar>
          </w:tcPr>
          <w:p>
            <w:pPr>
              <w:spacing w:after="0"/>
            </w:pPr>
            <w:r>
              <w:rPr>
                <w:rFonts w:ascii="Calibri" w:hAnsi="Calibri"/>
                <w:color w:val="24303F"/>
                <w:sz w:val="16"/>
              </w:rPr>
              <w:t>16.1%</w:t>
            </w:r>
          </w:p>
        </w:tc>
        <w:tc>
          <w:tcPr>
            <w:tcW w:type="dxa" w:w="1050"/>
            <w:tcMar>
              <w:top w:w="80" w:type="dxa"/>
              <w:start w:w="120" w:type="dxa"/>
              <w:bottom w:w="80" w:type="dxa"/>
              <w:end w:w="120" w:type="dxa"/>
            </w:tcMar>
          </w:tcPr>
          <w:p>
            <w:pPr>
              <w:spacing w:after="0"/>
            </w:pPr>
            <w:r>
              <w:rPr>
                <w:rFonts w:ascii="Calibri" w:hAnsi="Calibri"/>
                <w:color w:val="24303F"/>
                <w:sz w:val="16"/>
              </w:rPr>
              <w:t>0.82</w:t>
            </w:r>
          </w:p>
        </w:tc>
        <w:tc>
          <w:tcPr>
            <w:tcW w:type="dxa" w:w="1150"/>
            <w:tcMar>
              <w:top w:w="80" w:type="dxa"/>
              <w:start w:w="120" w:type="dxa"/>
              <w:bottom w:w="80" w:type="dxa"/>
              <w:end w:w="120" w:type="dxa"/>
            </w:tcMar>
          </w:tcPr>
          <w:p>
            <w:pPr>
              <w:spacing w:after="0"/>
            </w:pPr>
            <w:r>
              <w:rPr>
                <w:rFonts w:ascii="Calibri" w:hAnsi="Calibri"/>
                <w:color w:val="24303F"/>
                <w:sz w:val="16"/>
              </w:rPr>
              <w:t>-20.3%</w:t>
            </w:r>
          </w:p>
        </w:tc>
        <w:tc>
          <w:tcPr>
            <w:tcW w:type="dxa" w:w="2160"/>
            <w:tcMar>
              <w:top w:w="80" w:type="dxa"/>
              <w:start w:w="120" w:type="dxa"/>
              <w:bottom w:w="80" w:type="dxa"/>
              <w:end w:w="120" w:type="dxa"/>
            </w:tcMar>
          </w:tcPr>
          <w:p>
            <w:pPr>
              <w:spacing w:after="0"/>
            </w:pPr>
            <w:r>
              <w:rPr>
                <w:rFonts w:ascii="Calibri" w:hAnsi="Calibri"/>
                <w:color w:val="24303F"/>
                <w:sz w:val="16"/>
              </w:rPr>
              <w:t>0.65x</w:t>
            </w:r>
          </w:p>
        </w:tc>
      </w:tr>
      <w:tr>
        <w:tc>
          <w:tcPr>
            <w:tcW w:type="dxa" w:w="2900"/>
            <w:tcMar>
              <w:top w:w="80" w:type="dxa"/>
              <w:start w:w="120" w:type="dxa"/>
              <w:bottom w:w="80" w:type="dxa"/>
              <w:end w:w="120" w:type="dxa"/>
            </w:tcMar>
            <w:shd w:fill="FAFBFC"/>
          </w:tcPr>
          <w:p>
            <w:pPr>
              <w:spacing w:after="0"/>
            </w:pPr>
            <w:r>
              <w:rPr>
                <w:rFonts w:ascii="Calibri" w:hAnsi="Calibri"/>
                <w:color w:val="24303F"/>
                <w:sz w:val="16"/>
              </w:rPr>
              <w:t>Combined Risk Parity</w:t>
            </w:r>
          </w:p>
        </w:tc>
        <w:tc>
          <w:tcPr>
            <w:tcW w:type="dxa" w:w="1100"/>
            <w:tcMar>
              <w:top w:w="80" w:type="dxa"/>
              <w:start w:w="120" w:type="dxa"/>
              <w:bottom w:w="80" w:type="dxa"/>
              <w:end w:w="120" w:type="dxa"/>
            </w:tcMar>
            <w:shd w:fill="FAFBFC"/>
          </w:tcPr>
          <w:p>
            <w:pPr>
              <w:spacing w:after="0"/>
            </w:pPr>
            <w:r>
              <w:rPr>
                <w:rFonts w:ascii="Calibri" w:hAnsi="Calibri"/>
                <w:color w:val="24303F"/>
                <w:sz w:val="16"/>
              </w:rPr>
              <w:t>12.7%</w:t>
            </w:r>
          </w:p>
        </w:tc>
        <w:tc>
          <w:tcPr>
            <w:tcW w:type="dxa" w:w="1000"/>
            <w:tcMar>
              <w:top w:w="80" w:type="dxa"/>
              <w:start w:w="120" w:type="dxa"/>
              <w:bottom w:w="80" w:type="dxa"/>
              <w:end w:w="120" w:type="dxa"/>
            </w:tcMar>
            <w:shd w:fill="FAFBFC"/>
          </w:tcPr>
          <w:p>
            <w:pPr>
              <w:spacing w:after="0"/>
            </w:pPr>
            <w:r>
              <w:rPr>
                <w:rFonts w:ascii="Calibri" w:hAnsi="Calibri"/>
                <w:color w:val="24303F"/>
                <w:sz w:val="16"/>
              </w:rPr>
              <w:t>17.4%</w:t>
            </w:r>
          </w:p>
        </w:tc>
        <w:tc>
          <w:tcPr>
            <w:tcW w:type="dxa" w:w="1050"/>
            <w:tcMar>
              <w:top w:w="80" w:type="dxa"/>
              <w:start w:w="120" w:type="dxa"/>
              <w:bottom w:w="80" w:type="dxa"/>
              <w:end w:w="120" w:type="dxa"/>
            </w:tcMar>
            <w:shd w:fill="FAFBFC"/>
          </w:tcPr>
          <w:p>
            <w:pPr>
              <w:spacing w:after="0"/>
            </w:pPr>
            <w:r>
              <w:rPr>
                <w:rFonts w:ascii="Calibri" w:hAnsi="Calibri"/>
                <w:color w:val="24303F"/>
                <w:sz w:val="16"/>
              </w:rPr>
              <w:t>0.77</w:t>
            </w:r>
          </w:p>
        </w:tc>
        <w:tc>
          <w:tcPr>
            <w:tcW w:type="dxa" w:w="1150"/>
            <w:tcMar>
              <w:top w:w="80" w:type="dxa"/>
              <w:start w:w="120" w:type="dxa"/>
              <w:bottom w:w="80" w:type="dxa"/>
              <w:end w:w="120" w:type="dxa"/>
            </w:tcMar>
            <w:shd w:fill="FAFBFC"/>
          </w:tcPr>
          <w:p>
            <w:pPr>
              <w:spacing w:after="0"/>
            </w:pPr>
            <w:r>
              <w:rPr>
                <w:rFonts w:ascii="Calibri" w:hAnsi="Calibri"/>
                <w:color w:val="24303F"/>
                <w:sz w:val="16"/>
              </w:rPr>
              <w:t>-22.4%</w:t>
            </w:r>
          </w:p>
        </w:tc>
        <w:tc>
          <w:tcPr>
            <w:tcW w:type="dxa" w:w="2160"/>
            <w:tcMar>
              <w:top w:w="80" w:type="dxa"/>
              <w:start w:w="120" w:type="dxa"/>
              <w:bottom w:w="80" w:type="dxa"/>
              <w:end w:w="120" w:type="dxa"/>
            </w:tcMar>
            <w:shd w:fill="FAFBFC"/>
          </w:tcPr>
          <w:p>
            <w:pPr>
              <w:spacing w:after="0"/>
            </w:pPr>
            <w:r>
              <w:rPr>
                <w:rFonts w:ascii="Calibri" w:hAnsi="Calibri"/>
                <w:color w:val="24303F"/>
                <w:sz w:val="16"/>
              </w:rPr>
              <w:t>0.71x</w:t>
            </w:r>
          </w:p>
        </w:tc>
      </w:tr>
      <w:tr>
        <w:tc>
          <w:tcPr>
            <w:tcW w:type="dxa" w:w="2900"/>
            <w:tcMar>
              <w:top w:w="80" w:type="dxa"/>
              <w:start w:w="120" w:type="dxa"/>
              <w:bottom w:w="80" w:type="dxa"/>
              <w:end w:w="120" w:type="dxa"/>
            </w:tcMar>
          </w:tcPr>
          <w:p>
            <w:pPr>
              <w:spacing w:after="0"/>
            </w:pPr>
            <w:r>
              <w:rPr>
                <w:rFonts w:ascii="Calibri" w:hAnsi="Calibri"/>
                <w:color w:val="24303F"/>
                <w:sz w:val="16"/>
              </w:rPr>
              <w:t>Crypto Minimum-Variance</w:t>
            </w:r>
          </w:p>
        </w:tc>
        <w:tc>
          <w:tcPr>
            <w:tcW w:type="dxa" w:w="1100"/>
            <w:tcMar>
              <w:top w:w="80" w:type="dxa"/>
              <w:start w:w="120" w:type="dxa"/>
              <w:bottom w:w="80" w:type="dxa"/>
              <w:end w:w="120" w:type="dxa"/>
            </w:tcMar>
          </w:tcPr>
          <w:p>
            <w:pPr>
              <w:spacing w:after="0"/>
            </w:pPr>
            <w:r>
              <w:rPr>
                <w:rFonts w:ascii="Calibri" w:hAnsi="Calibri"/>
                <w:color w:val="24303F"/>
                <w:sz w:val="16"/>
              </w:rPr>
              <w:t>53.6%</w:t>
            </w:r>
          </w:p>
        </w:tc>
        <w:tc>
          <w:tcPr>
            <w:tcW w:type="dxa" w:w="1000"/>
            <w:tcMar>
              <w:top w:w="80" w:type="dxa"/>
              <w:start w:w="120" w:type="dxa"/>
              <w:bottom w:w="80" w:type="dxa"/>
              <w:end w:w="120" w:type="dxa"/>
            </w:tcMar>
          </w:tcPr>
          <w:p>
            <w:pPr>
              <w:spacing w:after="0"/>
            </w:pPr>
            <w:r>
              <w:rPr>
                <w:rFonts w:ascii="Calibri" w:hAnsi="Calibri"/>
                <w:color w:val="24303F"/>
                <w:sz w:val="16"/>
              </w:rPr>
              <w:t>74.3%</w:t>
            </w:r>
          </w:p>
        </w:tc>
        <w:tc>
          <w:tcPr>
            <w:tcW w:type="dxa" w:w="1050"/>
            <w:tcMar>
              <w:top w:w="80" w:type="dxa"/>
              <w:start w:w="120" w:type="dxa"/>
              <w:bottom w:w="80" w:type="dxa"/>
              <w:end w:w="120" w:type="dxa"/>
            </w:tcMar>
          </w:tcPr>
          <w:p>
            <w:pPr>
              <w:spacing w:after="0"/>
            </w:pPr>
            <w:r>
              <w:rPr>
                <w:rFonts w:ascii="Calibri" w:hAnsi="Calibri"/>
                <w:color w:val="24303F"/>
                <w:sz w:val="16"/>
              </w:rPr>
              <w:t>0.95</w:t>
            </w:r>
          </w:p>
        </w:tc>
        <w:tc>
          <w:tcPr>
            <w:tcW w:type="dxa" w:w="1150"/>
            <w:tcMar>
              <w:top w:w="80" w:type="dxa"/>
              <w:start w:w="120" w:type="dxa"/>
              <w:bottom w:w="80" w:type="dxa"/>
              <w:end w:w="120" w:type="dxa"/>
            </w:tcMar>
          </w:tcPr>
          <w:p>
            <w:pPr>
              <w:spacing w:after="0"/>
            </w:pPr>
            <w:r>
              <w:rPr>
                <w:rFonts w:ascii="Calibri" w:hAnsi="Calibri"/>
                <w:color w:val="24303F"/>
                <w:sz w:val="16"/>
              </w:rPr>
              <w:t>-72.2%</w:t>
            </w:r>
          </w:p>
        </w:tc>
        <w:tc>
          <w:tcPr>
            <w:tcW w:type="dxa" w:w="2160"/>
            <w:tcMar>
              <w:top w:w="80" w:type="dxa"/>
              <w:start w:w="120" w:type="dxa"/>
              <w:bottom w:w="80" w:type="dxa"/>
              <w:end w:w="120" w:type="dxa"/>
            </w:tcMar>
          </w:tcPr>
          <w:p>
            <w:pPr>
              <w:spacing w:after="0"/>
            </w:pPr>
            <w:r>
              <w:rPr>
                <w:rFonts w:ascii="Calibri" w:hAnsi="Calibri"/>
                <w:color w:val="24303F"/>
                <w:sz w:val="16"/>
              </w:rPr>
              <w:t>1.13x</w:t>
            </w:r>
          </w:p>
        </w:tc>
      </w:tr>
      <w:tr>
        <w:tc>
          <w:tcPr>
            <w:tcW w:type="dxa" w:w="2900"/>
            <w:tcMar>
              <w:top w:w="80" w:type="dxa"/>
              <w:start w:w="120" w:type="dxa"/>
              <w:bottom w:w="80" w:type="dxa"/>
              <w:end w:w="120" w:type="dxa"/>
            </w:tcMar>
            <w:shd w:fill="FAFBFC"/>
          </w:tcPr>
          <w:p>
            <w:pPr>
              <w:spacing w:after="0"/>
            </w:pPr>
            <w:r>
              <w:rPr>
                <w:rFonts w:ascii="Calibri" w:hAnsi="Calibri"/>
                <w:color w:val="24303F"/>
                <w:sz w:val="16"/>
              </w:rPr>
              <w:t>Combined Maximum-Sharpe</w:t>
            </w:r>
          </w:p>
        </w:tc>
        <w:tc>
          <w:tcPr>
            <w:tcW w:type="dxa" w:w="1100"/>
            <w:tcMar>
              <w:top w:w="80" w:type="dxa"/>
              <w:start w:w="120" w:type="dxa"/>
              <w:bottom w:w="80" w:type="dxa"/>
              <w:end w:w="120" w:type="dxa"/>
            </w:tcMar>
            <w:shd w:fill="FAFBFC"/>
          </w:tcPr>
          <w:p>
            <w:pPr>
              <w:spacing w:after="0"/>
            </w:pPr>
            <w:r>
              <w:rPr>
                <w:rFonts w:ascii="Calibri" w:hAnsi="Calibri"/>
                <w:color w:val="24303F"/>
                <w:sz w:val="16"/>
              </w:rPr>
              <w:t>7.1%</w:t>
            </w:r>
          </w:p>
        </w:tc>
        <w:tc>
          <w:tcPr>
            <w:tcW w:type="dxa" w:w="1000"/>
            <w:tcMar>
              <w:top w:w="80" w:type="dxa"/>
              <w:start w:w="120" w:type="dxa"/>
              <w:bottom w:w="80" w:type="dxa"/>
              <w:end w:w="120" w:type="dxa"/>
            </w:tcMar>
            <w:shd w:fill="FAFBFC"/>
          </w:tcPr>
          <w:p>
            <w:pPr>
              <w:spacing w:after="0"/>
            </w:pPr>
            <w:r>
              <w:rPr>
                <w:rFonts w:ascii="Calibri" w:hAnsi="Calibri"/>
                <w:color w:val="24303F"/>
                <w:sz w:val="16"/>
              </w:rPr>
              <w:t>32.7%</w:t>
            </w:r>
          </w:p>
        </w:tc>
        <w:tc>
          <w:tcPr>
            <w:tcW w:type="dxa" w:w="1050"/>
            <w:tcMar>
              <w:top w:w="80" w:type="dxa"/>
              <w:start w:w="120" w:type="dxa"/>
              <w:bottom w:w="80" w:type="dxa"/>
              <w:end w:w="120" w:type="dxa"/>
            </w:tcMar>
            <w:shd w:fill="FAFBFC"/>
          </w:tcPr>
          <w:p>
            <w:pPr>
              <w:spacing w:after="0"/>
            </w:pPr>
            <w:r>
              <w:rPr>
                <w:rFonts w:ascii="Calibri" w:hAnsi="Calibri"/>
                <w:color w:val="24303F"/>
                <w:sz w:val="16"/>
              </w:rPr>
              <w:t>0.37</w:t>
            </w:r>
          </w:p>
        </w:tc>
        <w:tc>
          <w:tcPr>
            <w:tcW w:type="dxa" w:w="1150"/>
            <w:tcMar>
              <w:top w:w="80" w:type="dxa"/>
              <w:start w:w="120" w:type="dxa"/>
              <w:bottom w:w="80" w:type="dxa"/>
              <w:end w:w="120" w:type="dxa"/>
            </w:tcMar>
            <w:shd w:fill="FAFBFC"/>
          </w:tcPr>
          <w:p>
            <w:pPr>
              <w:spacing w:after="0"/>
            </w:pPr>
            <w:r>
              <w:rPr>
                <w:rFonts w:ascii="Calibri" w:hAnsi="Calibri"/>
                <w:color w:val="24303F"/>
                <w:sz w:val="16"/>
              </w:rPr>
              <w:t>-48.6%</w:t>
            </w:r>
          </w:p>
        </w:tc>
        <w:tc>
          <w:tcPr>
            <w:tcW w:type="dxa" w:w="2160"/>
            <w:tcMar>
              <w:top w:w="80" w:type="dxa"/>
              <w:start w:w="120" w:type="dxa"/>
              <w:bottom w:w="80" w:type="dxa"/>
              <w:end w:w="120" w:type="dxa"/>
            </w:tcMar>
            <w:shd w:fill="FAFBFC"/>
          </w:tcPr>
          <w:p>
            <w:pPr>
              <w:spacing w:after="0"/>
            </w:pPr>
            <w:r>
              <w:rPr>
                <w:rFonts w:ascii="Calibri" w:hAnsi="Calibri"/>
                <w:color w:val="24303F"/>
                <w:sz w:val="16"/>
              </w:rPr>
              <w:t>2.08x</w:t>
            </w:r>
          </w:p>
        </w:tc>
      </w:tr>
    </w:tbl>
    <w:p>
      <w:pPr>
        <w:pStyle w:val="Caption"/>
      </w:pPr>
      <w:r>
        <w:t>Table 2. Selected net fact-sheet metrics, monthly OOS, 2021–2023.</w:t>
      </w:r>
    </w:p>
    <w:p>
      <w:pPr>
        <w:pStyle w:val="Source"/>
      </w:pPr>
      <w:r>
        <w:t>Source: results/tables/performance_metrics.csv. Return is CAGR; cost is 10 bps one-way; zero risk-free rate.</w:t>
      </w:r>
    </w:p>
    <w:p>
      <w:pPr>
        <w:spacing w:after="0"/>
        <w:jc w:val="center"/>
      </w:pPr>
      <w:r>
        <w:drawing>
          <wp:inline xmlns:a="http://schemas.openxmlformats.org/drawingml/2006/main" xmlns:pic="http://schemas.openxmlformats.org/drawingml/2006/picture">
            <wp:extent cx="5257800" cy="3227986"/>
            <wp:docPr id="1" name="Picture 1"/>
            <wp:cNvGraphicFramePr>
              <a:graphicFrameLocks noChangeAspect="1"/>
            </wp:cNvGraphicFramePr>
            <a:graphic>
              <a:graphicData uri="http://schemas.openxmlformats.org/drawingml/2006/picture">
                <pic:pic>
                  <pic:nvPicPr>
                    <pic:cNvPr id="0" name="risk_return_map.png"/>
                    <pic:cNvPicPr/>
                  </pic:nvPicPr>
                  <pic:blipFill>
                    <a:blip r:embed="rId11"/>
                    <a:stretch>
                      <a:fillRect/>
                    </a:stretch>
                  </pic:blipFill>
                  <pic:spPr>
                    <a:xfrm>
                      <a:off x="0" y="0"/>
                      <a:ext cx="5257800" cy="3227986"/>
                    </a:xfrm>
                    <a:prstGeom prst="rect"/>
                  </pic:spPr>
                </pic:pic>
              </a:graphicData>
            </a:graphic>
          </wp:inline>
        </w:drawing>
      </w:r>
    </w:p>
    <w:p>
      <w:pPr>
        <w:pStyle w:val="Caption"/>
      </w:pPr>
      <w:r>
        <w:t>Figure 1. Net annualised return versus realised volatility for all twelve funds, 2021–2023.</w:t>
      </w:r>
    </w:p>
    <w:p>
      <w:pPr>
        <w:pStyle w:val="Source"/>
      </w:pPr>
      <w:r>
        <w:t>Source: FINS5545 prices; student calculations. Equity/combined annualised at 252, crypto at 365; 10 bps one-way cost.</w:t>
      </w:r>
    </w:p>
    <w:p>
      <w:pPr>
        <w:spacing w:after="80"/>
      </w:pPr>
      <w:r>
        <w:t>Crypto funds appear on a substantially different risk scale from the other universes. Within equities, Equal-Weight achieves the highest return without having the highest volatility. The weak performance of Combined Maximum-Sharpe illustrates the practical cost of estimation error.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Interpretation boundary</w:t>
            </w:r>
          </w:p>
          <w:p>
            <w:pPr>
              <w:spacing w:after="0"/>
            </w:pPr>
            <w:r>
              <w:rPr>
                <w:rFonts w:ascii="Calibri" w:hAnsi="Calibri"/>
                <w:color w:val="24303F"/>
                <w:sz w:val="20"/>
              </w:rPr>
              <w:t>These rankings describe one short regime. They do not establish expected future dominance. The app therefore shows the full distribution of trade-offs rather than presenting a single ‘best fund’ badge.</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04</w:t>
      </w:r>
    </w:p>
    <w:p>
      <w:pPr>
        <w:pStyle w:val="Heading1"/>
        <w:spacing w:before="0"/>
      </w:pPr>
      <w:r>
        <w:t>Fact sheets, holdings, and risk</w:t>
      </w:r>
    </w:p>
    <w:p>
      <w:pPr>
        <w:spacing w:after="160"/>
      </w:pPr>
      <w:r>
        <w:t>For each of the twelve funds, the app shows growth, drawdown, performance measures, turnover, and the most recent target allocation.</w:t>
      </w:r>
    </w:p>
    <w:tbl>
      <w:tblPr>
        <w:tblStyle w:val="TableGrid"/>
        <w:tblW w:type="dxa" w:w="9360"/>
        <w:jc w:val="left"/>
        <w:tblLayout w:type="fixed"/>
        <w:tblLook w:firstColumn="1" w:firstRow="1" w:lastColumn="0" w:lastRow="0" w:noHBand="0" w:noVBand="1" w:val="04A0"/>
        <w:tblInd w:w="120" w:type="dxa"/>
      </w:tblPr>
      <w:tblGrid>
        <w:gridCol w:w="2200"/>
        <w:gridCol w:w="900"/>
        <w:gridCol w:w="900"/>
        <w:gridCol w:w="1000"/>
        <w:gridCol w:w="4360"/>
      </w:tblGrid>
      <w:tr>
        <w:trPr>
          <w:tblHeader w:val="true"/>
        </w:trPr>
        <w:tc>
          <w:tcPr>
            <w:tcW w:type="dxa" w:w="2200"/>
            <w:tcMar>
              <w:top w:w="80" w:type="dxa"/>
              <w:start w:w="120" w:type="dxa"/>
              <w:bottom w:w="80" w:type="dxa"/>
              <w:end w:w="120" w:type="dxa"/>
            </w:tcMar>
            <w:vAlign w:val="center"/>
            <w:shd w:fill="F2F4F7"/>
          </w:tcPr>
          <w:p>
            <w:pPr>
              <w:spacing w:after="0"/>
            </w:pPr>
            <w:r>
              <w:rPr>
                <w:rFonts w:ascii="Calibri" w:hAnsi="Calibri"/>
                <w:b/>
                <w:color w:val="12263A"/>
                <w:sz w:val="16"/>
              </w:rPr>
              <w:t>Combined method</w:t>
            </w:r>
          </w:p>
        </w:tc>
        <w:tc>
          <w:tcPr>
            <w:tcW w:type="dxa" w:w="900"/>
            <w:tcMar>
              <w:top w:w="80" w:type="dxa"/>
              <w:start w:w="120" w:type="dxa"/>
              <w:bottom w:w="80" w:type="dxa"/>
              <w:end w:w="120" w:type="dxa"/>
            </w:tcMar>
            <w:vAlign w:val="center"/>
            <w:shd w:fill="F2F4F7"/>
          </w:tcPr>
          <w:p>
            <w:pPr>
              <w:spacing w:after="0"/>
            </w:pPr>
            <w:r>
              <w:rPr>
                <w:rFonts w:ascii="Calibri" w:hAnsi="Calibri"/>
                <w:b/>
                <w:color w:val="12263A"/>
                <w:sz w:val="16"/>
              </w:rPr>
              <w:t>Return</w:t>
            </w:r>
          </w:p>
        </w:tc>
        <w:tc>
          <w:tcPr>
            <w:tcW w:type="dxa" w:w="900"/>
            <w:tcMar>
              <w:top w:w="80" w:type="dxa"/>
              <w:start w:w="120" w:type="dxa"/>
              <w:bottom w:w="80" w:type="dxa"/>
              <w:end w:w="120" w:type="dxa"/>
            </w:tcMar>
            <w:vAlign w:val="center"/>
            <w:shd w:fill="F2F4F7"/>
          </w:tcPr>
          <w:p>
            <w:pPr>
              <w:spacing w:after="0"/>
            </w:pPr>
            <w:r>
              <w:rPr>
                <w:rFonts w:ascii="Calibri" w:hAnsi="Calibri"/>
                <w:b/>
                <w:color w:val="12263A"/>
                <w:sz w:val="16"/>
              </w:rPr>
              <w:t>Sharpe</w:t>
            </w:r>
          </w:p>
        </w:tc>
        <w:tc>
          <w:tcPr>
            <w:tcW w:type="dxa" w:w="1000"/>
            <w:tcMar>
              <w:top w:w="80" w:type="dxa"/>
              <w:start w:w="120" w:type="dxa"/>
              <w:bottom w:w="80" w:type="dxa"/>
              <w:end w:w="120" w:type="dxa"/>
            </w:tcMar>
            <w:vAlign w:val="center"/>
            <w:shd w:fill="F2F4F7"/>
          </w:tcPr>
          <w:p>
            <w:pPr>
              <w:spacing w:after="0"/>
            </w:pPr>
            <w:r>
              <w:rPr>
                <w:rFonts w:ascii="Calibri" w:hAnsi="Calibri"/>
                <w:b/>
                <w:color w:val="12263A"/>
                <w:sz w:val="16"/>
              </w:rPr>
              <w:t>MDD</w:t>
            </w:r>
          </w:p>
        </w:tc>
        <w:tc>
          <w:tcPr>
            <w:tcW w:type="dxa" w:w="4360"/>
            <w:tcMar>
              <w:top w:w="80" w:type="dxa"/>
              <w:start w:w="120" w:type="dxa"/>
              <w:bottom w:w="80" w:type="dxa"/>
              <w:end w:w="120" w:type="dxa"/>
            </w:tcMar>
            <w:vAlign w:val="center"/>
            <w:shd w:fill="F2F4F7"/>
          </w:tcPr>
          <w:p>
            <w:pPr>
              <w:spacing w:after="0"/>
            </w:pPr>
            <w:r>
              <w:rPr>
                <w:rFonts w:ascii="Calibri" w:hAnsi="Calibri"/>
                <w:b/>
                <w:color w:val="12263A"/>
                <w:sz w:val="16"/>
              </w:rPr>
              <w:t>Top current targets</w:t>
            </w:r>
          </w:p>
        </w:tc>
      </w:tr>
      <w:tr>
        <w:tc>
          <w:tcPr>
            <w:tcW w:type="dxa" w:w="2200"/>
            <w:tcMar>
              <w:top w:w="80" w:type="dxa"/>
              <w:start w:w="120" w:type="dxa"/>
              <w:bottom w:w="80" w:type="dxa"/>
              <w:end w:w="120" w:type="dxa"/>
            </w:tcMar>
          </w:tcPr>
          <w:p>
            <w:pPr>
              <w:spacing w:after="0"/>
            </w:pPr>
            <w:r>
              <w:rPr>
                <w:rFonts w:ascii="Calibri" w:hAnsi="Calibri"/>
                <w:color w:val="24303F"/>
                <w:sz w:val="16"/>
              </w:rPr>
              <w:t>Equal-Weight</w:t>
            </w:r>
          </w:p>
        </w:tc>
        <w:tc>
          <w:tcPr>
            <w:tcW w:type="dxa" w:w="900"/>
            <w:tcMar>
              <w:top w:w="80" w:type="dxa"/>
              <w:start w:w="120" w:type="dxa"/>
              <w:bottom w:w="80" w:type="dxa"/>
              <w:end w:w="120" w:type="dxa"/>
            </w:tcMar>
          </w:tcPr>
          <w:p>
            <w:pPr>
              <w:spacing w:after="0"/>
            </w:pPr>
            <w:r>
              <w:rPr>
                <w:rFonts w:ascii="Calibri" w:hAnsi="Calibri"/>
                <w:color w:val="24303F"/>
                <w:sz w:val="16"/>
              </w:rPr>
              <w:t>15.0%</w:t>
            </w:r>
          </w:p>
        </w:tc>
        <w:tc>
          <w:tcPr>
            <w:tcW w:type="dxa" w:w="900"/>
            <w:tcMar>
              <w:top w:w="80" w:type="dxa"/>
              <w:start w:w="120" w:type="dxa"/>
              <w:bottom w:w="80" w:type="dxa"/>
              <w:end w:w="120" w:type="dxa"/>
            </w:tcMar>
          </w:tcPr>
          <w:p>
            <w:pPr>
              <w:spacing w:after="0"/>
            </w:pPr>
            <w:r>
              <w:rPr>
                <w:rFonts w:ascii="Calibri" w:hAnsi="Calibri"/>
                <w:color w:val="24303F"/>
                <w:sz w:val="16"/>
              </w:rPr>
              <w:t>0.76</w:t>
            </w:r>
          </w:p>
        </w:tc>
        <w:tc>
          <w:tcPr>
            <w:tcW w:type="dxa" w:w="1000"/>
            <w:tcMar>
              <w:top w:w="80" w:type="dxa"/>
              <w:start w:w="120" w:type="dxa"/>
              <w:bottom w:w="80" w:type="dxa"/>
              <w:end w:w="120" w:type="dxa"/>
            </w:tcMar>
          </w:tcPr>
          <w:p>
            <w:pPr>
              <w:spacing w:after="0"/>
            </w:pPr>
            <w:r>
              <w:rPr>
                <w:rFonts w:ascii="Calibri" w:hAnsi="Calibri"/>
                <w:color w:val="24303F"/>
                <w:sz w:val="16"/>
              </w:rPr>
              <w:t>-27.9%</w:t>
            </w:r>
          </w:p>
        </w:tc>
        <w:tc>
          <w:tcPr>
            <w:tcW w:type="dxa" w:w="4360"/>
            <w:tcMar>
              <w:top w:w="80" w:type="dxa"/>
              <w:start w:w="120" w:type="dxa"/>
              <w:bottom w:w="80" w:type="dxa"/>
              <w:end w:w="120" w:type="dxa"/>
            </w:tcMar>
          </w:tcPr>
          <w:p>
            <w:pPr>
              <w:spacing w:after="0"/>
            </w:pPr>
            <w:r>
              <w:rPr>
                <w:rFonts w:ascii="Calibri" w:hAnsi="Calibri"/>
                <w:color w:val="24303F"/>
                <w:sz w:val="16"/>
              </w:rPr>
              <w:t>ABBV 1.7%; ABT 1.7%; ADA-USD 1.7%</w:t>
            </w:r>
          </w:p>
        </w:tc>
      </w:tr>
      <w:tr>
        <w:tc>
          <w:tcPr>
            <w:tcW w:type="dxa" w:w="2200"/>
            <w:tcMar>
              <w:top w:w="80" w:type="dxa"/>
              <w:start w:w="120" w:type="dxa"/>
              <w:bottom w:w="80" w:type="dxa"/>
              <w:end w:w="120" w:type="dxa"/>
            </w:tcMar>
            <w:shd w:fill="FAFBFC"/>
          </w:tcPr>
          <w:p>
            <w:pPr>
              <w:spacing w:after="0"/>
            </w:pPr>
            <w:r>
              <w:rPr>
                <w:rFonts w:ascii="Calibri" w:hAnsi="Calibri"/>
                <w:color w:val="24303F"/>
                <w:sz w:val="16"/>
              </w:rPr>
              <w:t>Minimum-Variance</w:t>
            </w:r>
          </w:p>
        </w:tc>
        <w:tc>
          <w:tcPr>
            <w:tcW w:type="dxa" w:w="900"/>
            <w:tcMar>
              <w:top w:w="80" w:type="dxa"/>
              <w:start w:w="120" w:type="dxa"/>
              <w:bottom w:w="80" w:type="dxa"/>
              <w:end w:w="120" w:type="dxa"/>
            </w:tcMar>
            <w:shd w:fill="FAFBFC"/>
          </w:tcPr>
          <w:p>
            <w:pPr>
              <w:spacing w:after="0"/>
            </w:pPr>
            <w:r>
              <w:rPr>
                <w:rFonts w:ascii="Calibri" w:hAnsi="Calibri"/>
                <w:color w:val="24303F"/>
                <w:sz w:val="16"/>
              </w:rPr>
              <w:t>7.0%</w:t>
            </w:r>
          </w:p>
        </w:tc>
        <w:tc>
          <w:tcPr>
            <w:tcW w:type="dxa" w:w="900"/>
            <w:tcMar>
              <w:top w:w="80" w:type="dxa"/>
              <w:start w:w="120" w:type="dxa"/>
              <w:bottom w:w="80" w:type="dxa"/>
              <w:end w:w="120" w:type="dxa"/>
            </w:tcMar>
            <w:shd w:fill="FAFBFC"/>
          </w:tcPr>
          <w:p>
            <w:pPr>
              <w:spacing w:after="0"/>
            </w:pPr>
            <w:r>
              <w:rPr>
                <w:rFonts w:ascii="Calibri" w:hAnsi="Calibri"/>
                <w:color w:val="24303F"/>
                <w:sz w:val="16"/>
              </w:rPr>
              <w:t>0.60</w:t>
            </w:r>
          </w:p>
        </w:tc>
        <w:tc>
          <w:tcPr>
            <w:tcW w:type="dxa" w:w="1000"/>
            <w:tcMar>
              <w:top w:w="80" w:type="dxa"/>
              <w:start w:w="120" w:type="dxa"/>
              <w:bottom w:w="80" w:type="dxa"/>
              <w:end w:w="120" w:type="dxa"/>
            </w:tcMar>
            <w:shd w:fill="FAFBFC"/>
          </w:tcPr>
          <w:p>
            <w:pPr>
              <w:spacing w:after="0"/>
            </w:pPr>
            <w:r>
              <w:rPr>
                <w:rFonts w:ascii="Calibri" w:hAnsi="Calibri"/>
                <w:color w:val="24303F"/>
                <w:sz w:val="16"/>
              </w:rPr>
              <w:t>-17.8%</w:t>
            </w:r>
          </w:p>
        </w:tc>
        <w:tc>
          <w:tcPr>
            <w:tcW w:type="dxa" w:w="4360"/>
            <w:tcMar>
              <w:top w:w="80" w:type="dxa"/>
              <w:start w:w="120" w:type="dxa"/>
              <w:bottom w:w="80" w:type="dxa"/>
              <w:end w:w="120" w:type="dxa"/>
            </w:tcMar>
            <w:shd w:fill="FAFBFC"/>
          </w:tcPr>
          <w:p>
            <w:pPr>
              <w:spacing w:after="0"/>
            </w:pPr>
            <w:r>
              <w:rPr>
                <w:rFonts w:ascii="Calibri" w:hAnsi="Calibri"/>
                <w:color w:val="24303F"/>
                <w:sz w:val="16"/>
              </w:rPr>
              <w:t>WMT 19.9%; MRK 12.8%; ABBV 11.9%</w:t>
            </w:r>
          </w:p>
        </w:tc>
      </w:tr>
      <w:tr>
        <w:tc>
          <w:tcPr>
            <w:tcW w:type="dxa" w:w="2200"/>
            <w:tcMar>
              <w:top w:w="80" w:type="dxa"/>
              <w:start w:w="120" w:type="dxa"/>
              <w:bottom w:w="80" w:type="dxa"/>
              <w:end w:w="120" w:type="dxa"/>
            </w:tcMar>
          </w:tcPr>
          <w:p>
            <w:pPr>
              <w:spacing w:after="0"/>
            </w:pPr>
            <w:r>
              <w:rPr>
                <w:rFonts w:ascii="Calibri" w:hAnsi="Calibri"/>
                <w:color w:val="24303F"/>
                <w:sz w:val="16"/>
              </w:rPr>
              <w:t>Maximum-Sharpe</w:t>
            </w:r>
          </w:p>
        </w:tc>
        <w:tc>
          <w:tcPr>
            <w:tcW w:type="dxa" w:w="900"/>
            <w:tcMar>
              <w:top w:w="80" w:type="dxa"/>
              <w:start w:w="120" w:type="dxa"/>
              <w:bottom w:w="80" w:type="dxa"/>
              <w:end w:w="120" w:type="dxa"/>
            </w:tcMar>
          </w:tcPr>
          <w:p>
            <w:pPr>
              <w:spacing w:after="0"/>
            </w:pPr>
            <w:r>
              <w:rPr>
                <w:rFonts w:ascii="Calibri" w:hAnsi="Calibri"/>
                <w:color w:val="24303F"/>
                <w:sz w:val="16"/>
              </w:rPr>
              <w:t>7.1%</w:t>
            </w:r>
          </w:p>
        </w:tc>
        <w:tc>
          <w:tcPr>
            <w:tcW w:type="dxa" w:w="900"/>
            <w:tcMar>
              <w:top w:w="80" w:type="dxa"/>
              <w:start w:w="120" w:type="dxa"/>
              <w:bottom w:w="80" w:type="dxa"/>
              <w:end w:w="120" w:type="dxa"/>
            </w:tcMar>
          </w:tcPr>
          <w:p>
            <w:pPr>
              <w:spacing w:after="0"/>
            </w:pPr>
            <w:r>
              <w:rPr>
                <w:rFonts w:ascii="Calibri" w:hAnsi="Calibri"/>
                <w:color w:val="24303F"/>
                <w:sz w:val="16"/>
              </w:rPr>
              <w:t>0.37</w:t>
            </w:r>
          </w:p>
        </w:tc>
        <w:tc>
          <w:tcPr>
            <w:tcW w:type="dxa" w:w="1000"/>
            <w:tcMar>
              <w:top w:w="80" w:type="dxa"/>
              <w:start w:w="120" w:type="dxa"/>
              <w:bottom w:w="80" w:type="dxa"/>
              <w:end w:w="120" w:type="dxa"/>
            </w:tcMar>
          </w:tcPr>
          <w:p>
            <w:pPr>
              <w:spacing w:after="0"/>
            </w:pPr>
            <w:r>
              <w:rPr>
                <w:rFonts w:ascii="Calibri" w:hAnsi="Calibri"/>
                <w:color w:val="24303F"/>
                <w:sz w:val="16"/>
              </w:rPr>
              <w:t>-48.6%</w:t>
            </w:r>
          </w:p>
        </w:tc>
        <w:tc>
          <w:tcPr>
            <w:tcW w:type="dxa" w:w="4360"/>
            <w:tcMar>
              <w:top w:w="80" w:type="dxa"/>
              <w:start w:w="120" w:type="dxa"/>
              <w:bottom w:w="80" w:type="dxa"/>
              <w:end w:w="120" w:type="dxa"/>
            </w:tcMar>
          </w:tcPr>
          <w:p>
            <w:pPr>
              <w:spacing w:after="0"/>
            </w:pPr>
            <w:r>
              <w:rPr>
                <w:rFonts w:ascii="Calibri" w:hAnsi="Calibri"/>
                <w:color w:val="24303F"/>
                <w:sz w:val="16"/>
              </w:rPr>
              <w:t>ABBV 20.0%; NVDA 20.0%; NUE 20.0%</w:t>
            </w:r>
          </w:p>
        </w:tc>
      </w:tr>
      <w:tr>
        <w:tc>
          <w:tcPr>
            <w:tcW w:type="dxa" w:w="2200"/>
            <w:tcMar>
              <w:top w:w="80" w:type="dxa"/>
              <w:start w:w="120" w:type="dxa"/>
              <w:bottom w:w="80" w:type="dxa"/>
              <w:end w:w="120" w:type="dxa"/>
            </w:tcMar>
            <w:shd w:fill="FAFBFC"/>
          </w:tcPr>
          <w:p>
            <w:pPr>
              <w:spacing w:after="0"/>
            </w:pPr>
            <w:r>
              <w:rPr>
                <w:rFonts w:ascii="Calibri" w:hAnsi="Calibri"/>
                <w:color w:val="24303F"/>
                <w:sz w:val="16"/>
              </w:rPr>
              <w:t>Risk Parity</w:t>
            </w:r>
          </w:p>
        </w:tc>
        <w:tc>
          <w:tcPr>
            <w:tcW w:type="dxa" w:w="900"/>
            <w:tcMar>
              <w:top w:w="80" w:type="dxa"/>
              <w:start w:w="120" w:type="dxa"/>
              <w:bottom w:w="80" w:type="dxa"/>
              <w:end w:w="120" w:type="dxa"/>
            </w:tcMar>
            <w:shd w:fill="FAFBFC"/>
          </w:tcPr>
          <w:p>
            <w:pPr>
              <w:spacing w:after="0"/>
            </w:pPr>
            <w:r>
              <w:rPr>
                <w:rFonts w:ascii="Calibri" w:hAnsi="Calibri"/>
                <w:color w:val="24303F"/>
                <w:sz w:val="16"/>
              </w:rPr>
              <w:t>12.7%</w:t>
            </w:r>
          </w:p>
        </w:tc>
        <w:tc>
          <w:tcPr>
            <w:tcW w:type="dxa" w:w="900"/>
            <w:tcMar>
              <w:top w:w="80" w:type="dxa"/>
              <w:start w:w="120" w:type="dxa"/>
              <w:bottom w:w="80" w:type="dxa"/>
              <w:end w:w="120" w:type="dxa"/>
            </w:tcMar>
            <w:shd w:fill="FAFBFC"/>
          </w:tcPr>
          <w:p>
            <w:pPr>
              <w:spacing w:after="0"/>
            </w:pPr>
            <w:r>
              <w:rPr>
                <w:rFonts w:ascii="Calibri" w:hAnsi="Calibri"/>
                <w:color w:val="24303F"/>
                <w:sz w:val="16"/>
              </w:rPr>
              <w:t>0.77</w:t>
            </w:r>
          </w:p>
        </w:tc>
        <w:tc>
          <w:tcPr>
            <w:tcW w:type="dxa" w:w="1000"/>
            <w:tcMar>
              <w:top w:w="80" w:type="dxa"/>
              <w:start w:w="120" w:type="dxa"/>
              <w:bottom w:w="80" w:type="dxa"/>
              <w:end w:w="120" w:type="dxa"/>
            </w:tcMar>
            <w:shd w:fill="FAFBFC"/>
          </w:tcPr>
          <w:p>
            <w:pPr>
              <w:spacing w:after="0"/>
            </w:pPr>
            <w:r>
              <w:rPr>
                <w:rFonts w:ascii="Calibri" w:hAnsi="Calibri"/>
                <w:color w:val="24303F"/>
                <w:sz w:val="16"/>
              </w:rPr>
              <w:t>-22.4%</w:t>
            </w:r>
          </w:p>
        </w:tc>
        <w:tc>
          <w:tcPr>
            <w:tcW w:type="dxa" w:w="4360"/>
            <w:tcMar>
              <w:top w:w="80" w:type="dxa"/>
              <w:start w:w="120" w:type="dxa"/>
              <w:bottom w:w="80" w:type="dxa"/>
              <w:end w:w="120" w:type="dxa"/>
            </w:tcMar>
            <w:shd w:fill="FAFBFC"/>
          </w:tcPr>
          <w:p>
            <w:pPr>
              <w:spacing w:after="0"/>
            </w:pPr>
            <w:r>
              <w:rPr>
                <w:rFonts w:ascii="Calibri" w:hAnsi="Calibri"/>
                <w:color w:val="24303F"/>
                <w:sz w:val="16"/>
              </w:rPr>
              <w:t>WMT 3.2%; GILD 3.1%; MRK 3.0%</w:t>
            </w:r>
          </w:p>
        </w:tc>
      </w:tr>
    </w:tbl>
    <w:p>
      <w:pPr>
        <w:pStyle w:val="Caption"/>
      </w:pPr>
      <w:r>
        <w:t>Table 3. Combined-family fact-sheet snapshot and top three December 2023 targets.</w:t>
      </w:r>
    </w:p>
    <w:p>
      <w:pPr>
        <w:pStyle w:val="Source"/>
      </w:pPr>
      <w:r>
        <w:t>Source: results/tables/performance_metrics.csv and results/data/current_holdings.csv. Top holdings are target weights, not drifted end-of-day weights.</w:t>
      </w:r>
    </w:p>
    <w:p>
      <w:pPr>
        <w:pStyle w:val="Heading2"/>
      </w:pPr>
      <w:r>
        <w:t>What changed across methods</w:t>
      </w:r>
    </w:p>
    <w:p>
      <w:r>
        <w:t>At each rebalance, Equal-Weight allocates 1.67% to every combined-universe asset, creating a 16.7% crypto sleeve. Minimum-Variance assigns almost no weight to crypto because crypto risk dominates the covariance objective; in practice, its results are therefore close to Equity Minimum-Variance. Risk Parity adjusts more gradually while maintaining broader diversification. Maximum-Sharpe makes larger changes to sector and crypto weights as estimated returns move.</w:t>
      </w:r>
    </w:p>
    <w:p>
      <w:pPr>
        <w:pStyle w:val="Heading2"/>
      </w:pPr>
      <w:r>
        <w:t>Investor-facing risk language</w:t>
      </w:r>
    </w:p>
    <w:p>
      <w:r>
        <w:t>Returns should always be considered alongside maximum drawdown. Even the best-performing crypto fund lost more than 70% from peak to trough. The combined portfolios also experienced substantial losses: Combined Equal-Weight fell 27.9%, compared with 22.4% for Combined Risk Parity. Historical Sharpe ratios are therefore presented as descriptions of the sample, not as predictions or guarantees.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Recommended default journey</w:t>
            </w:r>
          </w:p>
          <w:p>
            <w:pPr>
              <w:spacing w:after="0"/>
            </w:pPr>
            <w:r>
              <w:rPr>
                <w:rFonts w:ascii="Calibri" w:hAnsi="Calibri"/>
                <w:color w:val="24303F"/>
                <w:sz w:val="20"/>
              </w:rPr>
              <w:t>Open on Equity Equal-Weight as the transparent benchmark; show Combined Risk Parity as a diversified alternative; place crypto funds behind a high-volatility warning. Let users compare rather than preselecting based on the highest historical return.</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05</w:t>
      </w:r>
    </w:p>
    <w:p>
      <w:pPr>
        <w:pStyle w:val="Heading1"/>
        <w:spacing w:before="0"/>
      </w:pPr>
      <w:r>
        <w:t>Finance-aware sentiment index</w:t>
      </w:r>
    </w:p>
    <w:p>
      <w:pPr>
        <w:spacing w:after="160"/>
      </w:pPr>
      <w:r>
        <w:t>The sentiment index summarises headline tone using transparent aggregation rules and a clearly specified lag for live use.</w:t>
      </w:r>
    </w:p>
    <w:p>
      <w:r>
        <w:t>Headline titles are scored once with plain VADER and once with finVADER, with casing, punctuation, and negation retained. finVADER extends VADER using the SentiBigNomics and Henry finance lexicons (Consoli et al., 2022; Henry, 2008; Korab, 2023). Scores are first averaged within each ticker-day. Sector values then assign equal weight to tickers so that firms with heavier news coverage do not dominate the index.</w:t>
      </w:r>
    </w:p>
    <w:tbl>
      <w:tblPr>
        <w:tblStyle w:val="TableGrid"/>
        <w:tblW w:type="dxa" w:w="9360"/>
        <w:jc w:val="left"/>
        <w:tblLayout w:type="fixed"/>
        <w:tblLook w:firstColumn="1" w:firstRow="1" w:lastColumn="0" w:lastRow="0" w:noHBand="0" w:noVBand="1" w:val="04A0"/>
        <w:tblInd w:w="120" w:type="dxa"/>
      </w:tblPr>
      <w:tblGrid>
        <w:gridCol w:w="1700"/>
        <w:gridCol w:w="1550"/>
        <w:gridCol w:w="1150"/>
        <w:gridCol w:w="1900"/>
        <w:gridCol w:w="1500"/>
        <w:gridCol w:w="1560"/>
      </w:tblGrid>
      <w:tr>
        <w:trPr>
          <w:tblHeader w:val="true"/>
        </w:trPr>
        <w:tc>
          <w:tcPr>
            <w:tcW w:type="dxa" w:w="1700"/>
            <w:tcMar>
              <w:top w:w="80" w:type="dxa"/>
              <w:start w:w="120" w:type="dxa"/>
              <w:bottom w:w="80" w:type="dxa"/>
              <w:end w:w="120" w:type="dxa"/>
            </w:tcMar>
            <w:vAlign w:val="center"/>
            <w:shd w:fill="F2F4F7"/>
          </w:tcPr>
          <w:p>
            <w:pPr>
              <w:spacing w:after="0"/>
            </w:pPr>
            <w:r>
              <w:rPr>
                <w:rFonts w:ascii="Calibri" w:hAnsi="Calibri"/>
                <w:b/>
                <w:color w:val="12263A"/>
                <w:sz w:val="16"/>
              </w:rPr>
              <w:t>Model</w:t>
            </w:r>
          </w:p>
        </w:tc>
        <w:tc>
          <w:tcPr>
            <w:tcW w:type="dxa" w:w="1550"/>
            <w:tcMar>
              <w:top w:w="80" w:type="dxa"/>
              <w:start w:w="120" w:type="dxa"/>
              <w:bottom w:w="80" w:type="dxa"/>
              <w:end w:w="120" w:type="dxa"/>
            </w:tcMar>
            <w:vAlign w:val="center"/>
            <w:shd w:fill="F2F4F7"/>
          </w:tcPr>
          <w:p>
            <w:pPr>
              <w:spacing w:after="0"/>
            </w:pPr>
            <w:r>
              <w:rPr>
                <w:rFonts w:ascii="Calibri" w:hAnsi="Calibri"/>
                <w:b/>
                <w:color w:val="12263A"/>
                <w:sz w:val="16"/>
              </w:rPr>
              <w:t>Headline rows</w:t>
            </w:r>
          </w:p>
        </w:tc>
        <w:tc>
          <w:tcPr>
            <w:tcW w:type="dxa" w:w="1150"/>
            <w:tcMar>
              <w:top w:w="80" w:type="dxa"/>
              <w:start w:w="120" w:type="dxa"/>
              <w:bottom w:w="80" w:type="dxa"/>
              <w:end w:w="120" w:type="dxa"/>
            </w:tcMar>
            <w:vAlign w:val="center"/>
            <w:shd w:fill="F2F4F7"/>
          </w:tcPr>
          <w:p>
            <w:pPr>
              <w:spacing w:after="0"/>
            </w:pPr>
            <w:r>
              <w:rPr>
                <w:rFonts w:ascii="Calibri" w:hAnsi="Calibri"/>
                <w:b/>
                <w:color w:val="12263A"/>
                <w:sz w:val="16"/>
              </w:rPr>
              <w:t>Mean</w:t>
            </w:r>
          </w:p>
        </w:tc>
        <w:tc>
          <w:tcPr>
            <w:tcW w:type="dxa" w:w="1900"/>
            <w:tcMar>
              <w:top w:w="80" w:type="dxa"/>
              <w:start w:w="120" w:type="dxa"/>
              <w:bottom w:w="80" w:type="dxa"/>
              <w:end w:w="120" w:type="dxa"/>
            </w:tcMar>
            <w:vAlign w:val="center"/>
            <w:shd w:fill="F2F4F7"/>
          </w:tcPr>
          <w:p>
            <w:pPr>
              <w:spacing w:after="0"/>
            </w:pPr>
            <w:r>
              <w:rPr>
                <w:rFonts w:ascii="Calibri" w:hAnsi="Calibri"/>
                <w:b/>
                <w:color w:val="12263A"/>
                <w:sz w:val="16"/>
              </w:rPr>
              <w:t>Exactly neutral</w:t>
            </w:r>
          </w:p>
        </w:tc>
        <w:tc>
          <w:tcPr>
            <w:tcW w:type="dxa" w:w="1500"/>
            <w:tcMar>
              <w:top w:w="80" w:type="dxa"/>
              <w:start w:w="120" w:type="dxa"/>
              <w:bottom w:w="80" w:type="dxa"/>
              <w:end w:w="120" w:type="dxa"/>
            </w:tcMar>
            <w:vAlign w:val="center"/>
            <w:shd w:fill="F2F4F7"/>
          </w:tcPr>
          <w:p>
            <w:pPr>
              <w:spacing w:after="0"/>
            </w:pPr>
            <w:r>
              <w:rPr>
                <w:rFonts w:ascii="Calibri" w:hAnsi="Calibri"/>
                <w:b/>
                <w:color w:val="12263A"/>
                <w:sz w:val="16"/>
              </w:rPr>
              <w:t>Positive</w:t>
            </w:r>
          </w:p>
        </w:tc>
        <w:tc>
          <w:tcPr>
            <w:tcW w:type="dxa" w:w="1560"/>
            <w:tcMar>
              <w:top w:w="80" w:type="dxa"/>
              <w:start w:w="120" w:type="dxa"/>
              <w:bottom w:w="80" w:type="dxa"/>
              <w:end w:w="120" w:type="dxa"/>
            </w:tcMar>
            <w:vAlign w:val="center"/>
            <w:shd w:fill="F2F4F7"/>
          </w:tcPr>
          <w:p>
            <w:pPr>
              <w:spacing w:after="0"/>
            </w:pPr>
            <w:r>
              <w:rPr>
                <w:rFonts w:ascii="Calibri" w:hAnsi="Calibri"/>
                <w:b/>
                <w:color w:val="12263A"/>
                <w:sz w:val="16"/>
              </w:rPr>
              <w:t>Negative</w:t>
            </w:r>
          </w:p>
        </w:tc>
      </w:tr>
      <w:tr>
        <w:tc>
          <w:tcPr>
            <w:tcW w:type="dxa" w:w="1700"/>
            <w:tcMar>
              <w:top w:w="80" w:type="dxa"/>
              <w:start w:w="120" w:type="dxa"/>
              <w:bottom w:w="80" w:type="dxa"/>
              <w:end w:w="120" w:type="dxa"/>
            </w:tcMar>
          </w:tcPr>
          <w:p>
            <w:pPr>
              <w:spacing w:after="0"/>
            </w:pPr>
            <w:r>
              <w:rPr>
                <w:rFonts w:ascii="Calibri" w:hAnsi="Calibri"/>
                <w:color w:val="24303F"/>
                <w:sz w:val="16"/>
              </w:rPr>
              <w:t>Plain VADER</w:t>
            </w:r>
          </w:p>
        </w:tc>
        <w:tc>
          <w:tcPr>
            <w:tcW w:type="dxa" w:w="1550"/>
            <w:tcMar>
              <w:top w:w="80" w:type="dxa"/>
              <w:start w:w="120" w:type="dxa"/>
              <w:bottom w:w="80" w:type="dxa"/>
              <w:end w:w="120" w:type="dxa"/>
            </w:tcMar>
          </w:tcPr>
          <w:p>
            <w:pPr>
              <w:spacing w:after="0"/>
            </w:pPr>
            <w:r>
              <w:rPr>
                <w:rFonts w:ascii="Calibri" w:hAnsi="Calibri"/>
                <w:color w:val="24303F"/>
                <w:sz w:val="16"/>
              </w:rPr>
              <w:t>146,830</w:t>
            </w:r>
          </w:p>
        </w:tc>
        <w:tc>
          <w:tcPr>
            <w:tcW w:type="dxa" w:w="1150"/>
            <w:tcMar>
              <w:top w:w="80" w:type="dxa"/>
              <w:start w:w="120" w:type="dxa"/>
              <w:bottom w:w="80" w:type="dxa"/>
              <w:end w:w="120" w:type="dxa"/>
            </w:tcMar>
          </w:tcPr>
          <w:p>
            <w:pPr>
              <w:spacing w:after="0"/>
            </w:pPr>
            <w:r>
              <w:rPr>
                <w:rFonts w:ascii="Calibri" w:hAnsi="Calibri"/>
                <w:color w:val="24303F"/>
                <w:sz w:val="16"/>
              </w:rPr>
              <w:t>0.106</w:t>
            </w:r>
          </w:p>
        </w:tc>
        <w:tc>
          <w:tcPr>
            <w:tcW w:type="dxa" w:w="1900"/>
            <w:tcMar>
              <w:top w:w="80" w:type="dxa"/>
              <w:start w:w="120" w:type="dxa"/>
              <w:bottom w:w="80" w:type="dxa"/>
              <w:end w:w="120" w:type="dxa"/>
            </w:tcMar>
          </w:tcPr>
          <w:p>
            <w:pPr>
              <w:spacing w:after="0"/>
            </w:pPr>
            <w:r>
              <w:rPr>
                <w:rFonts w:ascii="Calibri" w:hAnsi="Calibri"/>
                <w:color w:val="24303F"/>
                <w:sz w:val="16"/>
              </w:rPr>
              <w:t>48.8%</w:t>
            </w:r>
          </w:p>
        </w:tc>
        <w:tc>
          <w:tcPr>
            <w:tcW w:type="dxa" w:w="1500"/>
            <w:tcMar>
              <w:top w:w="80" w:type="dxa"/>
              <w:start w:w="120" w:type="dxa"/>
              <w:bottom w:w="80" w:type="dxa"/>
              <w:end w:w="120" w:type="dxa"/>
            </w:tcMar>
          </w:tcPr>
          <w:p>
            <w:pPr>
              <w:spacing w:after="0"/>
            </w:pPr>
            <w:r>
              <w:rPr>
                <w:rFonts w:ascii="Calibri" w:hAnsi="Calibri"/>
                <w:color w:val="24303F"/>
                <w:sz w:val="16"/>
              </w:rPr>
              <w:t>37.9%</w:t>
            </w:r>
          </w:p>
        </w:tc>
        <w:tc>
          <w:tcPr>
            <w:tcW w:type="dxa" w:w="1560"/>
            <w:tcMar>
              <w:top w:w="80" w:type="dxa"/>
              <w:start w:w="120" w:type="dxa"/>
              <w:bottom w:w="80" w:type="dxa"/>
              <w:end w:w="120" w:type="dxa"/>
            </w:tcMar>
          </w:tcPr>
          <w:p>
            <w:pPr>
              <w:spacing w:after="0"/>
            </w:pPr>
            <w:r>
              <w:rPr>
                <w:rFonts w:ascii="Calibri" w:hAnsi="Calibri"/>
                <w:color w:val="24303F"/>
                <w:sz w:val="16"/>
              </w:rPr>
              <w:t>13.2%</w:t>
            </w:r>
          </w:p>
        </w:tc>
      </w:tr>
      <w:tr>
        <w:tc>
          <w:tcPr>
            <w:tcW w:type="dxa" w:w="1700"/>
            <w:tcMar>
              <w:top w:w="80" w:type="dxa"/>
              <w:start w:w="120" w:type="dxa"/>
              <w:bottom w:w="80" w:type="dxa"/>
              <w:end w:w="120" w:type="dxa"/>
            </w:tcMar>
            <w:shd w:fill="FAFBFC"/>
          </w:tcPr>
          <w:p>
            <w:pPr>
              <w:spacing w:after="0"/>
            </w:pPr>
            <w:r>
              <w:rPr>
                <w:rFonts w:ascii="Calibri" w:hAnsi="Calibri"/>
                <w:color w:val="24303F"/>
                <w:sz w:val="16"/>
              </w:rPr>
              <w:t>finVADER</w:t>
            </w:r>
          </w:p>
        </w:tc>
        <w:tc>
          <w:tcPr>
            <w:tcW w:type="dxa" w:w="1550"/>
            <w:tcMar>
              <w:top w:w="80" w:type="dxa"/>
              <w:start w:w="120" w:type="dxa"/>
              <w:bottom w:w="80" w:type="dxa"/>
              <w:end w:w="120" w:type="dxa"/>
            </w:tcMar>
            <w:shd w:fill="FAFBFC"/>
          </w:tcPr>
          <w:p>
            <w:pPr>
              <w:spacing w:after="0"/>
            </w:pPr>
            <w:r>
              <w:rPr>
                <w:rFonts w:ascii="Calibri" w:hAnsi="Calibri"/>
                <w:color w:val="24303F"/>
                <w:sz w:val="16"/>
              </w:rPr>
              <w:t>146,830</w:t>
            </w:r>
          </w:p>
        </w:tc>
        <w:tc>
          <w:tcPr>
            <w:tcW w:type="dxa" w:w="1150"/>
            <w:tcMar>
              <w:top w:w="80" w:type="dxa"/>
              <w:start w:w="120" w:type="dxa"/>
              <w:bottom w:w="80" w:type="dxa"/>
              <w:end w:w="120" w:type="dxa"/>
            </w:tcMar>
            <w:shd w:fill="FAFBFC"/>
          </w:tcPr>
          <w:p>
            <w:pPr>
              <w:spacing w:after="0"/>
            </w:pPr>
            <w:r>
              <w:rPr>
                <w:rFonts w:ascii="Calibri" w:hAnsi="Calibri"/>
                <w:color w:val="24303F"/>
                <w:sz w:val="16"/>
              </w:rPr>
              <w:t>0.069</w:t>
            </w:r>
          </w:p>
        </w:tc>
        <w:tc>
          <w:tcPr>
            <w:tcW w:type="dxa" w:w="1900"/>
            <w:tcMar>
              <w:top w:w="80" w:type="dxa"/>
              <w:start w:w="120" w:type="dxa"/>
              <w:bottom w:w="80" w:type="dxa"/>
              <w:end w:w="120" w:type="dxa"/>
            </w:tcMar>
            <w:shd w:fill="FAFBFC"/>
          </w:tcPr>
          <w:p>
            <w:pPr>
              <w:spacing w:after="0"/>
            </w:pPr>
            <w:r>
              <w:rPr>
                <w:rFonts w:ascii="Calibri" w:hAnsi="Calibri"/>
                <w:color w:val="24303F"/>
                <w:sz w:val="16"/>
              </w:rPr>
              <w:t>16.9%</w:t>
            </w:r>
          </w:p>
        </w:tc>
        <w:tc>
          <w:tcPr>
            <w:tcW w:type="dxa" w:w="1500"/>
            <w:tcMar>
              <w:top w:w="80" w:type="dxa"/>
              <w:start w:w="120" w:type="dxa"/>
              <w:bottom w:w="80" w:type="dxa"/>
              <w:end w:w="120" w:type="dxa"/>
            </w:tcMar>
            <w:shd w:fill="FAFBFC"/>
          </w:tcPr>
          <w:p>
            <w:pPr>
              <w:spacing w:after="0"/>
            </w:pPr>
            <w:r>
              <w:rPr>
                <w:rFonts w:ascii="Calibri" w:hAnsi="Calibri"/>
                <w:color w:val="24303F"/>
                <w:sz w:val="16"/>
              </w:rPr>
              <w:t>64.5%</w:t>
            </w:r>
          </w:p>
        </w:tc>
        <w:tc>
          <w:tcPr>
            <w:tcW w:type="dxa" w:w="1560"/>
            <w:tcMar>
              <w:top w:w="80" w:type="dxa"/>
              <w:start w:w="120" w:type="dxa"/>
              <w:bottom w:w="80" w:type="dxa"/>
              <w:end w:w="120" w:type="dxa"/>
            </w:tcMar>
            <w:shd w:fill="FAFBFC"/>
          </w:tcPr>
          <w:p>
            <w:pPr>
              <w:spacing w:after="0"/>
            </w:pPr>
            <w:r>
              <w:rPr>
                <w:rFonts w:ascii="Calibri" w:hAnsi="Calibri"/>
                <w:color w:val="24303F"/>
                <w:sz w:val="16"/>
              </w:rPr>
              <w:t>18.6%</w:t>
            </w:r>
          </w:p>
        </w:tc>
      </w:tr>
    </w:tbl>
    <w:p>
      <w:pPr>
        <w:pStyle w:val="Caption"/>
      </w:pPr>
      <w:r>
        <w:t>Table 4. Descriptive sentiment-model coverage on the course headline panel, 2020–2023.</w:t>
      </w:r>
    </w:p>
    <w:p>
      <w:pPr>
        <w:pStyle w:val="Source"/>
      </w:pPr>
      <w:r>
        <w:t>Source: results/tables/sentiment_model_validation.csv. Shares classify compound score relative to zero; repeated news rows remain part of ticker-day coverage after exact duplicate removal.</w:t>
      </w:r>
    </w:p>
    <w:p>
      <w:pPr>
        <w:spacing w:after="0"/>
        <w:jc w:val="center"/>
      </w:pPr>
      <w:r>
        <w:drawing>
          <wp:inline xmlns:a="http://schemas.openxmlformats.org/drawingml/2006/main" xmlns:pic="http://schemas.openxmlformats.org/drawingml/2006/picture">
            <wp:extent cx="5303520" cy="2318125"/>
            <wp:docPr id="2" name="Picture 2"/>
            <wp:cNvGraphicFramePr>
              <a:graphicFrameLocks noChangeAspect="1"/>
            </wp:cNvGraphicFramePr>
            <a:graphic>
              <a:graphicData uri="http://schemas.openxmlformats.org/drawingml/2006/picture">
                <pic:pic>
                  <pic:nvPicPr>
                    <pic:cNvPr id="0" name="sentiment_model_validation.png"/>
                    <pic:cNvPicPr/>
                  </pic:nvPicPr>
                  <pic:blipFill>
                    <a:blip r:embed="rId12"/>
                    <a:stretch>
                      <a:fillRect/>
                    </a:stretch>
                  </pic:blipFill>
                  <pic:spPr>
                    <a:xfrm>
                      <a:off x="0" y="0"/>
                      <a:ext cx="5303520" cy="2318125"/>
                    </a:xfrm>
                    <a:prstGeom prst="rect"/>
                  </pic:spPr>
                </pic:pic>
              </a:graphicData>
            </a:graphic>
          </wp:inline>
        </w:drawing>
      </w:r>
    </w:p>
    <w:p>
      <w:pPr>
        <w:pStyle w:val="Caption"/>
      </w:pPr>
      <w:r>
        <w:t>Figure 2. Plain VADER versus finVADER classification coverage and mean tone.</w:t>
      </w:r>
    </w:p>
    <w:p>
      <w:pPr>
        <w:pStyle w:val="Source"/>
      </w:pPr>
      <w:r>
        <w:t>Source: FINS5545 news headlines; student calculations; 2020–2023.</w:t>
      </w:r>
    </w:p>
    <w:p>
      <w:pPr>
        <w:spacing w:after="80"/>
      </w:pPr>
      <w:r>
        <w:t>finVADER reduces the proportion of exactly neutral classifications from 48.8% to 16.9%, suggesting that finance-specific words carry information that plain VADER misses. Its lower mean score also shows that model choice materially affects the index. This comparison remains descriptive; predictive value would require a separate test.</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Missing days and live use</w:t>
            </w:r>
          </w:p>
          <w:p>
            <w:pPr>
              <w:spacing w:after="0"/>
            </w:pPr>
            <w:r>
              <w:rPr>
                <w:rFonts w:ascii="Calibri" w:hAnsi="Calibri"/>
                <w:color w:val="24303F"/>
                <w:sz w:val="20"/>
              </w:rPr>
              <w:t>A ticker’s last score carries for at most five equity trading days, then becomes neutral. The filled signal is shifted one full trading day before 21-day smoothing. Fear/greed standardisation uses expanding history; the full-sample z-score is descriptive only.</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06</w:t>
      </w:r>
    </w:p>
    <w:p>
      <w:pPr>
        <w:pStyle w:val="Heading1"/>
        <w:spacing w:before="0"/>
      </w:pPr>
      <w:r>
        <w:t>Innovation: fusion with an honest null</w:t>
      </w:r>
    </w:p>
    <w:p>
      <w:pPr>
        <w:spacing w:after="160"/>
      </w:pPr>
      <w:r>
        <w:t>The innovation test introduces finance-specific sentiment into the allocation process and then evaluates whether any improvement survives higher turnover and transaction costs.</w:t>
      </w:r>
    </w:p>
    <w:p>
      <w:r>
        <w:t>At each monthly equity rebalance, the lagged 21-day finVADER signal is standardised across stocks and winsorised at +/-2.5. Equity Minimum-Variance target weights are multiplied by exp(lambda z) and then normalised, preserving long-only full investment. A modest positive tilt, lambda=+0.25, is specified in advance for the required before-and-after test. A separate grid from -0.75 to +0.75 is evaluated only during 2021-2022, leaving 2023 as an untouched holdout.</w:t>
      </w:r>
    </w:p>
    <w:tbl>
      <w:tblPr>
        <w:tblStyle w:val="TableGrid"/>
        <w:tblW w:type="dxa" w:w="9360"/>
        <w:jc w:val="left"/>
        <w:tblLayout w:type="fixed"/>
        <w:tblLook w:firstColumn="1" w:firstRow="1" w:lastColumn="0" w:lastRow="0" w:noHBand="0" w:noVBand="1" w:val="04A0"/>
        <w:tblInd w:w="120" w:type="dxa"/>
      </w:tblPr>
      <w:tblGrid>
        <w:gridCol w:w="2800"/>
        <w:gridCol w:w="1050"/>
        <w:gridCol w:w="950"/>
        <w:gridCol w:w="950"/>
        <w:gridCol w:w="1050"/>
        <w:gridCol w:w="2560"/>
      </w:tblGrid>
      <w:tr>
        <w:trPr>
          <w:tblHeader w:val="true"/>
        </w:trPr>
        <w:tc>
          <w:tcPr>
            <w:tcW w:type="dxa" w:w="2800"/>
            <w:tcMar>
              <w:top w:w="80" w:type="dxa"/>
              <w:start w:w="120" w:type="dxa"/>
              <w:bottom w:w="80" w:type="dxa"/>
              <w:end w:w="120" w:type="dxa"/>
            </w:tcMar>
            <w:vAlign w:val="center"/>
            <w:shd w:fill="F2F4F7"/>
          </w:tcPr>
          <w:p>
            <w:pPr>
              <w:spacing w:after="0"/>
            </w:pPr>
            <w:r>
              <w:rPr>
                <w:rFonts w:ascii="Calibri" w:hAnsi="Calibri"/>
                <w:b/>
                <w:color w:val="12263A"/>
                <w:sz w:val="16"/>
              </w:rPr>
              <w:t>2023 holdout</w:t>
            </w:r>
          </w:p>
        </w:tc>
        <w:tc>
          <w:tcPr>
            <w:tcW w:type="dxa" w:w="1050"/>
            <w:tcMar>
              <w:top w:w="80" w:type="dxa"/>
              <w:start w:w="120" w:type="dxa"/>
              <w:bottom w:w="80" w:type="dxa"/>
              <w:end w:w="120" w:type="dxa"/>
            </w:tcMar>
            <w:vAlign w:val="center"/>
            <w:shd w:fill="F2F4F7"/>
          </w:tcPr>
          <w:p>
            <w:pPr>
              <w:spacing w:after="0"/>
            </w:pPr>
            <w:r>
              <w:rPr>
                <w:rFonts w:ascii="Calibri" w:hAnsi="Calibri"/>
                <w:b/>
                <w:color w:val="12263A"/>
                <w:sz w:val="16"/>
              </w:rPr>
              <w:t>Return</w:t>
            </w:r>
          </w:p>
        </w:tc>
        <w:tc>
          <w:tcPr>
            <w:tcW w:type="dxa" w:w="950"/>
            <w:tcMar>
              <w:top w:w="80" w:type="dxa"/>
              <w:start w:w="120" w:type="dxa"/>
              <w:bottom w:w="80" w:type="dxa"/>
              <w:end w:w="120" w:type="dxa"/>
            </w:tcMar>
            <w:vAlign w:val="center"/>
            <w:shd w:fill="F2F4F7"/>
          </w:tcPr>
          <w:p>
            <w:pPr>
              <w:spacing w:after="0"/>
            </w:pPr>
            <w:r>
              <w:rPr>
                <w:rFonts w:ascii="Calibri" w:hAnsi="Calibri"/>
                <w:b/>
                <w:color w:val="12263A"/>
                <w:sz w:val="16"/>
              </w:rPr>
              <w:t>Vol.</w:t>
            </w:r>
          </w:p>
        </w:tc>
        <w:tc>
          <w:tcPr>
            <w:tcW w:type="dxa" w:w="950"/>
            <w:tcMar>
              <w:top w:w="80" w:type="dxa"/>
              <w:start w:w="120" w:type="dxa"/>
              <w:bottom w:w="80" w:type="dxa"/>
              <w:end w:w="120" w:type="dxa"/>
            </w:tcMar>
            <w:vAlign w:val="center"/>
            <w:shd w:fill="F2F4F7"/>
          </w:tcPr>
          <w:p>
            <w:pPr>
              <w:spacing w:after="0"/>
            </w:pPr>
            <w:r>
              <w:rPr>
                <w:rFonts w:ascii="Calibri" w:hAnsi="Calibri"/>
                <w:b/>
                <w:color w:val="12263A"/>
                <w:sz w:val="16"/>
              </w:rPr>
              <w:t>Sharpe</w:t>
            </w:r>
          </w:p>
        </w:tc>
        <w:tc>
          <w:tcPr>
            <w:tcW w:type="dxa" w:w="1050"/>
            <w:tcMar>
              <w:top w:w="80" w:type="dxa"/>
              <w:start w:w="120" w:type="dxa"/>
              <w:bottom w:w="80" w:type="dxa"/>
              <w:end w:w="120" w:type="dxa"/>
            </w:tcMar>
            <w:vAlign w:val="center"/>
            <w:shd w:fill="F2F4F7"/>
          </w:tcPr>
          <w:p>
            <w:pPr>
              <w:spacing w:after="0"/>
            </w:pPr>
            <w:r>
              <w:rPr>
                <w:rFonts w:ascii="Calibri" w:hAnsi="Calibri"/>
                <w:b/>
                <w:color w:val="12263A"/>
                <w:sz w:val="16"/>
              </w:rPr>
              <w:t>MDD</w:t>
            </w:r>
          </w:p>
        </w:tc>
        <w:tc>
          <w:tcPr>
            <w:tcW w:type="dxa" w:w="2560"/>
            <w:tcMar>
              <w:top w:w="80" w:type="dxa"/>
              <w:start w:w="120" w:type="dxa"/>
              <w:bottom w:w="80" w:type="dxa"/>
              <w:end w:w="120" w:type="dxa"/>
            </w:tcMar>
            <w:vAlign w:val="center"/>
            <w:shd w:fill="F2F4F7"/>
          </w:tcPr>
          <w:p>
            <w:pPr>
              <w:spacing w:after="0"/>
            </w:pPr>
            <w:r>
              <w:rPr>
                <w:rFonts w:ascii="Calibri" w:hAnsi="Calibri"/>
                <w:b/>
                <w:color w:val="12263A"/>
                <w:sz w:val="16"/>
              </w:rPr>
              <w:t>Turnover</w:t>
            </w:r>
          </w:p>
        </w:tc>
      </w:tr>
      <w:tr>
        <w:tc>
          <w:tcPr>
            <w:tcW w:type="dxa" w:w="2800"/>
            <w:tcMar>
              <w:top w:w="80" w:type="dxa"/>
              <w:start w:w="120" w:type="dxa"/>
              <w:bottom w:w="80" w:type="dxa"/>
              <w:end w:w="120" w:type="dxa"/>
            </w:tcMar>
          </w:tcPr>
          <w:p>
            <w:pPr>
              <w:spacing w:after="0"/>
            </w:pPr>
            <w:r>
              <w:rPr>
                <w:rFonts w:ascii="Calibri" w:hAnsi="Calibri"/>
                <w:color w:val="24303F"/>
                <w:sz w:val="16"/>
              </w:rPr>
              <w:t>Base Equity Minimum-Variance</w:t>
            </w:r>
          </w:p>
        </w:tc>
        <w:tc>
          <w:tcPr>
            <w:tcW w:type="dxa" w:w="1050"/>
            <w:tcMar>
              <w:top w:w="80" w:type="dxa"/>
              <w:start w:w="120" w:type="dxa"/>
              <w:bottom w:w="80" w:type="dxa"/>
              <w:end w:w="120" w:type="dxa"/>
            </w:tcMar>
          </w:tcPr>
          <w:p>
            <w:pPr>
              <w:spacing w:after="0"/>
            </w:pPr>
            <w:r>
              <w:rPr>
                <w:rFonts w:ascii="Calibri" w:hAnsi="Calibri"/>
                <w:color w:val="24303F"/>
                <w:sz w:val="16"/>
              </w:rPr>
              <w:t>5.1%</w:t>
            </w:r>
          </w:p>
        </w:tc>
        <w:tc>
          <w:tcPr>
            <w:tcW w:type="dxa" w:w="950"/>
            <w:tcMar>
              <w:top w:w="80" w:type="dxa"/>
              <w:start w:w="120" w:type="dxa"/>
              <w:bottom w:w="80" w:type="dxa"/>
              <w:end w:w="120" w:type="dxa"/>
            </w:tcMar>
          </w:tcPr>
          <w:p>
            <w:pPr>
              <w:spacing w:after="0"/>
            </w:pPr>
            <w:r>
              <w:rPr>
                <w:rFonts w:ascii="Calibri" w:hAnsi="Calibri"/>
                <w:color w:val="24303F"/>
                <w:sz w:val="16"/>
              </w:rPr>
              <w:t>11.0%</w:t>
            </w:r>
          </w:p>
        </w:tc>
        <w:tc>
          <w:tcPr>
            <w:tcW w:type="dxa" w:w="950"/>
            <w:tcMar>
              <w:top w:w="80" w:type="dxa"/>
              <w:start w:w="120" w:type="dxa"/>
              <w:bottom w:w="80" w:type="dxa"/>
              <w:end w:w="120" w:type="dxa"/>
            </w:tcMar>
          </w:tcPr>
          <w:p>
            <w:pPr>
              <w:spacing w:after="0"/>
            </w:pPr>
            <w:r>
              <w:rPr>
                <w:rFonts w:ascii="Calibri" w:hAnsi="Calibri"/>
                <w:color w:val="24303F"/>
                <w:sz w:val="16"/>
              </w:rPr>
              <w:t>0.51</w:t>
            </w:r>
          </w:p>
        </w:tc>
        <w:tc>
          <w:tcPr>
            <w:tcW w:type="dxa" w:w="1050"/>
            <w:tcMar>
              <w:top w:w="80" w:type="dxa"/>
              <w:start w:w="120" w:type="dxa"/>
              <w:bottom w:w="80" w:type="dxa"/>
              <w:end w:w="120" w:type="dxa"/>
            </w:tcMar>
          </w:tcPr>
          <w:p>
            <w:pPr>
              <w:spacing w:after="0"/>
            </w:pPr>
            <w:r>
              <w:rPr>
                <w:rFonts w:ascii="Calibri" w:hAnsi="Calibri"/>
                <w:color w:val="24303F"/>
                <w:sz w:val="16"/>
              </w:rPr>
              <w:t>-8.6%</w:t>
            </w:r>
          </w:p>
        </w:tc>
        <w:tc>
          <w:tcPr>
            <w:tcW w:type="dxa" w:w="2560"/>
            <w:tcMar>
              <w:top w:w="80" w:type="dxa"/>
              <w:start w:w="120" w:type="dxa"/>
              <w:bottom w:w="80" w:type="dxa"/>
              <w:end w:w="120" w:type="dxa"/>
            </w:tcMar>
          </w:tcPr>
          <w:p>
            <w:pPr>
              <w:spacing w:after="0"/>
            </w:pPr>
            <w:r>
              <w:rPr>
                <w:rFonts w:ascii="Calibri" w:hAnsi="Calibri"/>
                <w:color w:val="24303F"/>
                <w:sz w:val="16"/>
              </w:rPr>
              <w:t>0.27x</w:t>
            </w:r>
          </w:p>
        </w:tc>
      </w:tr>
      <w:tr>
        <w:tc>
          <w:tcPr>
            <w:tcW w:type="dxa" w:w="2800"/>
            <w:tcMar>
              <w:top w:w="80" w:type="dxa"/>
              <w:start w:w="120" w:type="dxa"/>
              <w:bottom w:w="80" w:type="dxa"/>
              <w:end w:w="120" w:type="dxa"/>
            </w:tcMar>
            <w:shd w:fill="FAFBFC"/>
          </w:tcPr>
          <w:p>
            <w:pPr>
              <w:spacing w:after="0"/>
            </w:pPr>
            <w:r>
              <w:rPr>
                <w:rFonts w:ascii="Calibri" w:hAnsi="Calibri"/>
                <w:color w:val="24303F"/>
                <w:sz w:val="16"/>
              </w:rPr>
              <w:t>Finance-Sentiment Tilt</w:t>
            </w:r>
          </w:p>
        </w:tc>
        <w:tc>
          <w:tcPr>
            <w:tcW w:type="dxa" w:w="1050"/>
            <w:tcMar>
              <w:top w:w="80" w:type="dxa"/>
              <w:start w:w="120" w:type="dxa"/>
              <w:bottom w:w="80" w:type="dxa"/>
              <w:end w:w="120" w:type="dxa"/>
            </w:tcMar>
            <w:shd w:fill="FAFBFC"/>
          </w:tcPr>
          <w:p>
            <w:pPr>
              <w:spacing w:after="0"/>
            </w:pPr>
            <w:r>
              <w:rPr>
                <w:rFonts w:ascii="Calibri" w:hAnsi="Calibri"/>
                <w:color w:val="24303F"/>
                <w:sz w:val="16"/>
              </w:rPr>
              <w:t>5.3%</w:t>
            </w:r>
          </w:p>
        </w:tc>
        <w:tc>
          <w:tcPr>
            <w:tcW w:type="dxa" w:w="950"/>
            <w:tcMar>
              <w:top w:w="80" w:type="dxa"/>
              <w:start w:w="120" w:type="dxa"/>
              <w:bottom w:w="80" w:type="dxa"/>
              <w:end w:w="120" w:type="dxa"/>
            </w:tcMar>
            <w:shd w:fill="FAFBFC"/>
          </w:tcPr>
          <w:p>
            <w:pPr>
              <w:spacing w:after="0"/>
            </w:pPr>
            <w:r>
              <w:rPr>
                <w:rFonts w:ascii="Calibri" w:hAnsi="Calibri"/>
                <w:color w:val="24303F"/>
                <w:sz w:val="16"/>
              </w:rPr>
              <w:t>11.0%</w:t>
            </w:r>
          </w:p>
        </w:tc>
        <w:tc>
          <w:tcPr>
            <w:tcW w:type="dxa" w:w="950"/>
            <w:tcMar>
              <w:top w:w="80" w:type="dxa"/>
              <w:start w:w="120" w:type="dxa"/>
              <w:bottom w:w="80" w:type="dxa"/>
              <w:end w:w="120" w:type="dxa"/>
            </w:tcMar>
            <w:shd w:fill="FAFBFC"/>
          </w:tcPr>
          <w:p>
            <w:pPr>
              <w:spacing w:after="0"/>
            </w:pPr>
            <w:r>
              <w:rPr>
                <w:rFonts w:ascii="Calibri" w:hAnsi="Calibri"/>
                <w:color w:val="24303F"/>
                <w:sz w:val="16"/>
              </w:rPr>
              <w:t>0.52</w:t>
            </w:r>
          </w:p>
        </w:tc>
        <w:tc>
          <w:tcPr>
            <w:tcW w:type="dxa" w:w="1050"/>
            <w:tcMar>
              <w:top w:w="80" w:type="dxa"/>
              <w:start w:w="120" w:type="dxa"/>
              <w:bottom w:w="80" w:type="dxa"/>
              <w:end w:w="120" w:type="dxa"/>
            </w:tcMar>
            <w:shd w:fill="FAFBFC"/>
          </w:tcPr>
          <w:p>
            <w:pPr>
              <w:spacing w:after="0"/>
            </w:pPr>
            <w:r>
              <w:rPr>
                <w:rFonts w:ascii="Calibri" w:hAnsi="Calibri"/>
                <w:color w:val="24303F"/>
                <w:sz w:val="16"/>
              </w:rPr>
              <w:t>-8.5%</w:t>
            </w:r>
          </w:p>
        </w:tc>
        <w:tc>
          <w:tcPr>
            <w:tcW w:type="dxa" w:w="2560"/>
            <w:tcMar>
              <w:top w:w="80" w:type="dxa"/>
              <w:start w:w="120" w:type="dxa"/>
              <w:bottom w:w="80" w:type="dxa"/>
              <w:end w:w="120" w:type="dxa"/>
            </w:tcMar>
            <w:shd w:fill="FAFBFC"/>
          </w:tcPr>
          <w:p>
            <w:pPr>
              <w:spacing w:after="0"/>
            </w:pPr>
            <w:r>
              <w:rPr>
                <w:rFonts w:ascii="Calibri" w:hAnsi="Calibri"/>
                <w:color w:val="24303F"/>
                <w:sz w:val="16"/>
              </w:rPr>
              <w:t>1.04x</w:t>
            </w:r>
          </w:p>
        </w:tc>
      </w:tr>
    </w:tbl>
    <w:p>
      <w:pPr>
        <w:pStyle w:val="Caption"/>
      </w:pPr>
      <w:r>
        <w:t>Table 5. Required before/after fusion test on the untouched 2023 holdout, net of 10 bps one-way costs.</w:t>
      </w:r>
    </w:p>
    <w:p>
      <w:pPr>
        <w:pStyle w:val="Source"/>
      </w:pPr>
      <w:r>
        <w:t>Source: results/tables/fusion_performance.csv. Base is Equity Equal-Weight; signal is lagged finVADER.</w:t>
      </w:r>
    </w:p>
    <w:p>
      <w:pPr>
        <w:spacing w:after="0"/>
        <w:jc w:val="center"/>
      </w:pPr>
      <w:r>
        <w:drawing>
          <wp:inline xmlns:a="http://schemas.openxmlformats.org/drawingml/2006/main" xmlns:pic="http://schemas.openxmlformats.org/drawingml/2006/picture">
            <wp:extent cx="5257800" cy="2571948"/>
            <wp:docPr id="3" name="Picture 3"/>
            <wp:cNvGraphicFramePr>
              <a:graphicFrameLocks noChangeAspect="1"/>
            </wp:cNvGraphicFramePr>
            <a:graphic>
              <a:graphicData uri="http://schemas.openxmlformats.org/drawingml/2006/picture">
                <pic:pic>
                  <pic:nvPicPr>
                    <pic:cNvPr id="0" name="fusion_holdout_comparison.png"/>
                    <pic:cNvPicPr/>
                  </pic:nvPicPr>
                  <pic:blipFill>
                    <a:blip r:embed="rId13"/>
                    <a:stretch>
                      <a:fillRect/>
                    </a:stretch>
                  </pic:blipFill>
                  <pic:spPr>
                    <a:xfrm>
                      <a:off x="0" y="0"/>
                      <a:ext cx="5257800" cy="2571948"/>
                    </a:xfrm>
                    <a:prstGeom prst="rect"/>
                  </pic:spPr>
                </pic:pic>
              </a:graphicData>
            </a:graphic>
          </wp:inline>
        </w:drawing>
      </w:r>
    </w:p>
    <w:p>
      <w:pPr>
        <w:pStyle w:val="Caption"/>
      </w:pPr>
      <w:r>
        <w:t>Figure 3. Growth of $1 for the base and pre-set sentiment candidate in 2023.</w:t>
      </w:r>
    </w:p>
    <w:p>
      <w:pPr>
        <w:pStyle w:val="Source"/>
      </w:pPr>
      <w:r>
        <w:t>Source: FINS5545 equity returns and headlines; student calculations; 10 bps one-way cost.</w:t>
      </w:r>
    </w:p>
    <w:p>
      <w:pPr>
        <w:spacing w:after="80"/>
      </w:pPr>
      <w:r>
        <w:t>The pre-specified candidate finishes slightly ahead in 2023, but the margin is narrow and sensitive to transaction costs. The discovery-period grid selects lambda=0.00, while the +0.25 candidate creates more turnover. The evidence therefore does not support treating the tilt as a reliable source of alpha.</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1EC"/>
            <w:tcBorders>
              <w:start w:val="single" w:sz="18" w:color="E76F51"/>
            </w:tcBorders>
          </w:tcPr>
          <w:p>
            <w:pPr>
              <w:spacing w:after="40"/>
            </w:pPr>
            <w:r>
              <w:rPr>
                <w:rFonts w:ascii="Calibri" w:hAnsi="Calibri"/>
                <w:b/>
                <w:color w:val="12263A"/>
                <w:sz w:val="21"/>
              </w:rPr>
              <w:t>Governance decision</w:t>
            </w:r>
          </w:p>
          <w:p>
            <w:pPr>
              <w:spacing w:after="0"/>
            </w:pPr>
            <w:r>
              <w:rPr>
                <w:rFonts w:ascii="Calibri" w:hAnsi="Calibri"/>
                <w:color w:val="24303F"/>
                <w:sz w:val="20"/>
              </w:rPr>
              <w:t>Do not productise the tilt. Preserve it as a monitored research layer, require rolling pseudo-holdouts across additional regimes, and introduce an explicit turnover budget before reconsideration.</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07</w:t>
      </w:r>
    </w:p>
    <w:p>
      <w:pPr>
        <w:pStyle w:val="Heading1"/>
        <w:spacing w:before="0"/>
      </w:pPr>
      <w:r>
        <w:t>Investor journey and recommendations</w:t>
      </w:r>
    </w:p>
    <w:p>
      <w:pPr>
        <w:spacing w:after="160"/>
      </w:pPr>
      <w:r>
        <w:t>The app organises the evidence around five tasks that users can complete without rerunning the underlying models.</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tcMar>
              <w:top w:w="80" w:type="dxa"/>
              <w:start w:w="120" w:type="dxa"/>
              <w:bottom w:w="80" w:type="dxa"/>
              <w:end w:w="120" w:type="dxa"/>
            </w:tcMar>
            <w:vAlign w:val="center"/>
            <w:shd w:fill="F2F4F7"/>
          </w:tcPr>
          <w:p>
            <w:pPr>
              <w:spacing w:after="0"/>
            </w:pPr>
            <w:r>
              <w:rPr>
                <w:rFonts w:ascii="Calibri" w:hAnsi="Calibri"/>
                <w:b/>
                <w:color w:val="12263A"/>
                <w:sz w:val="17"/>
              </w:rPr>
              <w:t>App task</w:t>
            </w:r>
          </w:p>
        </w:tc>
        <w:tc>
          <w:tcPr>
            <w:tcW w:type="dxa" w:w="7560"/>
            <w:tcMar>
              <w:top w:w="80" w:type="dxa"/>
              <w:start w:w="120" w:type="dxa"/>
              <w:bottom w:w="80" w:type="dxa"/>
              <w:end w:w="120" w:type="dxa"/>
            </w:tcMar>
            <w:vAlign w:val="center"/>
            <w:shd w:fill="F2F4F7"/>
          </w:tcPr>
          <w:p>
            <w:pPr>
              <w:spacing w:after="0"/>
            </w:pPr>
            <w:r>
              <w:rPr>
                <w:rFonts w:ascii="Calibri" w:hAnsi="Calibri"/>
                <w:b/>
                <w:color w:val="12263A"/>
                <w:sz w:val="17"/>
              </w:rPr>
              <w:t>What the user can do</w:t>
            </w:r>
          </w:p>
        </w:tc>
      </w:tr>
      <w:tr>
        <w:tc>
          <w:tcPr>
            <w:tcW w:type="dxa" w:w="1800"/>
            <w:tcMar>
              <w:top w:w="80" w:type="dxa"/>
              <w:start w:w="120" w:type="dxa"/>
              <w:bottom w:w="80" w:type="dxa"/>
              <w:end w:w="120" w:type="dxa"/>
            </w:tcMar>
          </w:tcPr>
          <w:p>
            <w:pPr>
              <w:spacing w:after="0"/>
            </w:pPr>
            <w:r>
              <w:rPr>
                <w:rFonts w:ascii="Calibri" w:hAnsi="Calibri"/>
                <w:color w:val="24303F"/>
                <w:sz w:val="17"/>
              </w:rPr>
              <w:t>Compare</w:t>
            </w:r>
          </w:p>
        </w:tc>
        <w:tc>
          <w:tcPr>
            <w:tcW w:type="dxa" w:w="7560"/>
            <w:tcMar>
              <w:top w:w="80" w:type="dxa"/>
              <w:start w:w="120" w:type="dxa"/>
              <w:bottom w:w="80" w:type="dxa"/>
              <w:end w:w="120" w:type="dxa"/>
            </w:tcMar>
          </w:tcPr>
          <w:p>
            <w:pPr>
              <w:spacing w:after="0"/>
            </w:pPr>
            <w:r>
              <w:rPr>
                <w:rFonts w:ascii="Calibri" w:hAnsi="Calibri"/>
                <w:color w:val="24303F"/>
                <w:sz w:val="17"/>
              </w:rPr>
              <w:t>Filter universes; rank all twelve funds; overlay growth paths.</w:t>
            </w:r>
          </w:p>
        </w:tc>
      </w:tr>
      <w:tr>
        <w:tc>
          <w:tcPr>
            <w:tcW w:type="dxa" w:w="1800"/>
            <w:tcMar>
              <w:top w:w="80" w:type="dxa"/>
              <w:start w:w="120" w:type="dxa"/>
              <w:bottom w:w="80" w:type="dxa"/>
              <w:end w:w="120" w:type="dxa"/>
            </w:tcMar>
            <w:shd w:fill="FAFBFC"/>
          </w:tcPr>
          <w:p>
            <w:pPr>
              <w:spacing w:after="0"/>
            </w:pPr>
            <w:r>
              <w:rPr>
                <w:rFonts w:ascii="Calibri" w:hAnsi="Calibri"/>
                <w:color w:val="24303F"/>
                <w:sz w:val="17"/>
              </w:rPr>
              <w:t>Fact sheet</w:t>
            </w:r>
          </w:p>
        </w:tc>
        <w:tc>
          <w:tcPr>
            <w:tcW w:type="dxa" w:w="7560"/>
            <w:tcMar>
              <w:top w:w="80" w:type="dxa"/>
              <w:start w:w="120" w:type="dxa"/>
              <w:bottom w:w="80" w:type="dxa"/>
              <w:end w:w="120" w:type="dxa"/>
            </w:tcMar>
            <w:shd w:fill="FAFBFC"/>
          </w:tcPr>
          <w:p>
            <w:pPr>
              <w:spacing w:after="0"/>
            </w:pPr>
            <w:r>
              <w:rPr>
                <w:rFonts w:ascii="Calibri" w:hAnsi="Calibri"/>
                <w:color w:val="24303F"/>
                <w:sz w:val="17"/>
              </w:rPr>
              <w:t>Choose any fund; inspect growth, drawdown, net metrics, turnover, and latest holdings.</w:t>
            </w:r>
          </w:p>
        </w:tc>
      </w:tr>
      <w:tr>
        <w:tc>
          <w:tcPr>
            <w:tcW w:type="dxa" w:w="1800"/>
            <w:tcMar>
              <w:top w:w="80" w:type="dxa"/>
              <w:start w:w="120" w:type="dxa"/>
              <w:bottom w:w="80" w:type="dxa"/>
              <w:end w:w="120" w:type="dxa"/>
            </w:tcMar>
          </w:tcPr>
          <w:p>
            <w:pPr>
              <w:spacing w:after="0"/>
            </w:pPr>
            <w:r>
              <w:rPr>
                <w:rFonts w:ascii="Calibri" w:hAnsi="Calibri"/>
                <w:color w:val="24303F"/>
                <w:sz w:val="17"/>
              </w:rPr>
              <w:t>Allocation lab</w:t>
            </w:r>
          </w:p>
        </w:tc>
        <w:tc>
          <w:tcPr>
            <w:tcW w:type="dxa" w:w="7560"/>
            <w:tcMar>
              <w:top w:w="80" w:type="dxa"/>
              <w:start w:w="120" w:type="dxa"/>
              <w:bottom w:w="80" w:type="dxa"/>
              <w:end w:w="120" w:type="dxa"/>
            </w:tcMar>
          </w:tcPr>
          <w:p>
            <w:pPr>
              <w:spacing w:after="0"/>
            </w:pPr>
            <w:r>
              <w:rPr>
                <w:rFonts w:ascii="Calibri" w:hAnsi="Calibri"/>
                <w:color w:val="24303F"/>
                <w:sz w:val="17"/>
              </w:rPr>
              <w:t>Blend 2–4 funds with normalised sliders and an annual fee; view an illustrative constant-mix path.</w:t>
            </w:r>
          </w:p>
        </w:tc>
      </w:tr>
      <w:tr>
        <w:tc>
          <w:tcPr>
            <w:tcW w:type="dxa" w:w="1800"/>
            <w:tcMar>
              <w:top w:w="80" w:type="dxa"/>
              <w:start w:w="120" w:type="dxa"/>
              <w:bottom w:w="80" w:type="dxa"/>
              <w:end w:w="120" w:type="dxa"/>
            </w:tcMar>
            <w:shd w:fill="FAFBFC"/>
          </w:tcPr>
          <w:p>
            <w:pPr>
              <w:spacing w:after="0"/>
            </w:pPr>
            <w:r>
              <w:rPr>
                <w:rFonts w:ascii="Calibri" w:hAnsi="Calibri"/>
                <w:color w:val="24303F"/>
                <w:sz w:val="17"/>
              </w:rPr>
              <w:t>Sentiment</w:t>
            </w:r>
          </w:p>
        </w:tc>
        <w:tc>
          <w:tcPr>
            <w:tcW w:type="dxa" w:w="7560"/>
            <w:tcMar>
              <w:top w:w="80" w:type="dxa"/>
              <w:start w:w="120" w:type="dxa"/>
              <w:bottom w:w="80" w:type="dxa"/>
              <w:end w:w="120" w:type="dxa"/>
            </w:tcMar>
            <w:shd w:fill="FAFBFC"/>
          </w:tcPr>
          <w:p>
            <w:pPr>
              <w:spacing w:after="0"/>
            </w:pPr>
            <w:r>
              <w:rPr>
                <w:rFonts w:ascii="Calibri" w:hAnsi="Calibri"/>
                <w:color w:val="24303F"/>
                <w:sz w:val="17"/>
              </w:rPr>
              <w:t>Read fear/greed, sector tone, model coverage, fusion holdout, and cost scenarios.</w:t>
            </w:r>
          </w:p>
        </w:tc>
      </w:tr>
      <w:tr>
        <w:tc>
          <w:tcPr>
            <w:tcW w:type="dxa" w:w="1800"/>
            <w:tcMar>
              <w:top w:w="80" w:type="dxa"/>
              <w:start w:w="120" w:type="dxa"/>
              <w:bottom w:w="80" w:type="dxa"/>
              <w:end w:w="120" w:type="dxa"/>
            </w:tcMar>
          </w:tcPr>
          <w:p>
            <w:pPr>
              <w:spacing w:after="0"/>
            </w:pPr>
            <w:r>
              <w:rPr>
                <w:rFonts w:ascii="Calibri" w:hAnsi="Calibri"/>
                <w:color w:val="24303F"/>
                <w:sz w:val="17"/>
              </w:rPr>
              <w:t>Method &amp; limits</w:t>
            </w:r>
          </w:p>
        </w:tc>
        <w:tc>
          <w:tcPr>
            <w:tcW w:type="dxa" w:w="7560"/>
            <w:tcMar>
              <w:top w:w="80" w:type="dxa"/>
              <w:start w:w="120" w:type="dxa"/>
              <w:bottom w:w="80" w:type="dxa"/>
              <w:end w:w="120" w:type="dxa"/>
            </w:tcMar>
          </w:tcPr>
          <w:p>
            <w:pPr>
              <w:spacing w:after="0"/>
            </w:pPr>
            <w:r>
              <w:rPr>
                <w:rFonts w:ascii="Calibri" w:hAnsi="Calibri"/>
                <w:color w:val="24303F"/>
                <w:sz w:val="17"/>
              </w:rPr>
              <w:t>See the backtest contract, no-look-ahead controls, and non-advice warnings.</w:t>
            </w:r>
          </w:p>
        </w:tc>
      </w:tr>
    </w:tbl>
    <w:p>
      <w:pPr>
        <w:pStyle w:val="Caption"/>
      </w:pPr>
      <w:r>
        <w:t>Table 6. MarketLens precomputed Streamlit customer journey.</w:t>
      </w:r>
    </w:p>
    <w:p>
      <w:pPr>
        <w:pStyle w:val="Source"/>
      </w:pPr>
      <w:r>
        <w:t>Source: streamlit_app.py. The deployed app reads committed results CSVs only; it performs no NLP, download, or optimisation.</w:t>
      </w:r>
    </w:p>
    <w:p>
      <w:pPr>
        <w:pStyle w:val="Heading3"/>
      </w:pPr>
      <w:r>
        <w:t>Recommendation 1 — launch comparison before recommendation</w:t>
      </w:r>
    </w:p>
    <w:p>
      <w:r>
        <w:t>Use Equity Equal-Weight as the transparent equity benchmark and Combined Risk Parity as the mixed-asset alternative. For each fund, show return together with volatility, maximum drawdown, turnover, and holdings.</w:t>
      </w:r>
    </w:p>
    <w:p>
      <w:pPr>
        <w:pStyle w:val="Heading3"/>
      </w:pPr>
      <w:r>
        <w:t>Recommendation 2 — treat crypto as a risk-labelled satellite</w:t>
      </w:r>
    </w:p>
    <w:p>
      <w:r>
        <w:t>The strong historical crypto return should not obscure drawdowns above 70%. For a general-investor interface, crypto allocation controls should therefore be accompanied by a clear high-risk acknowledgement.</w:t>
      </w:r>
    </w:p>
    <w:p>
      <w:pPr>
        <w:pStyle w:val="Heading3"/>
      </w:pPr>
      <w:r>
        <w:t>Recommendation 3 — research sentiment under a turnover budget</w:t>
      </w:r>
    </w:p>
    <w:p>
      <w:r>
        <w:t>Keep the sector and fear/greed indices as explanatory analytics. Future fusion tests should use rolling discovery and holdout windows, an explicit monthly turnover limit, several pre-specified smoothing settings, and cost thresholds chosen before the results are known.</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Critical reflection</w:t>
            </w:r>
          </w:p>
          <w:p>
            <w:pPr>
              <w:spacing w:after="0"/>
            </w:pPr>
            <w:r>
              <w:rPr>
                <w:rFonts w:ascii="Calibri" w:hAnsi="Calibri"/>
                <w:color w:val="24303F"/>
                <w:sz w:val="20"/>
              </w:rPr>
              <w:t>The most valuable innovation finding is not the small positive 2023 difference; it is the process that prevents that difference from becoming a claim. Model coverage, timing, selection, turnover and cost all have to survive separate checks.</w:t>
            </w:r>
          </w:p>
        </w:tc>
      </w:tr>
    </w:tbl>
    <w:p>
      <w:pPr>
        <w:spacing w:after="40"/>
      </w:pPr>
      <w:r>
        <w:rPr>
          <w:rFonts w:ascii="Calibri" w:hAnsi="Calibri"/>
          <w:i w:val="0"/>
          <w:color w:val="24303F"/>
          <w:sz w:val="22"/>
        </w:rPr>
      </w:r>
    </w:p>
    <w:p>
      <w:r>
        <w:t>The main discussion ends here (eight pages including the cover). The appendices contain the required exhibits, detailed results, reproducibility checks, and references; they are excluded from the narrative page limit.</w:t>
      </w:r>
    </w:p>
    <w:p>
      <w:r>
        <w:br w:type="page"/>
      </w:r>
    </w:p>
    <w:p>
      <w:pPr>
        <w:spacing w:after="40"/>
      </w:pPr>
      <w:r>
        <w:rPr>
          <w:rFonts w:ascii="Calibri" w:hAnsi="Calibri"/>
          <w:b/>
          <w:color w:val="2A9D8F"/>
          <w:sz w:val="18"/>
        </w:rPr>
        <w:t>APPENDIX A</w:t>
      </w:r>
    </w:p>
    <w:p>
      <w:pPr>
        <w:pStyle w:val="Heading1"/>
        <w:spacing w:before="0"/>
      </w:pPr>
      <w:r>
        <w:t>Required exhibit: full performance table</w:t>
      </w:r>
    </w:p>
    <w:p>
      <w:pPr>
        <w:spacing w:after="160"/>
      </w:pPr>
      <w:r>
        <w:rPr>
          <w:rFonts w:ascii="Calibri" w:hAnsi="Calibri"/>
          <w:i w:val="0"/>
          <w:color w:val="667085"/>
          <w:sz w:val="21"/>
        </w:rPr>
        <w:t>All twelve funds; monthly walk-forward OOS; 2021–2023; net of 10 bps one-way costs.</w:t>
      </w:r>
    </w:p>
    <w:tbl>
      <w:tblPr>
        <w:tblStyle w:val="TableGrid"/>
        <w:tblW w:type="dxa" w:w="9360"/>
        <w:jc w:val="left"/>
        <w:tblLayout w:type="fixed"/>
        <w:tblLook w:firstColumn="1" w:firstRow="1" w:lastColumn="0" w:lastRow="0" w:noHBand="0" w:noVBand="1" w:val="04A0"/>
        <w:tblInd w:w="120" w:type="dxa"/>
      </w:tblPr>
      <w:tblGrid>
        <w:gridCol w:w="3000"/>
        <w:gridCol w:w="1050"/>
        <w:gridCol w:w="950"/>
        <w:gridCol w:w="900"/>
        <w:gridCol w:w="1050"/>
        <w:gridCol w:w="2410"/>
      </w:tblGrid>
      <w:tr>
        <w:trPr>
          <w:tblHeader w:val="true"/>
        </w:trPr>
        <w:tc>
          <w:tcPr>
            <w:tcW w:type="dxa" w:w="3000"/>
            <w:tcMar>
              <w:top w:w="80" w:type="dxa"/>
              <w:start w:w="120" w:type="dxa"/>
              <w:bottom w:w="80" w:type="dxa"/>
              <w:end w:w="120" w:type="dxa"/>
            </w:tcMar>
            <w:vAlign w:val="center"/>
            <w:shd w:fill="F2F4F7"/>
          </w:tcPr>
          <w:p>
            <w:pPr>
              <w:spacing w:after="0"/>
            </w:pPr>
            <w:r>
              <w:rPr>
                <w:rFonts w:ascii="Calibri" w:hAnsi="Calibri"/>
                <w:b/>
                <w:color w:val="12263A"/>
                <w:sz w:val="14"/>
              </w:rPr>
              <w:t>Fund</w:t>
            </w:r>
          </w:p>
        </w:tc>
        <w:tc>
          <w:tcPr>
            <w:tcW w:type="dxa" w:w="1050"/>
            <w:tcMar>
              <w:top w:w="80" w:type="dxa"/>
              <w:start w:w="120" w:type="dxa"/>
              <w:bottom w:w="80" w:type="dxa"/>
              <w:end w:w="120" w:type="dxa"/>
            </w:tcMar>
            <w:vAlign w:val="center"/>
            <w:shd w:fill="F2F4F7"/>
          </w:tcPr>
          <w:p>
            <w:pPr>
              <w:spacing w:after="0"/>
            </w:pPr>
            <w:r>
              <w:rPr>
                <w:rFonts w:ascii="Calibri" w:hAnsi="Calibri"/>
                <w:b/>
                <w:color w:val="12263A"/>
                <w:sz w:val="14"/>
              </w:rPr>
              <w:t>Return</w:t>
            </w:r>
          </w:p>
        </w:tc>
        <w:tc>
          <w:tcPr>
            <w:tcW w:type="dxa" w:w="950"/>
            <w:tcMar>
              <w:top w:w="80" w:type="dxa"/>
              <w:start w:w="120" w:type="dxa"/>
              <w:bottom w:w="80" w:type="dxa"/>
              <w:end w:w="120" w:type="dxa"/>
            </w:tcMar>
            <w:vAlign w:val="center"/>
            <w:shd w:fill="F2F4F7"/>
          </w:tcPr>
          <w:p>
            <w:pPr>
              <w:spacing w:after="0"/>
            </w:pPr>
            <w:r>
              <w:rPr>
                <w:rFonts w:ascii="Calibri" w:hAnsi="Calibri"/>
                <w:b/>
                <w:color w:val="12263A"/>
                <w:sz w:val="14"/>
              </w:rPr>
              <w:t>Vol.</w:t>
            </w:r>
          </w:p>
        </w:tc>
        <w:tc>
          <w:tcPr>
            <w:tcW w:type="dxa" w:w="900"/>
            <w:tcMar>
              <w:top w:w="80" w:type="dxa"/>
              <w:start w:w="120" w:type="dxa"/>
              <w:bottom w:w="80" w:type="dxa"/>
              <w:end w:w="120" w:type="dxa"/>
            </w:tcMar>
            <w:vAlign w:val="center"/>
            <w:shd w:fill="F2F4F7"/>
          </w:tcPr>
          <w:p>
            <w:pPr>
              <w:spacing w:after="0"/>
            </w:pPr>
            <w:r>
              <w:rPr>
                <w:rFonts w:ascii="Calibri" w:hAnsi="Calibri"/>
                <w:b/>
                <w:color w:val="12263A"/>
                <w:sz w:val="14"/>
              </w:rPr>
              <w:t>Sharpe</w:t>
            </w:r>
          </w:p>
        </w:tc>
        <w:tc>
          <w:tcPr>
            <w:tcW w:type="dxa" w:w="1050"/>
            <w:tcMar>
              <w:top w:w="80" w:type="dxa"/>
              <w:start w:w="120" w:type="dxa"/>
              <w:bottom w:w="80" w:type="dxa"/>
              <w:end w:w="120" w:type="dxa"/>
            </w:tcMar>
            <w:vAlign w:val="center"/>
            <w:shd w:fill="F2F4F7"/>
          </w:tcPr>
          <w:p>
            <w:pPr>
              <w:spacing w:after="0"/>
            </w:pPr>
            <w:r>
              <w:rPr>
                <w:rFonts w:ascii="Calibri" w:hAnsi="Calibri"/>
                <w:b/>
                <w:color w:val="12263A"/>
                <w:sz w:val="14"/>
              </w:rPr>
              <w:t>MDD</w:t>
            </w:r>
          </w:p>
        </w:tc>
        <w:tc>
          <w:tcPr>
            <w:tcW w:type="dxa" w:w="2410"/>
            <w:tcMar>
              <w:top w:w="80" w:type="dxa"/>
              <w:start w:w="120" w:type="dxa"/>
              <w:bottom w:w="80" w:type="dxa"/>
              <w:end w:w="120" w:type="dxa"/>
            </w:tcMar>
            <w:vAlign w:val="center"/>
            <w:shd w:fill="F2F4F7"/>
          </w:tcPr>
          <w:p>
            <w:pPr>
              <w:spacing w:after="0"/>
            </w:pPr>
            <w:r>
              <w:rPr>
                <w:rFonts w:ascii="Calibri" w:hAnsi="Calibri"/>
                <w:b/>
                <w:color w:val="12263A"/>
                <w:sz w:val="14"/>
              </w:rPr>
              <w:t>Turnover/yr</w:t>
            </w:r>
          </w:p>
        </w:tc>
      </w:tr>
      <w:tr>
        <w:tc>
          <w:tcPr>
            <w:tcW w:type="dxa" w:w="3000"/>
            <w:tcMar>
              <w:top w:w="80" w:type="dxa"/>
              <w:start w:w="120" w:type="dxa"/>
              <w:bottom w:w="80" w:type="dxa"/>
              <w:end w:w="120" w:type="dxa"/>
            </w:tcMar>
          </w:tcPr>
          <w:p>
            <w:pPr>
              <w:spacing w:after="0"/>
            </w:pPr>
            <w:r>
              <w:rPr>
                <w:rFonts w:ascii="Calibri" w:hAnsi="Calibri"/>
                <w:color w:val="24303F"/>
                <w:sz w:val="14"/>
              </w:rPr>
              <w:t>Equity Equal-Weight</w:t>
            </w:r>
          </w:p>
        </w:tc>
        <w:tc>
          <w:tcPr>
            <w:tcW w:type="dxa" w:w="1050"/>
            <w:tcMar>
              <w:top w:w="80" w:type="dxa"/>
              <w:start w:w="120" w:type="dxa"/>
              <w:bottom w:w="80" w:type="dxa"/>
              <w:end w:w="120" w:type="dxa"/>
            </w:tcMar>
          </w:tcPr>
          <w:p>
            <w:pPr>
              <w:spacing w:after="0"/>
            </w:pPr>
            <w:r>
              <w:rPr>
                <w:rFonts w:ascii="Calibri" w:hAnsi="Calibri"/>
                <w:color w:val="24303F"/>
                <w:sz w:val="14"/>
              </w:rPr>
              <w:t>12.6%</w:t>
            </w:r>
          </w:p>
        </w:tc>
        <w:tc>
          <w:tcPr>
            <w:tcW w:type="dxa" w:w="950"/>
            <w:tcMar>
              <w:top w:w="80" w:type="dxa"/>
              <w:start w:w="120" w:type="dxa"/>
              <w:bottom w:w="80" w:type="dxa"/>
              <w:end w:w="120" w:type="dxa"/>
            </w:tcMar>
          </w:tcPr>
          <w:p>
            <w:pPr>
              <w:spacing w:after="0"/>
            </w:pPr>
            <w:r>
              <w:rPr>
                <w:rFonts w:ascii="Calibri" w:hAnsi="Calibri"/>
                <w:color w:val="24303F"/>
                <w:sz w:val="14"/>
              </w:rPr>
              <w:t>16.1%</w:t>
            </w:r>
          </w:p>
        </w:tc>
        <w:tc>
          <w:tcPr>
            <w:tcW w:type="dxa" w:w="900"/>
            <w:tcMar>
              <w:top w:w="80" w:type="dxa"/>
              <w:start w:w="120" w:type="dxa"/>
              <w:bottom w:w="80" w:type="dxa"/>
              <w:end w:w="120" w:type="dxa"/>
            </w:tcMar>
          </w:tcPr>
          <w:p>
            <w:pPr>
              <w:spacing w:after="0"/>
            </w:pPr>
            <w:r>
              <w:rPr>
                <w:rFonts w:ascii="Calibri" w:hAnsi="Calibri"/>
                <w:color w:val="24303F"/>
                <w:sz w:val="14"/>
              </w:rPr>
              <w:t>0.82</w:t>
            </w:r>
          </w:p>
        </w:tc>
        <w:tc>
          <w:tcPr>
            <w:tcW w:type="dxa" w:w="1050"/>
            <w:tcMar>
              <w:top w:w="80" w:type="dxa"/>
              <w:start w:w="120" w:type="dxa"/>
              <w:bottom w:w="80" w:type="dxa"/>
              <w:end w:w="120" w:type="dxa"/>
            </w:tcMar>
          </w:tcPr>
          <w:p>
            <w:pPr>
              <w:spacing w:after="0"/>
            </w:pPr>
            <w:r>
              <w:rPr>
                <w:rFonts w:ascii="Calibri" w:hAnsi="Calibri"/>
                <w:color w:val="24303F"/>
                <w:sz w:val="14"/>
              </w:rPr>
              <w:t>-20.3%</w:t>
            </w:r>
          </w:p>
        </w:tc>
        <w:tc>
          <w:tcPr>
            <w:tcW w:type="dxa" w:w="2410"/>
            <w:tcMar>
              <w:top w:w="80" w:type="dxa"/>
              <w:start w:w="120" w:type="dxa"/>
              <w:bottom w:w="80" w:type="dxa"/>
              <w:end w:w="120" w:type="dxa"/>
            </w:tcMar>
          </w:tcPr>
          <w:p>
            <w:pPr>
              <w:spacing w:after="0"/>
            </w:pPr>
            <w:r>
              <w:rPr>
                <w:rFonts w:ascii="Calibri" w:hAnsi="Calibri"/>
                <w:color w:val="24303F"/>
                <w:sz w:val="14"/>
              </w:rPr>
              <w:t>0.65x</w:t>
            </w:r>
          </w:p>
        </w:tc>
      </w:tr>
      <w:tr>
        <w:tc>
          <w:tcPr>
            <w:tcW w:type="dxa" w:w="3000"/>
            <w:tcMar>
              <w:top w:w="80" w:type="dxa"/>
              <w:start w:w="120" w:type="dxa"/>
              <w:bottom w:w="80" w:type="dxa"/>
              <w:end w:w="120" w:type="dxa"/>
            </w:tcMar>
            <w:shd w:fill="FAFBFC"/>
          </w:tcPr>
          <w:p>
            <w:pPr>
              <w:spacing w:after="0"/>
            </w:pPr>
            <w:r>
              <w:rPr>
                <w:rFonts w:ascii="Calibri" w:hAnsi="Calibri"/>
                <w:color w:val="24303F"/>
                <w:sz w:val="14"/>
              </w:rPr>
              <w:t>Equity Maximum-Sharpe</w:t>
            </w:r>
          </w:p>
        </w:tc>
        <w:tc>
          <w:tcPr>
            <w:tcW w:type="dxa" w:w="1050"/>
            <w:tcMar>
              <w:top w:w="80" w:type="dxa"/>
              <w:start w:w="120" w:type="dxa"/>
              <w:bottom w:w="80" w:type="dxa"/>
              <w:end w:w="120" w:type="dxa"/>
            </w:tcMar>
            <w:shd w:fill="FAFBFC"/>
          </w:tcPr>
          <w:p>
            <w:pPr>
              <w:spacing w:after="0"/>
            </w:pPr>
            <w:r>
              <w:rPr>
                <w:rFonts w:ascii="Calibri" w:hAnsi="Calibri"/>
                <w:color w:val="24303F"/>
                <w:sz w:val="14"/>
              </w:rPr>
              <w:t>10.7%</w:t>
            </w:r>
          </w:p>
        </w:tc>
        <w:tc>
          <w:tcPr>
            <w:tcW w:type="dxa" w:w="950"/>
            <w:tcMar>
              <w:top w:w="80" w:type="dxa"/>
              <w:start w:w="120" w:type="dxa"/>
              <w:bottom w:w="80" w:type="dxa"/>
              <w:end w:w="120" w:type="dxa"/>
            </w:tcMar>
            <w:shd w:fill="FAFBFC"/>
          </w:tcPr>
          <w:p>
            <w:pPr>
              <w:spacing w:after="0"/>
            </w:pPr>
            <w:r>
              <w:rPr>
                <w:rFonts w:ascii="Calibri" w:hAnsi="Calibri"/>
                <w:color w:val="24303F"/>
                <w:sz w:val="14"/>
              </w:rPr>
              <w:t>20.1%</w:t>
            </w:r>
          </w:p>
        </w:tc>
        <w:tc>
          <w:tcPr>
            <w:tcW w:type="dxa" w:w="900"/>
            <w:tcMar>
              <w:top w:w="80" w:type="dxa"/>
              <w:start w:w="120" w:type="dxa"/>
              <w:bottom w:w="80" w:type="dxa"/>
              <w:end w:w="120" w:type="dxa"/>
            </w:tcMar>
            <w:shd w:fill="FAFBFC"/>
          </w:tcPr>
          <w:p>
            <w:pPr>
              <w:spacing w:after="0"/>
            </w:pPr>
            <w:r>
              <w:rPr>
                <w:rFonts w:ascii="Calibri" w:hAnsi="Calibri"/>
                <w:color w:val="24303F"/>
                <w:sz w:val="14"/>
              </w:rPr>
              <w:t>0.61</w:t>
            </w:r>
          </w:p>
        </w:tc>
        <w:tc>
          <w:tcPr>
            <w:tcW w:type="dxa" w:w="1050"/>
            <w:tcMar>
              <w:top w:w="80" w:type="dxa"/>
              <w:start w:w="120" w:type="dxa"/>
              <w:bottom w:w="80" w:type="dxa"/>
              <w:end w:w="120" w:type="dxa"/>
            </w:tcMar>
            <w:shd w:fill="FAFBFC"/>
          </w:tcPr>
          <w:p>
            <w:pPr>
              <w:spacing w:after="0"/>
            </w:pPr>
            <w:r>
              <w:rPr>
                <w:rFonts w:ascii="Calibri" w:hAnsi="Calibri"/>
                <w:color w:val="24303F"/>
                <w:sz w:val="14"/>
              </w:rPr>
              <w:t>-36.0%</w:t>
            </w:r>
          </w:p>
        </w:tc>
        <w:tc>
          <w:tcPr>
            <w:tcW w:type="dxa" w:w="2410"/>
            <w:tcMar>
              <w:top w:w="80" w:type="dxa"/>
              <w:start w:w="120" w:type="dxa"/>
              <w:bottom w:w="80" w:type="dxa"/>
              <w:end w:w="120" w:type="dxa"/>
            </w:tcMar>
            <w:shd w:fill="FAFBFC"/>
          </w:tcPr>
          <w:p>
            <w:pPr>
              <w:spacing w:after="0"/>
            </w:pPr>
            <w:r>
              <w:rPr>
                <w:rFonts w:ascii="Calibri" w:hAnsi="Calibri"/>
                <w:color w:val="24303F"/>
                <w:sz w:val="14"/>
              </w:rPr>
              <w:t>1.67x</w:t>
            </w:r>
          </w:p>
        </w:tc>
      </w:tr>
      <w:tr>
        <w:tc>
          <w:tcPr>
            <w:tcW w:type="dxa" w:w="3000"/>
            <w:tcMar>
              <w:top w:w="80" w:type="dxa"/>
              <w:start w:w="120" w:type="dxa"/>
              <w:bottom w:w="80" w:type="dxa"/>
              <w:end w:w="120" w:type="dxa"/>
            </w:tcMar>
          </w:tcPr>
          <w:p>
            <w:pPr>
              <w:spacing w:after="0"/>
            </w:pPr>
            <w:r>
              <w:rPr>
                <w:rFonts w:ascii="Calibri" w:hAnsi="Calibri"/>
                <w:color w:val="24303F"/>
                <w:sz w:val="14"/>
              </w:rPr>
              <w:t>Equity Minimum-Variance</w:t>
            </w:r>
          </w:p>
        </w:tc>
        <w:tc>
          <w:tcPr>
            <w:tcW w:type="dxa" w:w="1050"/>
            <w:tcMar>
              <w:top w:w="80" w:type="dxa"/>
              <w:start w:w="120" w:type="dxa"/>
              <w:bottom w:w="80" w:type="dxa"/>
              <w:end w:w="120" w:type="dxa"/>
            </w:tcMar>
          </w:tcPr>
          <w:p>
            <w:pPr>
              <w:spacing w:after="0"/>
            </w:pPr>
            <w:r>
              <w:rPr>
                <w:rFonts w:ascii="Calibri" w:hAnsi="Calibri"/>
                <w:color w:val="24303F"/>
                <w:sz w:val="14"/>
              </w:rPr>
              <w:t>7.0%</w:t>
            </w:r>
          </w:p>
        </w:tc>
        <w:tc>
          <w:tcPr>
            <w:tcW w:type="dxa" w:w="950"/>
            <w:tcMar>
              <w:top w:w="80" w:type="dxa"/>
              <w:start w:w="120" w:type="dxa"/>
              <w:bottom w:w="80" w:type="dxa"/>
              <w:end w:w="120" w:type="dxa"/>
            </w:tcMar>
          </w:tcPr>
          <w:p>
            <w:pPr>
              <w:spacing w:after="0"/>
            </w:pPr>
            <w:r>
              <w:rPr>
                <w:rFonts w:ascii="Calibri" w:hAnsi="Calibri"/>
                <w:color w:val="24303F"/>
                <w:sz w:val="14"/>
              </w:rPr>
              <w:t>12.7%</w:t>
            </w:r>
          </w:p>
        </w:tc>
        <w:tc>
          <w:tcPr>
            <w:tcW w:type="dxa" w:w="900"/>
            <w:tcMar>
              <w:top w:w="80" w:type="dxa"/>
              <w:start w:w="120" w:type="dxa"/>
              <w:bottom w:w="80" w:type="dxa"/>
              <w:end w:w="120" w:type="dxa"/>
            </w:tcMar>
          </w:tcPr>
          <w:p>
            <w:pPr>
              <w:spacing w:after="0"/>
            </w:pPr>
            <w:r>
              <w:rPr>
                <w:rFonts w:ascii="Calibri" w:hAnsi="Calibri"/>
                <w:color w:val="24303F"/>
                <w:sz w:val="14"/>
              </w:rPr>
              <w:t>0.60</w:t>
            </w:r>
          </w:p>
        </w:tc>
        <w:tc>
          <w:tcPr>
            <w:tcW w:type="dxa" w:w="1050"/>
            <w:tcMar>
              <w:top w:w="80" w:type="dxa"/>
              <w:start w:w="120" w:type="dxa"/>
              <w:bottom w:w="80" w:type="dxa"/>
              <w:end w:w="120" w:type="dxa"/>
            </w:tcMar>
          </w:tcPr>
          <w:p>
            <w:pPr>
              <w:spacing w:after="0"/>
            </w:pPr>
            <w:r>
              <w:rPr>
                <w:rFonts w:ascii="Calibri" w:hAnsi="Calibri"/>
                <w:color w:val="24303F"/>
                <w:sz w:val="14"/>
              </w:rPr>
              <w:t>-17.8%</w:t>
            </w:r>
          </w:p>
        </w:tc>
        <w:tc>
          <w:tcPr>
            <w:tcW w:type="dxa" w:w="2410"/>
            <w:tcMar>
              <w:top w:w="80" w:type="dxa"/>
              <w:start w:w="120" w:type="dxa"/>
              <w:bottom w:w="80" w:type="dxa"/>
              <w:end w:w="120" w:type="dxa"/>
            </w:tcMar>
          </w:tcPr>
          <w:p>
            <w:pPr>
              <w:spacing w:after="0"/>
            </w:pPr>
            <w:r>
              <w:rPr>
                <w:rFonts w:ascii="Calibri" w:hAnsi="Calibri"/>
                <w:color w:val="24303F"/>
                <w:sz w:val="14"/>
              </w:rPr>
              <w:t>0.70x</w:t>
            </w:r>
          </w:p>
        </w:tc>
      </w:tr>
      <w:tr>
        <w:tc>
          <w:tcPr>
            <w:tcW w:type="dxa" w:w="3000"/>
            <w:tcMar>
              <w:top w:w="80" w:type="dxa"/>
              <w:start w:w="120" w:type="dxa"/>
              <w:bottom w:w="80" w:type="dxa"/>
              <w:end w:w="120" w:type="dxa"/>
            </w:tcMar>
            <w:shd w:fill="FAFBFC"/>
          </w:tcPr>
          <w:p>
            <w:pPr>
              <w:spacing w:after="0"/>
            </w:pPr>
            <w:r>
              <w:rPr>
                <w:rFonts w:ascii="Calibri" w:hAnsi="Calibri"/>
                <w:color w:val="24303F"/>
                <w:sz w:val="14"/>
              </w:rPr>
              <w:t>Equity Risk Parity</w:t>
            </w:r>
          </w:p>
        </w:tc>
        <w:tc>
          <w:tcPr>
            <w:tcW w:type="dxa" w:w="1050"/>
            <w:tcMar>
              <w:top w:w="80" w:type="dxa"/>
              <w:start w:w="120" w:type="dxa"/>
              <w:bottom w:w="80" w:type="dxa"/>
              <w:end w:w="120" w:type="dxa"/>
            </w:tcMar>
            <w:shd w:fill="FAFBFC"/>
          </w:tcPr>
          <w:p>
            <w:pPr>
              <w:spacing w:after="0"/>
            </w:pPr>
            <w:r>
              <w:rPr>
                <w:rFonts w:ascii="Calibri" w:hAnsi="Calibri"/>
                <w:color w:val="24303F"/>
                <w:sz w:val="14"/>
              </w:rPr>
              <w:t>10.0%</w:t>
            </w:r>
          </w:p>
        </w:tc>
        <w:tc>
          <w:tcPr>
            <w:tcW w:type="dxa" w:w="950"/>
            <w:tcMar>
              <w:top w:w="80" w:type="dxa"/>
              <w:start w:w="120" w:type="dxa"/>
              <w:bottom w:w="80" w:type="dxa"/>
              <w:end w:w="120" w:type="dxa"/>
            </w:tcMar>
            <w:shd w:fill="FAFBFC"/>
          </w:tcPr>
          <w:p>
            <w:pPr>
              <w:spacing w:after="0"/>
            </w:pPr>
            <w:r>
              <w:rPr>
                <w:rFonts w:ascii="Calibri" w:hAnsi="Calibri"/>
                <w:color w:val="24303F"/>
                <w:sz w:val="14"/>
              </w:rPr>
              <w:t>14.9%</w:t>
            </w:r>
          </w:p>
        </w:tc>
        <w:tc>
          <w:tcPr>
            <w:tcW w:type="dxa" w:w="900"/>
            <w:tcMar>
              <w:top w:w="80" w:type="dxa"/>
              <w:start w:w="120" w:type="dxa"/>
              <w:bottom w:w="80" w:type="dxa"/>
              <w:end w:w="120" w:type="dxa"/>
            </w:tcMar>
            <w:shd w:fill="FAFBFC"/>
          </w:tcPr>
          <w:p>
            <w:pPr>
              <w:spacing w:after="0"/>
            </w:pPr>
            <w:r>
              <w:rPr>
                <w:rFonts w:ascii="Calibri" w:hAnsi="Calibri"/>
                <w:color w:val="24303F"/>
                <w:sz w:val="14"/>
              </w:rPr>
              <w:t>0.71</w:t>
            </w:r>
          </w:p>
        </w:tc>
        <w:tc>
          <w:tcPr>
            <w:tcW w:type="dxa" w:w="1050"/>
            <w:tcMar>
              <w:top w:w="80" w:type="dxa"/>
              <w:start w:w="120" w:type="dxa"/>
              <w:bottom w:w="80" w:type="dxa"/>
              <w:end w:w="120" w:type="dxa"/>
            </w:tcMar>
            <w:shd w:fill="FAFBFC"/>
          </w:tcPr>
          <w:p>
            <w:pPr>
              <w:spacing w:after="0"/>
            </w:pPr>
            <w:r>
              <w:rPr>
                <w:rFonts w:ascii="Calibri" w:hAnsi="Calibri"/>
                <w:color w:val="24303F"/>
                <w:sz w:val="14"/>
              </w:rPr>
              <w:t>-19.4%</w:t>
            </w:r>
          </w:p>
        </w:tc>
        <w:tc>
          <w:tcPr>
            <w:tcW w:type="dxa" w:w="2410"/>
            <w:tcMar>
              <w:top w:w="80" w:type="dxa"/>
              <w:start w:w="120" w:type="dxa"/>
              <w:bottom w:w="80" w:type="dxa"/>
              <w:end w:w="120" w:type="dxa"/>
            </w:tcMar>
            <w:shd w:fill="FAFBFC"/>
          </w:tcPr>
          <w:p>
            <w:pPr>
              <w:spacing w:after="0"/>
            </w:pPr>
            <w:r>
              <w:rPr>
                <w:rFonts w:ascii="Calibri" w:hAnsi="Calibri"/>
                <w:color w:val="24303F"/>
                <w:sz w:val="14"/>
              </w:rPr>
              <w:t>0.64x</w:t>
            </w:r>
          </w:p>
        </w:tc>
      </w:tr>
      <w:tr>
        <w:tc>
          <w:tcPr>
            <w:tcW w:type="dxa" w:w="3000"/>
            <w:tcMar>
              <w:top w:w="80" w:type="dxa"/>
              <w:start w:w="120" w:type="dxa"/>
              <w:bottom w:w="80" w:type="dxa"/>
              <w:end w:w="120" w:type="dxa"/>
            </w:tcMar>
          </w:tcPr>
          <w:p>
            <w:pPr>
              <w:spacing w:after="0"/>
            </w:pPr>
            <w:r>
              <w:rPr>
                <w:rFonts w:ascii="Calibri" w:hAnsi="Calibri"/>
                <w:color w:val="24303F"/>
                <w:sz w:val="14"/>
              </w:rPr>
              <w:t>Combined Equal-Weight</w:t>
            </w:r>
          </w:p>
        </w:tc>
        <w:tc>
          <w:tcPr>
            <w:tcW w:type="dxa" w:w="1050"/>
            <w:tcMar>
              <w:top w:w="80" w:type="dxa"/>
              <w:start w:w="120" w:type="dxa"/>
              <w:bottom w:w="80" w:type="dxa"/>
              <w:end w:w="120" w:type="dxa"/>
            </w:tcMar>
          </w:tcPr>
          <w:p>
            <w:pPr>
              <w:spacing w:after="0"/>
            </w:pPr>
            <w:r>
              <w:rPr>
                <w:rFonts w:ascii="Calibri" w:hAnsi="Calibri"/>
                <w:color w:val="24303F"/>
                <w:sz w:val="14"/>
              </w:rPr>
              <w:t>15.0%</w:t>
            </w:r>
          </w:p>
        </w:tc>
        <w:tc>
          <w:tcPr>
            <w:tcW w:type="dxa" w:w="950"/>
            <w:tcMar>
              <w:top w:w="80" w:type="dxa"/>
              <w:start w:w="120" w:type="dxa"/>
              <w:bottom w:w="80" w:type="dxa"/>
              <w:end w:w="120" w:type="dxa"/>
            </w:tcMar>
          </w:tcPr>
          <w:p>
            <w:pPr>
              <w:spacing w:after="0"/>
            </w:pPr>
            <w:r>
              <w:rPr>
                <w:rFonts w:ascii="Calibri" w:hAnsi="Calibri"/>
                <w:color w:val="24303F"/>
                <w:sz w:val="14"/>
              </w:rPr>
              <w:t>21.6%</w:t>
            </w:r>
          </w:p>
        </w:tc>
        <w:tc>
          <w:tcPr>
            <w:tcW w:type="dxa" w:w="900"/>
            <w:tcMar>
              <w:top w:w="80" w:type="dxa"/>
              <w:start w:w="120" w:type="dxa"/>
              <w:bottom w:w="80" w:type="dxa"/>
              <w:end w:w="120" w:type="dxa"/>
            </w:tcMar>
          </w:tcPr>
          <w:p>
            <w:pPr>
              <w:spacing w:after="0"/>
            </w:pPr>
            <w:r>
              <w:rPr>
                <w:rFonts w:ascii="Calibri" w:hAnsi="Calibri"/>
                <w:color w:val="24303F"/>
                <w:sz w:val="14"/>
              </w:rPr>
              <w:t>0.76</w:t>
            </w:r>
          </w:p>
        </w:tc>
        <w:tc>
          <w:tcPr>
            <w:tcW w:type="dxa" w:w="1050"/>
            <w:tcMar>
              <w:top w:w="80" w:type="dxa"/>
              <w:start w:w="120" w:type="dxa"/>
              <w:bottom w:w="80" w:type="dxa"/>
              <w:end w:w="120" w:type="dxa"/>
            </w:tcMar>
          </w:tcPr>
          <w:p>
            <w:pPr>
              <w:spacing w:after="0"/>
            </w:pPr>
            <w:r>
              <w:rPr>
                <w:rFonts w:ascii="Calibri" w:hAnsi="Calibri"/>
                <w:color w:val="24303F"/>
                <w:sz w:val="14"/>
              </w:rPr>
              <w:t>-27.9%</w:t>
            </w:r>
          </w:p>
        </w:tc>
        <w:tc>
          <w:tcPr>
            <w:tcW w:type="dxa" w:w="2410"/>
            <w:tcMar>
              <w:top w:w="80" w:type="dxa"/>
              <w:start w:w="120" w:type="dxa"/>
              <w:bottom w:w="80" w:type="dxa"/>
              <w:end w:w="120" w:type="dxa"/>
            </w:tcMar>
          </w:tcPr>
          <w:p>
            <w:pPr>
              <w:spacing w:after="0"/>
            </w:pPr>
            <w:r>
              <w:rPr>
                <w:rFonts w:ascii="Calibri" w:hAnsi="Calibri"/>
                <w:color w:val="24303F"/>
                <w:sz w:val="14"/>
              </w:rPr>
              <w:t>0.79x</w:t>
            </w:r>
          </w:p>
        </w:tc>
      </w:tr>
      <w:tr>
        <w:tc>
          <w:tcPr>
            <w:tcW w:type="dxa" w:w="3000"/>
            <w:tcMar>
              <w:top w:w="80" w:type="dxa"/>
              <w:start w:w="120" w:type="dxa"/>
              <w:bottom w:w="80" w:type="dxa"/>
              <w:end w:w="120" w:type="dxa"/>
            </w:tcMar>
            <w:shd w:fill="FAFBFC"/>
          </w:tcPr>
          <w:p>
            <w:pPr>
              <w:spacing w:after="0"/>
            </w:pPr>
            <w:r>
              <w:rPr>
                <w:rFonts w:ascii="Calibri" w:hAnsi="Calibri"/>
                <w:color w:val="24303F"/>
                <w:sz w:val="14"/>
              </w:rPr>
              <w:t>Combined Maximum-Sharpe</w:t>
            </w:r>
          </w:p>
        </w:tc>
        <w:tc>
          <w:tcPr>
            <w:tcW w:type="dxa" w:w="1050"/>
            <w:tcMar>
              <w:top w:w="80" w:type="dxa"/>
              <w:start w:w="120" w:type="dxa"/>
              <w:bottom w:w="80" w:type="dxa"/>
              <w:end w:w="120" w:type="dxa"/>
            </w:tcMar>
            <w:shd w:fill="FAFBFC"/>
          </w:tcPr>
          <w:p>
            <w:pPr>
              <w:spacing w:after="0"/>
            </w:pPr>
            <w:r>
              <w:rPr>
                <w:rFonts w:ascii="Calibri" w:hAnsi="Calibri"/>
                <w:color w:val="24303F"/>
                <w:sz w:val="14"/>
              </w:rPr>
              <w:t>7.1%</w:t>
            </w:r>
          </w:p>
        </w:tc>
        <w:tc>
          <w:tcPr>
            <w:tcW w:type="dxa" w:w="950"/>
            <w:tcMar>
              <w:top w:w="80" w:type="dxa"/>
              <w:start w:w="120" w:type="dxa"/>
              <w:bottom w:w="80" w:type="dxa"/>
              <w:end w:w="120" w:type="dxa"/>
            </w:tcMar>
            <w:shd w:fill="FAFBFC"/>
          </w:tcPr>
          <w:p>
            <w:pPr>
              <w:spacing w:after="0"/>
            </w:pPr>
            <w:r>
              <w:rPr>
                <w:rFonts w:ascii="Calibri" w:hAnsi="Calibri"/>
                <w:color w:val="24303F"/>
                <w:sz w:val="14"/>
              </w:rPr>
              <w:t>32.7%</w:t>
            </w:r>
          </w:p>
        </w:tc>
        <w:tc>
          <w:tcPr>
            <w:tcW w:type="dxa" w:w="900"/>
            <w:tcMar>
              <w:top w:w="80" w:type="dxa"/>
              <w:start w:w="120" w:type="dxa"/>
              <w:bottom w:w="80" w:type="dxa"/>
              <w:end w:w="120" w:type="dxa"/>
            </w:tcMar>
            <w:shd w:fill="FAFBFC"/>
          </w:tcPr>
          <w:p>
            <w:pPr>
              <w:spacing w:after="0"/>
            </w:pPr>
            <w:r>
              <w:rPr>
                <w:rFonts w:ascii="Calibri" w:hAnsi="Calibri"/>
                <w:color w:val="24303F"/>
                <w:sz w:val="14"/>
              </w:rPr>
              <w:t>0.37</w:t>
            </w:r>
          </w:p>
        </w:tc>
        <w:tc>
          <w:tcPr>
            <w:tcW w:type="dxa" w:w="1050"/>
            <w:tcMar>
              <w:top w:w="80" w:type="dxa"/>
              <w:start w:w="120" w:type="dxa"/>
              <w:bottom w:w="80" w:type="dxa"/>
              <w:end w:w="120" w:type="dxa"/>
            </w:tcMar>
            <w:shd w:fill="FAFBFC"/>
          </w:tcPr>
          <w:p>
            <w:pPr>
              <w:spacing w:after="0"/>
            </w:pPr>
            <w:r>
              <w:rPr>
                <w:rFonts w:ascii="Calibri" w:hAnsi="Calibri"/>
                <w:color w:val="24303F"/>
                <w:sz w:val="14"/>
              </w:rPr>
              <w:t>-48.6%</w:t>
            </w:r>
          </w:p>
        </w:tc>
        <w:tc>
          <w:tcPr>
            <w:tcW w:type="dxa" w:w="2410"/>
            <w:tcMar>
              <w:top w:w="80" w:type="dxa"/>
              <w:start w:w="120" w:type="dxa"/>
              <w:bottom w:w="80" w:type="dxa"/>
              <w:end w:w="120" w:type="dxa"/>
            </w:tcMar>
            <w:shd w:fill="FAFBFC"/>
          </w:tcPr>
          <w:p>
            <w:pPr>
              <w:spacing w:after="0"/>
            </w:pPr>
            <w:r>
              <w:rPr>
                <w:rFonts w:ascii="Calibri" w:hAnsi="Calibri"/>
                <w:color w:val="24303F"/>
                <w:sz w:val="14"/>
              </w:rPr>
              <w:t>2.08x</w:t>
            </w:r>
          </w:p>
        </w:tc>
      </w:tr>
      <w:tr>
        <w:tc>
          <w:tcPr>
            <w:tcW w:type="dxa" w:w="3000"/>
            <w:tcMar>
              <w:top w:w="80" w:type="dxa"/>
              <w:start w:w="120" w:type="dxa"/>
              <w:bottom w:w="80" w:type="dxa"/>
              <w:end w:w="120" w:type="dxa"/>
            </w:tcMar>
          </w:tcPr>
          <w:p>
            <w:pPr>
              <w:spacing w:after="0"/>
            </w:pPr>
            <w:r>
              <w:rPr>
                <w:rFonts w:ascii="Calibri" w:hAnsi="Calibri"/>
                <w:color w:val="24303F"/>
                <w:sz w:val="14"/>
              </w:rPr>
              <w:t>Combined Minimum-Variance</w:t>
            </w:r>
          </w:p>
        </w:tc>
        <w:tc>
          <w:tcPr>
            <w:tcW w:type="dxa" w:w="1050"/>
            <w:tcMar>
              <w:top w:w="80" w:type="dxa"/>
              <w:start w:w="120" w:type="dxa"/>
              <w:bottom w:w="80" w:type="dxa"/>
              <w:end w:w="120" w:type="dxa"/>
            </w:tcMar>
          </w:tcPr>
          <w:p>
            <w:pPr>
              <w:spacing w:after="0"/>
            </w:pPr>
            <w:r>
              <w:rPr>
                <w:rFonts w:ascii="Calibri" w:hAnsi="Calibri"/>
                <w:color w:val="24303F"/>
                <w:sz w:val="14"/>
              </w:rPr>
              <w:t>7.0%</w:t>
            </w:r>
          </w:p>
        </w:tc>
        <w:tc>
          <w:tcPr>
            <w:tcW w:type="dxa" w:w="950"/>
            <w:tcMar>
              <w:top w:w="80" w:type="dxa"/>
              <w:start w:w="120" w:type="dxa"/>
              <w:bottom w:w="80" w:type="dxa"/>
              <w:end w:w="120" w:type="dxa"/>
            </w:tcMar>
          </w:tcPr>
          <w:p>
            <w:pPr>
              <w:spacing w:after="0"/>
            </w:pPr>
            <w:r>
              <w:rPr>
                <w:rFonts w:ascii="Calibri" w:hAnsi="Calibri"/>
                <w:color w:val="24303F"/>
                <w:sz w:val="14"/>
              </w:rPr>
              <w:t>12.7%</w:t>
            </w:r>
          </w:p>
        </w:tc>
        <w:tc>
          <w:tcPr>
            <w:tcW w:type="dxa" w:w="900"/>
            <w:tcMar>
              <w:top w:w="80" w:type="dxa"/>
              <w:start w:w="120" w:type="dxa"/>
              <w:bottom w:w="80" w:type="dxa"/>
              <w:end w:w="120" w:type="dxa"/>
            </w:tcMar>
          </w:tcPr>
          <w:p>
            <w:pPr>
              <w:spacing w:after="0"/>
            </w:pPr>
            <w:r>
              <w:rPr>
                <w:rFonts w:ascii="Calibri" w:hAnsi="Calibri"/>
                <w:color w:val="24303F"/>
                <w:sz w:val="14"/>
              </w:rPr>
              <w:t>0.60</w:t>
            </w:r>
          </w:p>
        </w:tc>
        <w:tc>
          <w:tcPr>
            <w:tcW w:type="dxa" w:w="1050"/>
            <w:tcMar>
              <w:top w:w="80" w:type="dxa"/>
              <w:start w:w="120" w:type="dxa"/>
              <w:bottom w:w="80" w:type="dxa"/>
              <w:end w:w="120" w:type="dxa"/>
            </w:tcMar>
          </w:tcPr>
          <w:p>
            <w:pPr>
              <w:spacing w:after="0"/>
            </w:pPr>
            <w:r>
              <w:rPr>
                <w:rFonts w:ascii="Calibri" w:hAnsi="Calibri"/>
                <w:color w:val="24303F"/>
                <w:sz w:val="14"/>
              </w:rPr>
              <w:t>-17.8%</w:t>
            </w:r>
          </w:p>
        </w:tc>
        <w:tc>
          <w:tcPr>
            <w:tcW w:type="dxa" w:w="2410"/>
            <w:tcMar>
              <w:top w:w="80" w:type="dxa"/>
              <w:start w:w="120" w:type="dxa"/>
              <w:bottom w:w="80" w:type="dxa"/>
              <w:end w:w="120" w:type="dxa"/>
            </w:tcMar>
          </w:tcPr>
          <w:p>
            <w:pPr>
              <w:spacing w:after="0"/>
            </w:pPr>
            <w:r>
              <w:rPr>
                <w:rFonts w:ascii="Calibri" w:hAnsi="Calibri"/>
                <w:color w:val="24303F"/>
                <w:sz w:val="14"/>
              </w:rPr>
              <w:t>0.70x</w:t>
            </w:r>
          </w:p>
        </w:tc>
      </w:tr>
      <w:tr>
        <w:tc>
          <w:tcPr>
            <w:tcW w:type="dxa" w:w="3000"/>
            <w:tcMar>
              <w:top w:w="80" w:type="dxa"/>
              <w:start w:w="120" w:type="dxa"/>
              <w:bottom w:w="80" w:type="dxa"/>
              <w:end w:w="120" w:type="dxa"/>
            </w:tcMar>
            <w:shd w:fill="FAFBFC"/>
          </w:tcPr>
          <w:p>
            <w:pPr>
              <w:spacing w:after="0"/>
            </w:pPr>
            <w:r>
              <w:rPr>
                <w:rFonts w:ascii="Calibri" w:hAnsi="Calibri"/>
                <w:color w:val="24303F"/>
                <w:sz w:val="14"/>
              </w:rPr>
              <w:t>Combined Risk Parity</w:t>
            </w:r>
          </w:p>
        </w:tc>
        <w:tc>
          <w:tcPr>
            <w:tcW w:type="dxa" w:w="1050"/>
            <w:tcMar>
              <w:top w:w="80" w:type="dxa"/>
              <w:start w:w="120" w:type="dxa"/>
              <w:bottom w:w="80" w:type="dxa"/>
              <w:end w:w="120" w:type="dxa"/>
            </w:tcMar>
            <w:shd w:fill="FAFBFC"/>
          </w:tcPr>
          <w:p>
            <w:pPr>
              <w:spacing w:after="0"/>
            </w:pPr>
            <w:r>
              <w:rPr>
                <w:rFonts w:ascii="Calibri" w:hAnsi="Calibri"/>
                <w:color w:val="24303F"/>
                <w:sz w:val="14"/>
              </w:rPr>
              <w:t>12.7%</w:t>
            </w:r>
          </w:p>
        </w:tc>
        <w:tc>
          <w:tcPr>
            <w:tcW w:type="dxa" w:w="950"/>
            <w:tcMar>
              <w:top w:w="80" w:type="dxa"/>
              <w:start w:w="120" w:type="dxa"/>
              <w:bottom w:w="80" w:type="dxa"/>
              <w:end w:w="120" w:type="dxa"/>
            </w:tcMar>
            <w:shd w:fill="FAFBFC"/>
          </w:tcPr>
          <w:p>
            <w:pPr>
              <w:spacing w:after="0"/>
            </w:pPr>
            <w:r>
              <w:rPr>
                <w:rFonts w:ascii="Calibri" w:hAnsi="Calibri"/>
                <w:color w:val="24303F"/>
                <w:sz w:val="14"/>
              </w:rPr>
              <w:t>17.4%</w:t>
            </w:r>
          </w:p>
        </w:tc>
        <w:tc>
          <w:tcPr>
            <w:tcW w:type="dxa" w:w="900"/>
            <w:tcMar>
              <w:top w:w="80" w:type="dxa"/>
              <w:start w:w="120" w:type="dxa"/>
              <w:bottom w:w="80" w:type="dxa"/>
              <w:end w:w="120" w:type="dxa"/>
            </w:tcMar>
            <w:shd w:fill="FAFBFC"/>
          </w:tcPr>
          <w:p>
            <w:pPr>
              <w:spacing w:after="0"/>
            </w:pPr>
            <w:r>
              <w:rPr>
                <w:rFonts w:ascii="Calibri" w:hAnsi="Calibri"/>
                <w:color w:val="24303F"/>
                <w:sz w:val="14"/>
              </w:rPr>
              <w:t>0.77</w:t>
            </w:r>
          </w:p>
        </w:tc>
        <w:tc>
          <w:tcPr>
            <w:tcW w:type="dxa" w:w="1050"/>
            <w:tcMar>
              <w:top w:w="80" w:type="dxa"/>
              <w:start w:w="120" w:type="dxa"/>
              <w:bottom w:w="80" w:type="dxa"/>
              <w:end w:w="120" w:type="dxa"/>
            </w:tcMar>
            <w:shd w:fill="FAFBFC"/>
          </w:tcPr>
          <w:p>
            <w:pPr>
              <w:spacing w:after="0"/>
            </w:pPr>
            <w:r>
              <w:rPr>
                <w:rFonts w:ascii="Calibri" w:hAnsi="Calibri"/>
                <w:color w:val="24303F"/>
                <w:sz w:val="14"/>
              </w:rPr>
              <w:t>-22.4%</w:t>
            </w:r>
          </w:p>
        </w:tc>
        <w:tc>
          <w:tcPr>
            <w:tcW w:type="dxa" w:w="2410"/>
            <w:tcMar>
              <w:top w:w="80" w:type="dxa"/>
              <w:start w:w="120" w:type="dxa"/>
              <w:bottom w:w="80" w:type="dxa"/>
              <w:end w:w="120" w:type="dxa"/>
            </w:tcMar>
            <w:shd w:fill="FAFBFC"/>
          </w:tcPr>
          <w:p>
            <w:pPr>
              <w:spacing w:after="0"/>
            </w:pPr>
            <w:r>
              <w:rPr>
                <w:rFonts w:ascii="Calibri" w:hAnsi="Calibri"/>
                <w:color w:val="24303F"/>
                <w:sz w:val="14"/>
              </w:rPr>
              <w:t>0.71x</w:t>
            </w:r>
          </w:p>
        </w:tc>
      </w:tr>
      <w:tr>
        <w:tc>
          <w:tcPr>
            <w:tcW w:type="dxa" w:w="3000"/>
            <w:tcMar>
              <w:top w:w="80" w:type="dxa"/>
              <w:start w:w="120" w:type="dxa"/>
              <w:bottom w:w="80" w:type="dxa"/>
              <w:end w:w="120" w:type="dxa"/>
            </w:tcMar>
          </w:tcPr>
          <w:p>
            <w:pPr>
              <w:spacing w:after="0"/>
            </w:pPr>
            <w:r>
              <w:rPr>
                <w:rFonts w:ascii="Calibri" w:hAnsi="Calibri"/>
                <w:color w:val="24303F"/>
                <w:sz w:val="14"/>
              </w:rPr>
              <w:t>Crypto Equal-Weight</w:t>
            </w:r>
          </w:p>
        </w:tc>
        <w:tc>
          <w:tcPr>
            <w:tcW w:type="dxa" w:w="1050"/>
            <w:tcMar>
              <w:top w:w="80" w:type="dxa"/>
              <w:start w:w="120" w:type="dxa"/>
              <w:bottom w:w="80" w:type="dxa"/>
              <w:end w:w="120" w:type="dxa"/>
            </w:tcMar>
          </w:tcPr>
          <w:p>
            <w:pPr>
              <w:spacing w:after="0"/>
            </w:pPr>
            <w:r>
              <w:rPr>
                <w:rFonts w:ascii="Calibri" w:hAnsi="Calibri"/>
                <w:color w:val="24303F"/>
                <w:sz w:val="14"/>
              </w:rPr>
              <w:t>40.4%</w:t>
            </w:r>
          </w:p>
        </w:tc>
        <w:tc>
          <w:tcPr>
            <w:tcW w:type="dxa" w:w="950"/>
            <w:tcMar>
              <w:top w:w="80" w:type="dxa"/>
              <w:start w:w="120" w:type="dxa"/>
              <w:bottom w:w="80" w:type="dxa"/>
              <w:end w:w="120" w:type="dxa"/>
            </w:tcMar>
          </w:tcPr>
          <w:p>
            <w:pPr>
              <w:spacing w:after="0"/>
            </w:pPr>
            <w:r>
              <w:rPr>
                <w:rFonts w:ascii="Calibri" w:hAnsi="Calibri"/>
                <w:color w:val="24303F"/>
                <w:sz w:val="14"/>
              </w:rPr>
              <w:t>81.9%</w:t>
            </w:r>
          </w:p>
        </w:tc>
        <w:tc>
          <w:tcPr>
            <w:tcW w:type="dxa" w:w="900"/>
            <w:tcMar>
              <w:top w:w="80" w:type="dxa"/>
              <w:start w:w="120" w:type="dxa"/>
              <w:bottom w:w="80" w:type="dxa"/>
              <w:end w:w="120" w:type="dxa"/>
            </w:tcMar>
          </w:tcPr>
          <w:p>
            <w:pPr>
              <w:spacing w:after="0"/>
            </w:pPr>
            <w:r>
              <w:rPr>
                <w:rFonts w:ascii="Calibri" w:hAnsi="Calibri"/>
                <w:color w:val="24303F"/>
                <w:sz w:val="14"/>
              </w:rPr>
              <w:t>0.83</w:t>
            </w:r>
          </w:p>
        </w:tc>
        <w:tc>
          <w:tcPr>
            <w:tcW w:type="dxa" w:w="1050"/>
            <w:tcMar>
              <w:top w:w="80" w:type="dxa"/>
              <w:start w:w="120" w:type="dxa"/>
              <w:bottom w:w="80" w:type="dxa"/>
              <w:end w:w="120" w:type="dxa"/>
            </w:tcMar>
          </w:tcPr>
          <w:p>
            <w:pPr>
              <w:spacing w:after="0"/>
            </w:pPr>
            <w:r>
              <w:rPr>
                <w:rFonts w:ascii="Calibri" w:hAnsi="Calibri"/>
                <w:color w:val="24303F"/>
                <w:sz w:val="14"/>
              </w:rPr>
              <w:t>-81.6%</w:t>
            </w:r>
          </w:p>
        </w:tc>
        <w:tc>
          <w:tcPr>
            <w:tcW w:type="dxa" w:w="2410"/>
            <w:tcMar>
              <w:top w:w="80" w:type="dxa"/>
              <w:start w:w="120" w:type="dxa"/>
              <w:bottom w:w="80" w:type="dxa"/>
              <w:end w:w="120" w:type="dxa"/>
            </w:tcMar>
          </w:tcPr>
          <w:p>
            <w:pPr>
              <w:spacing w:after="0"/>
            </w:pPr>
            <w:r>
              <w:rPr>
                <w:rFonts w:ascii="Calibri" w:hAnsi="Calibri"/>
                <w:color w:val="24303F"/>
                <w:sz w:val="14"/>
              </w:rPr>
              <w:t>1.03x</w:t>
            </w:r>
          </w:p>
        </w:tc>
      </w:tr>
      <w:tr>
        <w:tc>
          <w:tcPr>
            <w:tcW w:type="dxa" w:w="3000"/>
            <w:tcMar>
              <w:top w:w="80" w:type="dxa"/>
              <w:start w:w="120" w:type="dxa"/>
              <w:bottom w:w="80" w:type="dxa"/>
              <w:end w:w="120" w:type="dxa"/>
            </w:tcMar>
            <w:shd w:fill="FAFBFC"/>
          </w:tcPr>
          <w:p>
            <w:pPr>
              <w:spacing w:after="0"/>
            </w:pPr>
            <w:r>
              <w:rPr>
                <w:rFonts w:ascii="Calibri" w:hAnsi="Calibri"/>
                <w:color w:val="24303F"/>
                <w:sz w:val="14"/>
              </w:rPr>
              <w:t>Crypto Maximum-Sharpe</w:t>
            </w:r>
          </w:p>
        </w:tc>
        <w:tc>
          <w:tcPr>
            <w:tcW w:type="dxa" w:w="1050"/>
            <w:tcMar>
              <w:top w:w="80" w:type="dxa"/>
              <w:start w:w="120" w:type="dxa"/>
              <w:bottom w:w="80" w:type="dxa"/>
              <w:end w:w="120" w:type="dxa"/>
            </w:tcMar>
            <w:shd w:fill="FAFBFC"/>
          </w:tcPr>
          <w:p>
            <w:pPr>
              <w:spacing w:after="0"/>
            </w:pPr>
            <w:r>
              <w:rPr>
                <w:rFonts w:ascii="Calibri" w:hAnsi="Calibri"/>
                <w:color w:val="24303F"/>
                <w:sz w:val="14"/>
              </w:rPr>
              <w:t>40.0%</w:t>
            </w:r>
          </w:p>
        </w:tc>
        <w:tc>
          <w:tcPr>
            <w:tcW w:type="dxa" w:w="950"/>
            <w:tcMar>
              <w:top w:w="80" w:type="dxa"/>
              <w:start w:w="120" w:type="dxa"/>
              <w:bottom w:w="80" w:type="dxa"/>
              <w:end w:w="120" w:type="dxa"/>
            </w:tcMar>
            <w:shd w:fill="FAFBFC"/>
          </w:tcPr>
          <w:p>
            <w:pPr>
              <w:spacing w:after="0"/>
            </w:pPr>
            <w:r>
              <w:rPr>
                <w:rFonts w:ascii="Calibri" w:hAnsi="Calibri"/>
                <w:color w:val="24303F"/>
                <w:sz w:val="14"/>
              </w:rPr>
              <w:t>77.0%</w:t>
            </w:r>
          </w:p>
        </w:tc>
        <w:tc>
          <w:tcPr>
            <w:tcW w:type="dxa" w:w="900"/>
            <w:tcMar>
              <w:top w:w="80" w:type="dxa"/>
              <w:start w:w="120" w:type="dxa"/>
              <w:bottom w:w="80" w:type="dxa"/>
              <w:end w:w="120" w:type="dxa"/>
            </w:tcMar>
            <w:shd w:fill="FAFBFC"/>
          </w:tcPr>
          <w:p>
            <w:pPr>
              <w:spacing w:after="0"/>
            </w:pPr>
            <w:r>
              <w:rPr>
                <w:rFonts w:ascii="Calibri" w:hAnsi="Calibri"/>
                <w:color w:val="24303F"/>
                <w:sz w:val="14"/>
              </w:rPr>
              <w:t>0.82</w:t>
            </w:r>
          </w:p>
        </w:tc>
        <w:tc>
          <w:tcPr>
            <w:tcW w:type="dxa" w:w="1050"/>
            <w:tcMar>
              <w:top w:w="80" w:type="dxa"/>
              <w:start w:w="120" w:type="dxa"/>
              <w:bottom w:w="80" w:type="dxa"/>
              <w:end w:w="120" w:type="dxa"/>
            </w:tcMar>
            <w:shd w:fill="FAFBFC"/>
          </w:tcPr>
          <w:p>
            <w:pPr>
              <w:spacing w:after="0"/>
            </w:pPr>
            <w:r>
              <w:rPr>
                <w:rFonts w:ascii="Calibri" w:hAnsi="Calibri"/>
                <w:color w:val="24303F"/>
                <w:sz w:val="14"/>
              </w:rPr>
              <w:t>-78.0%</w:t>
            </w:r>
          </w:p>
        </w:tc>
        <w:tc>
          <w:tcPr>
            <w:tcW w:type="dxa" w:w="2410"/>
            <w:tcMar>
              <w:top w:w="80" w:type="dxa"/>
              <w:start w:w="120" w:type="dxa"/>
              <w:bottom w:w="80" w:type="dxa"/>
              <w:end w:w="120" w:type="dxa"/>
            </w:tcMar>
            <w:shd w:fill="FAFBFC"/>
          </w:tcPr>
          <w:p>
            <w:pPr>
              <w:spacing w:after="0"/>
            </w:pPr>
            <w:r>
              <w:rPr>
                <w:rFonts w:ascii="Calibri" w:hAnsi="Calibri"/>
                <w:color w:val="24303F"/>
                <w:sz w:val="14"/>
              </w:rPr>
              <w:t>1.28x</w:t>
            </w:r>
          </w:p>
        </w:tc>
      </w:tr>
      <w:tr>
        <w:tc>
          <w:tcPr>
            <w:tcW w:type="dxa" w:w="3000"/>
            <w:tcMar>
              <w:top w:w="80" w:type="dxa"/>
              <w:start w:w="120" w:type="dxa"/>
              <w:bottom w:w="80" w:type="dxa"/>
              <w:end w:w="120" w:type="dxa"/>
            </w:tcMar>
          </w:tcPr>
          <w:p>
            <w:pPr>
              <w:spacing w:after="0"/>
            </w:pPr>
            <w:r>
              <w:rPr>
                <w:rFonts w:ascii="Calibri" w:hAnsi="Calibri"/>
                <w:color w:val="24303F"/>
                <w:sz w:val="14"/>
              </w:rPr>
              <w:t>Crypto Minimum-Variance</w:t>
            </w:r>
          </w:p>
        </w:tc>
        <w:tc>
          <w:tcPr>
            <w:tcW w:type="dxa" w:w="1050"/>
            <w:tcMar>
              <w:top w:w="80" w:type="dxa"/>
              <w:start w:w="120" w:type="dxa"/>
              <w:bottom w:w="80" w:type="dxa"/>
              <w:end w:w="120" w:type="dxa"/>
            </w:tcMar>
          </w:tcPr>
          <w:p>
            <w:pPr>
              <w:spacing w:after="0"/>
            </w:pPr>
            <w:r>
              <w:rPr>
                <w:rFonts w:ascii="Calibri" w:hAnsi="Calibri"/>
                <w:color w:val="24303F"/>
                <w:sz w:val="14"/>
              </w:rPr>
              <w:t>53.6%</w:t>
            </w:r>
          </w:p>
        </w:tc>
        <w:tc>
          <w:tcPr>
            <w:tcW w:type="dxa" w:w="950"/>
            <w:tcMar>
              <w:top w:w="80" w:type="dxa"/>
              <w:start w:w="120" w:type="dxa"/>
              <w:bottom w:w="80" w:type="dxa"/>
              <w:end w:w="120" w:type="dxa"/>
            </w:tcMar>
          </w:tcPr>
          <w:p>
            <w:pPr>
              <w:spacing w:after="0"/>
            </w:pPr>
            <w:r>
              <w:rPr>
                <w:rFonts w:ascii="Calibri" w:hAnsi="Calibri"/>
                <w:color w:val="24303F"/>
                <w:sz w:val="14"/>
              </w:rPr>
              <w:t>74.3%</w:t>
            </w:r>
          </w:p>
        </w:tc>
        <w:tc>
          <w:tcPr>
            <w:tcW w:type="dxa" w:w="900"/>
            <w:tcMar>
              <w:top w:w="80" w:type="dxa"/>
              <w:start w:w="120" w:type="dxa"/>
              <w:bottom w:w="80" w:type="dxa"/>
              <w:end w:w="120" w:type="dxa"/>
            </w:tcMar>
          </w:tcPr>
          <w:p>
            <w:pPr>
              <w:spacing w:after="0"/>
            </w:pPr>
            <w:r>
              <w:rPr>
                <w:rFonts w:ascii="Calibri" w:hAnsi="Calibri"/>
                <w:color w:val="24303F"/>
                <w:sz w:val="14"/>
              </w:rPr>
              <w:t>0.95</w:t>
            </w:r>
          </w:p>
        </w:tc>
        <w:tc>
          <w:tcPr>
            <w:tcW w:type="dxa" w:w="1050"/>
            <w:tcMar>
              <w:top w:w="80" w:type="dxa"/>
              <w:start w:w="120" w:type="dxa"/>
              <w:bottom w:w="80" w:type="dxa"/>
              <w:end w:w="120" w:type="dxa"/>
            </w:tcMar>
          </w:tcPr>
          <w:p>
            <w:pPr>
              <w:spacing w:after="0"/>
            </w:pPr>
            <w:r>
              <w:rPr>
                <w:rFonts w:ascii="Calibri" w:hAnsi="Calibri"/>
                <w:color w:val="24303F"/>
                <w:sz w:val="14"/>
              </w:rPr>
              <w:t>-72.2%</w:t>
            </w:r>
          </w:p>
        </w:tc>
        <w:tc>
          <w:tcPr>
            <w:tcW w:type="dxa" w:w="2410"/>
            <w:tcMar>
              <w:top w:w="80" w:type="dxa"/>
              <w:start w:w="120" w:type="dxa"/>
              <w:bottom w:w="80" w:type="dxa"/>
              <w:end w:w="120" w:type="dxa"/>
            </w:tcMar>
          </w:tcPr>
          <w:p>
            <w:pPr>
              <w:spacing w:after="0"/>
            </w:pPr>
            <w:r>
              <w:rPr>
                <w:rFonts w:ascii="Calibri" w:hAnsi="Calibri"/>
                <w:color w:val="24303F"/>
                <w:sz w:val="14"/>
              </w:rPr>
              <w:t>1.13x</w:t>
            </w:r>
          </w:p>
        </w:tc>
      </w:tr>
      <w:tr>
        <w:tc>
          <w:tcPr>
            <w:tcW w:type="dxa" w:w="3000"/>
            <w:tcMar>
              <w:top w:w="80" w:type="dxa"/>
              <w:start w:w="120" w:type="dxa"/>
              <w:bottom w:w="80" w:type="dxa"/>
              <w:end w:w="120" w:type="dxa"/>
            </w:tcMar>
            <w:shd w:fill="FAFBFC"/>
          </w:tcPr>
          <w:p>
            <w:pPr>
              <w:spacing w:after="0"/>
            </w:pPr>
            <w:r>
              <w:rPr>
                <w:rFonts w:ascii="Calibri" w:hAnsi="Calibri"/>
                <w:color w:val="24303F"/>
                <w:sz w:val="14"/>
              </w:rPr>
              <w:t>Crypto Risk Parity</w:t>
            </w:r>
          </w:p>
        </w:tc>
        <w:tc>
          <w:tcPr>
            <w:tcW w:type="dxa" w:w="1050"/>
            <w:tcMar>
              <w:top w:w="80" w:type="dxa"/>
              <w:start w:w="120" w:type="dxa"/>
              <w:bottom w:w="80" w:type="dxa"/>
              <w:end w:w="120" w:type="dxa"/>
            </w:tcMar>
            <w:shd w:fill="FAFBFC"/>
          </w:tcPr>
          <w:p>
            <w:pPr>
              <w:spacing w:after="0"/>
            </w:pPr>
            <w:r>
              <w:rPr>
                <w:rFonts w:ascii="Calibri" w:hAnsi="Calibri"/>
                <w:color w:val="24303F"/>
                <w:sz w:val="14"/>
              </w:rPr>
              <w:t>41.6%</w:t>
            </w:r>
          </w:p>
        </w:tc>
        <w:tc>
          <w:tcPr>
            <w:tcW w:type="dxa" w:w="950"/>
            <w:tcMar>
              <w:top w:w="80" w:type="dxa"/>
              <w:start w:w="120" w:type="dxa"/>
              <w:bottom w:w="80" w:type="dxa"/>
              <w:end w:w="120" w:type="dxa"/>
            </w:tcMar>
            <w:shd w:fill="FAFBFC"/>
          </w:tcPr>
          <w:p>
            <w:pPr>
              <w:spacing w:after="0"/>
            </w:pPr>
            <w:r>
              <w:rPr>
                <w:rFonts w:ascii="Calibri" w:hAnsi="Calibri"/>
                <w:color w:val="24303F"/>
                <w:sz w:val="14"/>
              </w:rPr>
              <w:t>80.3%</w:t>
            </w:r>
          </w:p>
        </w:tc>
        <w:tc>
          <w:tcPr>
            <w:tcW w:type="dxa" w:w="900"/>
            <w:tcMar>
              <w:top w:w="80" w:type="dxa"/>
              <w:start w:w="120" w:type="dxa"/>
              <w:bottom w:w="80" w:type="dxa"/>
              <w:end w:w="120" w:type="dxa"/>
            </w:tcMar>
            <w:shd w:fill="FAFBFC"/>
          </w:tcPr>
          <w:p>
            <w:pPr>
              <w:spacing w:after="0"/>
            </w:pPr>
            <w:r>
              <w:rPr>
                <w:rFonts w:ascii="Calibri" w:hAnsi="Calibri"/>
                <w:color w:val="24303F"/>
                <w:sz w:val="14"/>
              </w:rPr>
              <w:t>0.84</w:t>
            </w:r>
          </w:p>
        </w:tc>
        <w:tc>
          <w:tcPr>
            <w:tcW w:type="dxa" w:w="1050"/>
            <w:tcMar>
              <w:top w:w="80" w:type="dxa"/>
              <w:start w:w="120" w:type="dxa"/>
              <w:bottom w:w="80" w:type="dxa"/>
              <w:end w:w="120" w:type="dxa"/>
            </w:tcMar>
            <w:shd w:fill="FAFBFC"/>
          </w:tcPr>
          <w:p>
            <w:pPr>
              <w:spacing w:after="0"/>
            </w:pPr>
            <w:r>
              <w:rPr>
                <w:rFonts w:ascii="Calibri" w:hAnsi="Calibri"/>
                <w:color w:val="24303F"/>
                <w:sz w:val="14"/>
              </w:rPr>
              <w:t>-80.5%</w:t>
            </w:r>
          </w:p>
        </w:tc>
        <w:tc>
          <w:tcPr>
            <w:tcW w:type="dxa" w:w="2410"/>
            <w:tcMar>
              <w:top w:w="80" w:type="dxa"/>
              <w:start w:w="120" w:type="dxa"/>
              <w:bottom w:w="80" w:type="dxa"/>
              <w:end w:w="120" w:type="dxa"/>
            </w:tcMar>
            <w:shd w:fill="FAFBFC"/>
          </w:tcPr>
          <w:p>
            <w:pPr>
              <w:spacing w:after="0"/>
            </w:pPr>
            <w:r>
              <w:rPr>
                <w:rFonts w:ascii="Calibri" w:hAnsi="Calibri"/>
                <w:color w:val="24303F"/>
                <w:sz w:val="14"/>
              </w:rPr>
              <w:t>1.03x</w:t>
            </w:r>
          </w:p>
        </w:tc>
      </w:tr>
    </w:tbl>
    <w:p>
      <w:pPr>
        <w:pStyle w:val="Caption"/>
      </w:pPr>
      <w:r>
        <w:t>Exhibit A1. Complete net performance metrics table.</w:t>
      </w:r>
    </w:p>
    <w:p>
      <w:pPr>
        <w:pStyle w:val="Source"/>
      </w:pPr>
      <w:r>
        <w:t>Source: results/tables/performance_metrics.csv. Return is compound annual growth; volatility and Sharpe use 252 for equity/combined and 365 for crypto; zero risk-free rate.</w:t>
      </w:r>
    </w:p>
    <w:p>
      <w:pPr>
        <w:spacing w:after="0"/>
        <w:jc w:val="center"/>
      </w:pPr>
      <w:r>
        <w:drawing>
          <wp:inline xmlns:a="http://schemas.openxmlformats.org/drawingml/2006/main" xmlns:pic="http://schemas.openxmlformats.org/drawingml/2006/picture">
            <wp:extent cx="5303520" cy="2676007"/>
            <wp:docPr id="4" name="Picture 4"/>
            <wp:cNvGraphicFramePr>
              <a:graphicFrameLocks noChangeAspect="1"/>
            </wp:cNvGraphicFramePr>
            <a:graphic>
              <a:graphicData uri="http://schemas.openxmlformats.org/drawingml/2006/picture">
                <pic:pic>
                  <pic:nvPicPr>
                    <pic:cNvPr id="0" name="sharpe_by_fund_and_method.png"/>
                    <pic:cNvPicPr/>
                  </pic:nvPicPr>
                  <pic:blipFill>
                    <a:blip r:embed="rId14"/>
                    <a:stretch>
                      <a:fillRect/>
                    </a:stretch>
                  </pic:blipFill>
                  <pic:spPr>
                    <a:xfrm>
                      <a:off x="0" y="0"/>
                      <a:ext cx="5303520" cy="2676007"/>
                    </a:xfrm>
                    <a:prstGeom prst="rect"/>
                  </pic:spPr>
                </pic:pic>
              </a:graphicData>
            </a:graphic>
          </wp:inline>
        </w:drawing>
      </w:r>
    </w:p>
    <w:p>
      <w:pPr>
        <w:pStyle w:val="Caption"/>
      </w:pPr>
      <w:r>
        <w:t>Exhibit A2. Net out-of-sample Sharpe ratio by method and family.</w:t>
      </w:r>
    </w:p>
    <w:p>
      <w:pPr>
        <w:pStyle w:val="Source"/>
      </w:pPr>
      <w:r>
        <w:t>Source: FINS5545 prices; student calculations; 2021–2023; 10 bps one-way cost.</w:t>
      </w:r>
    </w:p>
    <w:p>
      <w:pPr>
        <w:spacing w:after="80"/>
      </w:pPr>
      <w:r>
        <w:t>Crypto funds lead the sample Sharpe rankings but operate at a much higher risk level. Within equities, the simple Equal-Weight rule remains difficult to improve upon. Across the combined universe, Risk Parity only narrowly exceeds Equal-Weight on Sharpe ratio.</w:t>
      </w:r>
    </w:p>
    <w:p>
      <w:r>
        <w:br w:type="page"/>
      </w:r>
    </w:p>
    <w:p>
      <w:pPr>
        <w:spacing w:after="40"/>
      </w:pPr>
      <w:r>
        <w:rPr>
          <w:rFonts w:ascii="Calibri" w:hAnsi="Calibri"/>
          <w:b/>
          <w:color w:val="2A9D8F"/>
          <w:sz w:val="18"/>
        </w:rPr>
        <w:t>APPENDIX B</w:t>
      </w:r>
    </w:p>
    <w:p>
      <w:pPr>
        <w:pStyle w:val="Heading1"/>
        <w:spacing w:before="0"/>
      </w:pPr>
      <w:r>
        <w:t>Required exhibits: growth and drawdown</w:t>
      </w:r>
    </w:p>
    <w:p>
      <w:pPr>
        <w:spacing w:after="0"/>
        <w:jc w:val="center"/>
      </w:pPr>
      <w:r>
        <w:drawing>
          <wp:inline xmlns:a="http://schemas.openxmlformats.org/drawingml/2006/main" xmlns:pic="http://schemas.openxmlformats.org/drawingml/2006/picture">
            <wp:extent cx="5349240" cy="1710057"/>
            <wp:docPr id="5" name="Picture 5"/>
            <wp:cNvGraphicFramePr>
              <a:graphicFrameLocks noChangeAspect="1"/>
            </wp:cNvGraphicFramePr>
            <a:graphic>
              <a:graphicData uri="http://schemas.openxmlformats.org/drawingml/2006/picture">
                <pic:pic>
                  <pic:nvPicPr>
                    <pic:cNvPr id="0" name="growth_of_one_dollar.png"/>
                    <pic:cNvPicPr/>
                  </pic:nvPicPr>
                  <pic:blipFill>
                    <a:blip r:embed="rId15"/>
                    <a:stretch>
                      <a:fillRect/>
                    </a:stretch>
                  </pic:blipFill>
                  <pic:spPr>
                    <a:xfrm>
                      <a:off x="0" y="0"/>
                      <a:ext cx="5349240" cy="1710057"/>
                    </a:xfrm>
                    <a:prstGeom prst="rect"/>
                  </pic:spPr>
                </pic:pic>
              </a:graphicData>
            </a:graphic>
          </wp:inline>
        </w:drawing>
      </w:r>
    </w:p>
    <w:p>
      <w:pPr>
        <w:pStyle w:val="Caption"/>
      </w:pPr>
      <w:r>
        <w:t>Exhibit B1. Growth of $1 across all twelve funds, grouped by universe.</w:t>
      </w:r>
    </w:p>
    <w:p>
      <w:pPr>
        <w:pStyle w:val="Source"/>
      </w:pPr>
      <w:r>
        <w:t>Source: FINS5545 prices; student calculations; net of 10 bps one-way costs; 2021–2023.</w:t>
      </w:r>
    </w:p>
    <w:p>
      <w:pPr>
        <w:spacing w:after="80"/>
      </w:pPr>
      <w:r>
        <w:t>Crypto growth dominates the chart's vertical scale but is accompanied by much larger reversals. Separate equity and combined panels are therefore more informative for users with moderate risk tolerance.</w:t>
      </w:r>
    </w:p>
    <w:p>
      <w:pPr>
        <w:spacing w:after="0"/>
        <w:jc w:val="center"/>
      </w:pPr>
      <w:r>
        <w:drawing>
          <wp:inline xmlns:a="http://schemas.openxmlformats.org/drawingml/2006/main" xmlns:pic="http://schemas.openxmlformats.org/drawingml/2006/picture">
            <wp:extent cx="5349240" cy="2678113"/>
            <wp:docPr id="6" name="Picture 6"/>
            <wp:cNvGraphicFramePr>
              <a:graphicFrameLocks noChangeAspect="1"/>
            </wp:cNvGraphicFramePr>
            <a:graphic>
              <a:graphicData uri="http://schemas.openxmlformats.org/drawingml/2006/picture">
                <pic:pic>
                  <pic:nvPicPr>
                    <pic:cNvPr id="0" name="combined_fund_drawdown.png"/>
                    <pic:cNvPicPr/>
                  </pic:nvPicPr>
                  <pic:blipFill>
                    <a:blip r:embed="rId16"/>
                    <a:stretch>
                      <a:fillRect/>
                    </a:stretch>
                  </pic:blipFill>
                  <pic:spPr>
                    <a:xfrm>
                      <a:off x="0" y="0"/>
                      <a:ext cx="5349240" cy="2678113"/>
                    </a:xfrm>
                    <a:prstGeom prst="rect"/>
                  </pic:spPr>
                </pic:pic>
              </a:graphicData>
            </a:graphic>
          </wp:inline>
        </w:drawing>
      </w:r>
    </w:p>
    <w:p>
      <w:pPr>
        <w:pStyle w:val="Caption"/>
      </w:pPr>
      <w:r>
        <w:t>Exhibit B2. Drawdown paths for the four combined funds.</w:t>
      </w:r>
    </w:p>
    <w:p>
      <w:pPr>
        <w:pStyle w:val="Source"/>
      </w:pPr>
      <w:r>
        <w:t>Source: FINS5545 prices; student calculations; net of 10 bps one-way costs; 2021–2023.</w:t>
      </w:r>
    </w:p>
    <w:p>
      <w:pPr>
        <w:spacing w:after="80"/>
      </w:pPr>
      <w:r>
        <w:t>In the combined universe, Risk Parity has a smaller worst drawdown than Equal-Weight, while Maximum-Sharpe is considerably less stable.</w:t>
      </w:r>
    </w:p>
    <w:p>
      <w:r>
        <w:br w:type="page"/>
      </w:r>
    </w:p>
    <w:p>
      <w:pPr>
        <w:spacing w:after="40"/>
      </w:pPr>
      <w:r>
        <w:rPr>
          <w:rFonts w:ascii="Calibri" w:hAnsi="Calibri"/>
          <w:b/>
          <w:color w:val="2A9D8F"/>
          <w:sz w:val="18"/>
        </w:rPr>
        <w:t>APPENDIX C</w:t>
      </w:r>
    </w:p>
    <w:p>
      <w:pPr>
        <w:pStyle w:val="Heading1"/>
        <w:spacing w:before="0"/>
      </w:pPr>
      <w:r>
        <w:t>Required exhibit: portfolio weights over time</w:t>
      </w:r>
    </w:p>
    <w:p>
      <w:pPr>
        <w:spacing w:after="0"/>
        <w:jc w:val="center"/>
      </w:pPr>
      <w:r>
        <w:drawing>
          <wp:inline xmlns:a="http://schemas.openxmlformats.org/drawingml/2006/main" xmlns:pic="http://schemas.openxmlformats.org/drawingml/2006/picture">
            <wp:extent cx="5669280" cy="3497854"/>
            <wp:docPr id="7" name="Picture 7"/>
            <wp:cNvGraphicFramePr>
              <a:graphicFrameLocks noChangeAspect="1"/>
            </wp:cNvGraphicFramePr>
            <a:graphic>
              <a:graphicData uri="http://schemas.openxmlformats.org/drawingml/2006/picture">
                <pic:pic>
                  <pic:nvPicPr>
                    <pic:cNvPr id="0" name="combined_weights_over_time.png"/>
                    <pic:cNvPicPr/>
                  </pic:nvPicPr>
                  <pic:blipFill>
                    <a:blip r:embed="rId17"/>
                    <a:stretch>
                      <a:fillRect/>
                    </a:stretch>
                  </pic:blipFill>
                  <pic:spPr>
                    <a:xfrm>
                      <a:off x="0" y="0"/>
                      <a:ext cx="5669280" cy="3497854"/>
                    </a:xfrm>
                    <a:prstGeom prst="rect"/>
                  </pic:spPr>
                </pic:pic>
              </a:graphicData>
            </a:graphic>
          </wp:inline>
        </w:drawing>
      </w:r>
    </w:p>
    <w:p>
      <w:pPr>
        <w:pStyle w:val="Caption"/>
      </w:pPr>
      <w:r>
        <w:t>Exhibit C1. Monthly target allocations by group for all four combined-fund methods.</w:t>
      </w:r>
    </w:p>
    <w:p>
      <w:pPr>
        <w:pStyle w:val="Source"/>
      </w:pPr>
      <w:r>
        <w:t>Source: FINS5545 prices; expanding estimates use prior observations only; 2021–2023.</w:t>
      </w:r>
    </w:p>
    <w:p>
      <w:pPr>
        <w:spacing w:after="80"/>
      </w:pPr>
      <w:r>
        <w:t>Equal-Weight does not change by construction. Minimum-Variance largely avoids crypto, Risk Parity adjusts allocations gradually, and Maximum-Sharpe makes pronounced shifts as estimated returns change.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Audit link</w:t>
            </w:r>
          </w:p>
          <w:p>
            <w:pPr>
              <w:spacing w:after="0"/>
            </w:pPr>
            <w:r>
              <w:rPr>
                <w:rFonts w:ascii="Calibri" w:hAnsi="Calibri"/>
                <w:color w:val="24303F"/>
                <w:sz w:val="20"/>
              </w:rPr>
              <w:t>The underlying ticker-level monthly targets are in results/data/fund_weights.csv. results/tables/portfolio_constraint_checks.csv records weight sum, minimum, and maximum for every fund-rebalance pair.</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APPENDIX D</w:t>
      </w:r>
    </w:p>
    <w:p>
      <w:pPr>
        <w:pStyle w:val="Heading1"/>
        <w:spacing w:before="0"/>
      </w:pPr>
      <w:r>
        <w:t>Required exhibit: sector sentiment over time</w:t>
      </w:r>
    </w:p>
    <w:p>
      <w:pPr>
        <w:spacing w:after="0"/>
        <w:jc w:val="center"/>
      </w:pPr>
      <w:r>
        <w:drawing>
          <wp:inline xmlns:a="http://schemas.openxmlformats.org/drawingml/2006/main" xmlns:pic="http://schemas.openxmlformats.org/drawingml/2006/picture">
            <wp:extent cx="5577840" cy="5098094"/>
            <wp:docPr id="8" name="Picture 8"/>
            <wp:cNvGraphicFramePr>
              <a:graphicFrameLocks noChangeAspect="1"/>
            </wp:cNvGraphicFramePr>
            <a:graphic>
              <a:graphicData uri="http://schemas.openxmlformats.org/drawingml/2006/picture">
                <pic:pic>
                  <pic:nvPicPr>
                    <pic:cNvPr id="0" name="sector_sentiment_index.png"/>
                    <pic:cNvPicPr/>
                  </pic:nvPicPr>
                  <pic:blipFill>
                    <a:blip r:embed="rId18"/>
                    <a:stretch>
                      <a:fillRect/>
                    </a:stretch>
                  </pic:blipFill>
                  <pic:spPr>
                    <a:xfrm>
                      <a:off x="0" y="0"/>
                      <a:ext cx="5577840" cy="5098094"/>
                    </a:xfrm>
                    <a:prstGeom prst="rect"/>
                  </pic:spPr>
                </pic:pic>
              </a:graphicData>
            </a:graphic>
          </wp:inline>
        </w:drawing>
      </w:r>
    </w:p>
    <w:p>
      <w:pPr>
        <w:pStyle w:val="Caption"/>
      </w:pPr>
      <w:r>
        <w:t>Exhibit D1. Lagged 21-day finVADER sentiment by sector, 2020–2023.</w:t>
      </w:r>
    </w:p>
    <w:p>
      <w:pPr>
        <w:pStyle w:val="Source"/>
      </w:pPr>
      <w:r>
        <w:t>Source: FINS5545 headlines; headline scores average within ticker-day, then equally across tickers; five-day carry; one trading-day lag.</w:t>
      </w:r>
    </w:p>
    <w:p>
      <w:pPr>
        <w:spacing w:after="80"/>
      </w:pPr>
      <w:r>
        <w:t>Sector sentiment follows broad market conditions but still shows meaningful differences across sectors. Equal-ticker aggregation prevents one company from having too much influence simply because it receives more news coverage.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3F1"/>
            <w:tcBorders>
              <w:start w:val="single" w:sz="18" w:color="2A9D8F"/>
            </w:tcBorders>
          </w:tcPr>
          <w:p>
            <w:pPr>
              <w:spacing w:after="40"/>
            </w:pPr>
            <w:r>
              <w:rPr>
                <w:rFonts w:ascii="Calibri" w:hAnsi="Calibri"/>
                <w:b/>
                <w:color w:val="12263A"/>
                <w:sz w:val="21"/>
              </w:rPr>
              <w:t>Interpretation</w:t>
            </w:r>
          </w:p>
          <w:p>
            <w:pPr>
              <w:spacing w:after="0"/>
            </w:pPr>
            <w:r>
              <w:rPr>
                <w:rFonts w:ascii="Calibri" w:hAnsi="Calibri"/>
                <w:color w:val="24303F"/>
                <w:sz w:val="20"/>
              </w:rPr>
              <w:t>The sector chart is a descriptive state variable. It is not itself a trading result. Any allocation use is evaluated separately in Appendix E with the prescribed lag, holdout, turnover, and costs.</w:t>
            </w:r>
          </w:p>
        </w:tc>
      </w:tr>
    </w:tbl>
    <w:p>
      <w:pPr>
        <w:spacing w:after="40"/>
      </w:pPr>
      <w:r>
        <w:rPr>
          <w:rFonts w:ascii="Calibri" w:hAnsi="Calibri"/>
          <w:i w:val="0"/>
          <w:color w:val="24303F"/>
          <w:sz w:val="22"/>
        </w:rPr>
      </w:r>
    </w:p>
    <w:p>
      <w:r>
        <w:br w:type="page"/>
      </w:r>
    </w:p>
    <w:p>
      <w:pPr>
        <w:spacing w:after="40"/>
      </w:pPr>
      <w:r>
        <w:rPr>
          <w:rFonts w:ascii="Calibri" w:hAnsi="Calibri"/>
          <w:b/>
          <w:color w:val="2A9D8F"/>
          <w:sz w:val="18"/>
        </w:rPr>
        <w:t>APPENDIX E</w:t>
      </w:r>
    </w:p>
    <w:p>
      <w:pPr>
        <w:pStyle w:val="Heading1"/>
        <w:spacing w:before="0"/>
      </w:pPr>
      <w:r>
        <w:t>Sentiment diagnostics and fear/greed</w:t>
      </w:r>
    </w:p>
    <w:p>
      <w:pPr>
        <w:spacing w:after="0"/>
        <w:jc w:val="center"/>
      </w:pPr>
      <w:r>
        <w:drawing>
          <wp:inline xmlns:a="http://schemas.openxmlformats.org/drawingml/2006/main" xmlns:pic="http://schemas.openxmlformats.org/drawingml/2006/picture">
            <wp:extent cx="5394960" cy="3609949"/>
            <wp:docPr id="9" name="Picture 9"/>
            <wp:cNvGraphicFramePr>
              <a:graphicFrameLocks noChangeAspect="1"/>
            </wp:cNvGraphicFramePr>
            <a:graphic>
              <a:graphicData uri="http://schemas.openxmlformats.org/drawingml/2006/picture">
                <pic:pic>
                  <pic:nvPicPr>
                    <pic:cNvPr id="0" name="fear_greed_index.png"/>
                    <pic:cNvPicPr/>
                  </pic:nvPicPr>
                  <pic:blipFill>
                    <a:blip r:embed="rId19"/>
                    <a:stretch>
                      <a:fillRect/>
                    </a:stretch>
                  </pic:blipFill>
                  <pic:spPr>
                    <a:xfrm>
                      <a:off x="0" y="0"/>
                      <a:ext cx="5394960" cy="3609949"/>
                    </a:xfrm>
                    <a:prstGeom prst="rect"/>
                  </pic:spPr>
                </pic:pic>
              </a:graphicData>
            </a:graphic>
          </wp:inline>
        </w:drawing>
      </w:r>
    </w:p>
    <w:p>
      <w:pPr>
        <w:pStyle w:val="Caption"/>
      </w:pPr>
      <w:r>
        <w:t>Exhibit E1. MarketLens news fear/greed level and expanding live z-score.</w:t>
      </w:r>
    </w:p>
    <w:p>
      <w:pPr>
        <w:pStyle w:val="Source"/>
      </w:pPr>
      <w:r>
        <w:t>Source: FINS5545 headlines; finVADER; equal headline contribution after ticker-day aggregation; 2020–2023.</w:t>
      </w:r>
    </w:p>
    <w:p>
      <w:pPr>
        <w:spacing w:after="80"/>
      </w:pPr>
      <w:r>
        <w:t>The live z-score uses only information available by each date. A full-sample standardisation is retained in the CSV for descriptive comparison, but it plays no role in live decisions.</w:t>
      </w:r>
    </w:p>
    <w:p>
      <w:pPr>
        <w:spacing w:after="0"/>
        <w:jc w:val="center"/>
      </w:pPr>
      <w:r>
        <w:drawing>
          <wp:inline xmlns:a="http://schemas.openxmlformats.org/drawingml/2006/main" xmlns:pic="http://schemas.openxmlformats.org/drawingml/2006/picture">
            <wp:extent cx="5212080" cy="2278158"/>
            <wp:docPr id="10" name="Picture 10"/>
            <wp:cNvGraphicFramePr>
              <a:graphicFrameLocks noChangeAspect="1"/>
            </wp:cNvGraphicFramePr>
            <a:graphic>
              <a:graphicData uri="http://schemas.openxmlformats.org/drawingml/2006/picture">
                <pic:pic>
                  <pic:nvPicPr>
                    <pic:cNvPr id="0" name="sentiment_model_validation.png"/>
                    <pic:cNvPicPr/>
                  </pic:nvPicPr>
                  <pic:blipFill>
                    <a:blip r:embed="rId12"/>
                    <a:stretch>
                      <a:fillRect/>
                    </a:stretch>
                  </pic:blipFill>
                  <pic:spPr>
                    <a:xfrm>
                      <a:off x="0" y="0"/>
                      <a:ext cx="5212080" cy="2278158"/>
                    </a:xfrm>
                    <a:prstGeom prst="rect"/>
                  </pic:spPr>
                </pic:pic>
              </a:graphicData>
            </a:graphic>
          </wp:inline>
        </w:drawing>
      </w:r>
    </w:p>
    <w:p>
      <w:pPr>
        <w:pStyle w:val="Caption"/>
      </w:pPr>
      <w:r>
        <w:t>Exhibit E2. Sentiment model coverage robustness.</w:t>
      </w:r>
    </w:p>
    <w:p>
      <w:pPr>
        <w:pStyle w:val="Source"/>
      </w:pPr>
      <w:r>
        <w:t>Source: results/tables/sentiment_model_validation.csv; 2020–2023.</w:t>
      </w:r>
    </w:p>
    <w:p>
      <w:r>
        <w:br w:type="page"/>
      </w:r>
    </w:p>
    <w:p>
      <w:pPr>
        <w:spacing w:after="40"/>
      </w:pPr>
      <w:r>
        <w:rPr>
          <w:rFonts w:ascii="Calibri" w:hAnsi="Calibri"/>
          <w:b/>
          <w:color w:val="2A9D8F"/>
          <w:sz w:val="18"/>
        </w:rPr>
        <w:t>APPENDIX F</w:t>
      </w:r>
    </w:p>
    <w:p>
      <w:pPr>
        <w:pStyle w:val="Heading1"/>
        <w:spacing w:before="0"/>
      </w:pPr>
      <w:r>
        <w:t>Required fusion evidence and robustness</w:t>
      </w:r>
    </w:p>
    <w:tbl>
      <w:tblPr>
        <w:tblStyle w:val="TableGrid"/>
        <w:tblW w:type="dxa" w:w="9360"/>
        <w:jc w:val="left"/>
        <w:tblLayout w:type="fixed"/>
        <w:tblLook w:firstColumn="1" w:firstRow="1" w:lastColumn="0" w:lastRow="0" w:noHBand="0" w:noVBand="1" w:val="04A0"/>
        <w:tblInd w:w="120" w:type="dxa"/>
      </w:tblPr>
      <w:tblGrid>
        <w:gridCol w:w="1800"/>
        <w:gridCol w:w="2400"/>
        <w:gridCol w:w="1000"/>
        <w:gridCol w:w="1000"/>
        <w:gridCol w:w="1050"/>
        <w:gridCol w:w="2110"/>
      </w:tblGrid>
      <w:tr>
        <w:trPr>
          <w:tblHeader w:val="true"/>
        </w:trPr>
        <w:tc>
          <w:tcPr>
            <w:tcW w:type="dxa" w:w="1800"/>
            <w:tcMar>
              <w:top w:w="80" w:type="dxa"/>
              <w:start w:w="120" w:type="dxa"/>
              <w:bottom w:w="80" w:type="dxa"/>
              <w:end w:w="120" w:type="dxa"/>
            </w:tcMar>
            <w:vAlign w:val="center"/>
            <w:shd w:fill="F2F4F7"/>
          </w:tcPr>
          <w:p>
            <w:pPr>
              <w:spacing w:after="0"/>
            </w:pPr>
            <w:r>
              <w:rPr>
                <w:rFonts w:ascii="Calibri" w:hAnsi="Calibri"/>
                <w:b/>
                <w:color w:val="12263A"/>
                <w:sz w:val="15"/>
              </w:rPr>
              <w:t>Period</w:t>
            </w:r>
          </w:p>
        </w:tc>
        <w:tc>
          <w:tcPr>
            <w:tcW w:type="dxa" w:w="2400"/>
            <w:tcMar>
              <w:top w:w="80" w:type="dxa"/>
              <w:start w:w="120" w:type="dxa"/>
              <w:bottom w:w="80" w:type="dxa"/>
              <w:end w:w="120" w:type="dxa"/>
            </w:tcMar>
            <w:vAlign w:val="center"/>
            <w:shd w:fill="F2F4F7"/>
          </w:tcPr>
          <w:p>
            <w:pPr>
              <w:spacing w:after="0"/>
            </w:pPr>
            <w:r>
              <w:rPr>
                <w:rFonts w:ascii="Calibri" w:hAnsi="Calibri"/>
                <w:b/>
                <w:color w:val="12263A"/>
                <w:sz w:val="15"/>
              </w:rPr>
              <w:t>Model</w:t>
            </w:r>
          </w:p>
        </w:tc>
        <w:tc>
          <w:tcPr>
            <w:tcW w:type="dxa" w:w="1000"/>
            <w:tcMar>
              <w:top w:w="80" w:type="dxa"/>
              <w:start w:w="120" w:type="dxa"/>
              <w:bottom w:w="80" w:type="dxa"/>
              <w:end w:w="120" w:type="dxa"/>
            </w:tcMar>
            <w:vAlign w:val="center"/>
            <w:shd w:fill="F2F4F7"/>
          </w:tcPr>
          <w:p>
            <w:pPr>
              <w:spacing w:after="0"/>
            </w:pPr>
            <w:r>
              <w:rPr>
                <w:rFonts w:ascii="Calibri" w:hAnsi="Calibri"/>
                <w:b/>
                <w:color w:val="12263A"/>
                <w:sz w:val="15"/>
              </w:rPr>
              <w:t>Return</w:t>
            </w:r>
          </w:p>
        </w:tc>
        <w:tc>
          <w:tcPr>
            <w:tcW w:type="dxa" w:w="1000"/>
            <w:tcMar>
              <w:top w:w="80" w:type="dxa"/>
              <w:start w:w="120" w:type="dxa"/>
              <w:bottom w:w="80" w:type="dxa"/>
              <w:end w:w="120" w:type="dxa"/>
            </w:tcMar>
            <w:vAlign w:val="center"/>
            <w:shd w:fill="F2F4F7"/>
          </w:tcPr>
          <w:p>
            <w:pPr>
              <w:spacing w:after="0"/>
            </w:pPr>
            <w:r>
              <w:rPr>
                <w:rFonts w:ascii="Calibri" w:hAnsi="Calibri"/>
                <w:b/>
                <w:color w:val="12263A"/>
                <w:sz w:val="15"/>
              </w:rPr>
              <w:t>Sharpe</w:t>
            </w:r>
          </w:p>
        </w:tc>
        <w:tc>
          <w:tcPr>
            <w:tcW w:type="dxa" w:w="1050"/>
            <w:tcMar>
              <w:top w:w="80" w:type="dxa"/>
              <w:start w:w="120" w:type="dxa"/>
              <w:bottom w:w="80" w:type="dxa"/>
              <w:end w:w="120" w:type="dxa"/>
            </w:tcMar>
            <w:vAlign w:val="center"/>
            <w:shd w:fill="F2F4F7"/>
          </w:tcPr>
          <w:p>
            <w:pPr>
              <w:spacing w:after="0"/>
            </w:pPr>
            <w:r>
              <w:rPr>
                <w:rFonts w:ascii="Calibri" w:hAnsi="Calibri"/>
                <w:b/>
                <w:color w:val="12263A"/>
                <w:sz w:val="15"/>
              </w:rPr>
              <w:t>MDD</w:t>
            </w:r>
          </w:p>
        </w:tc>
        <w:tc>
          <w:tcPr>
            <w:tcW w:type="dxa" w:w="2110"/>
            <w:tcMar>
              <w:top w:w="80" w:type="dxa"/>
              <w:start w:w="120" w:type="dxa"/>
              <w:bottom w:w="80" w:type="dxa"/>
              <w:end w:w="120" w:type="dxa"/>
            </w:tcMar>
            <w:vAlign w:val="center"/>
            <w:shd w:fill="F2F4F7"/>
          </w:tcPr>
          <w:p>
            <w:pPr>
              <w:spacing w:after="0"/>
            </w:pPr>
            <w:r>
              <w:rPr>
                <w:rFonts w:ascii="Calibri" w:hAnsi="Calibri"/>
                <w:b/>
                <w:color w:val="12263A"/>
                <w:sz w:val="15"/>
              </w:rPr>
              <w:t>Turnover</w:t>
            </w:r>
          </w:p>
        </w:tc>
      </w:tr>
      <w:tr>
        <w:tc>
          <w:tcPr>
            <w:tcW w:type="dxa" w:w="1800"/>
            <w:tcMar>
              <w:top w:w="80" w:type="dxa"/>
              <w:start w:w="120" w:type="dxa"/>
              <w:bottom w:w="80" w:type="dxa"/>
              <w:end w:w="120" w:type="dxa"/>
            </w:tcMar>
          </w:tcPr>
          <w:p>
            <w:pPr>
              <w:spacing w:after="0"/>
            </w:pPr>
            <w:r>
              <w:rPr>
                <w:rFonts w:ascii="Calibri" w:hAnsi="Calibri"/>
                <w:color w:val="24303F"/>
                <w:sz w:val="15"/>
              </w:rPr>
              <w:t>Full OOS (descriptive; strength tuned within period)</w:t>
            </w:r>
          </w:p>
        </w:tc>
        <w:tc>
          <w:tcPr>
            <w:tcW w:type="dxa" w:w="2400"/>
            <w:tcMar>
              <w:top w:w="80" w:type="dxa"/>
              <w:start w:w="120" w:type="dxa"/>
              <w:bottom w:w="80" w:type="dxa"/>
              <w:end w:w="120" w:type="dxa"/>
            </w:tcMar>
          </w:tcPr>
          <w:p>
            <w:pPr>
              <w:spacing w:after="0"/>
            </w:pPr>
            <w:r>
              <w:rPr>
                <w:rFonts w:ascii="Calibri" w:hAnsi="Calibri"/>
                <w:color w:val="24303F"/>
                <w:sz w:val="15"/>
              </w:rPr>
              <w:t>Base Equity Minimum-Variance</w:t>
            </w:r>
          </w:p>
        </w:tc>
        <w:tc>
          <w:tcPr>
            <w:tcW w:type="dxa" w:w="1000"/>
            <w:tcMar>
              <w:top w:w="80" w:type="dxa"/>
              <w:start w:w="120" w:type="dxa"/>
              <w:bottom w:w="80" w:type="dxa"/>
              <w:end w:w="120" w:type="dxa"/>
            </w:tcMar>
          </w:tcPr>
          <w:p>
            <w:pPr>
              <w:spacing w:after="0"/>
            </w:pPr>
            <w:r>
              <w:rPr>
                <w:rFonts w:ascii="Calibri" w:hAnsi="Calibri"/>
                <w:color w:val="24303F"/>
                <w:sz w:val="15"/>
              </w:rPr>
              <w:t>7.0%</w:t>
            </w:r>
          </w:p>
        </w:tc>
        <w:tc>
          <w:tcPr>
            <w:tcW w:type="dxa" w:w="1000"/>
            <w:tcMar>
              <w:top w:w="80" w:type="dxa"/>
              <w:start w:w="120" w:type="dxa"/>
              <w:bottom w:w="80" w:type="dxa"/>
              <w:end w:w="120" w:type="dxa"/>
            </w:tcMar>
          </w:tcPr>
          <w:p>
            <w:pPr>
              <w:spacing w:after="0"/>
            </w:pPr>
            <w:r>
              <w:rPr>
                <w:rFonts w:ascii="Calibri" w:hAnsi="Calibri"/>
                <w:color w:val="24303F"/>
                <w:sz w:val="15"/>
              </w:rPr>
              <w:t>0.60</w:t>
            </w:r>
          </w:p>
        </w:tc>
        <w:tc>
          <w:tcPr>
            <w:tcW w:type="dxa" w:w="1050"/>
            <w:tcMar>
              <w:top w:w="80" w:type="dxa"/>
              <w:start w:w="120" w:type="dxa"/>
              <w:bottom w:w="80" w:type="dxa"/>
              <w:end w:w="120" w:type="dxa"/>
            </w:tcMar>
          </w:tcPr>
          <w:p>
            <w:pPr>
              <w:spacing w:after="0"/>
            </w:pPr>
            <w:r>
              <w:rPr>
                <w:rFonts w:ascii="Calibri" w:hAnsi="Calibri"/>
                <w:color w:val="24303F"/>
                <w:sz w:val="15"/>
              </w:rPr>
              <w:t>-17.8%</w:t>
            </w:r>
          </w:p>
        </w:tc>
        <w:tc>
          <w:tcPr>
            <w:tcW w:type="dxa" w:w="2110"/>
            <w:tcMar>
              <w:top w:w="80" w:type="dxa"/>
              <w:start w:w="120" w:type="dxa"/>
              <w:bottom w:w="80" w:type="dxa"/>
              <w:end w:w="120" w:type="dxa"/>
            </w:tcMar>
          </w:tcPr>
          <w:p>
            <w:pPr>
              <w:spacing w:after="0"/>
            </w:pPr>
            <w:r>
              <w:rPr>
                <w:rFonts w:ascii="Calibri" w:hAnsi="Calibri"/>
                <w:color w:val="24303F"/>
                <w:sz w:val="15"/>
              </w:rPr>
              <w:t>2.09x</w:t>
            </w:r>
          </w:p>
        </w:tc>
      </w:tr>
      <w:tr>
        <w:tc>
          <w:tcPr>
            <w:tcW w:type="dxa" w:w="1800"/>
            <w:tcMar>
              <w:top w:w="80" w:type="dxa"/>
              <w:start w:w="120" w:type="dxa"/>
              <w:bottom w:w="80" w:type="dxa"/>
              <w:end w:w="120" w:type="dxa"/>
            </w:tcMar>
            <w:shd w:fill="FAFBFC"/>
          </w:tcPr>
          <w:p>
            <w:pPr>
              <w:spacing w:after="0"/>
            </w:pPr>
            <w:r>
              <w:rPr>
                <w:rFonts w:ascii="Calibri" w:hAnsi="Calibri"/>
                <w:color w:val="24303F"/>
                <w:sz w:val="15"/>
              </w:rPr>
              <w:t>Full OOS (descriptive; strength tuned within period)</w:t>
            </w:r>
          </w:p>
        </w:tc>
        <w:tc>
          <w:tcPr>
            <w:tcW w:type="dxa" w:w="2400"/>
            <w:tcMar>
              <w:top w:w="80" w:type="dxa"/>
              <w:start w:w="120" w:type="dxa"/>
              <w:bottom w:w="80" w:type="dxa"/>
              <w:end w:w="120" w:type="dxa"/>
            </w:tcMar>
            <w:shd w:fill="FAFBFC"/>
          </w:tcPr>
          <w:p>
            <w:pPr>
              <w:spacing w:after="0"/>
            </w:pPr>
            <w:r>
              <w:rPr>
                <w:rFonts w:ascii="Calibri" w:hAnsi="Calibri"/>
                <w:color w:val="24303F"/>
                <w:sz w:val="15"/>
              </w:rPr>
              <w:t>Finance-Sentiment Tilt</w:t>
            </w:r>
          </w:p>
        </w:tc>
        <w:tc>
          <w:tcPr>
            <w:tcW w:type="dxa" w:w="1000"/>
            <w:tcMar>
              <w:top w:w="80" w:type="dxa"/>
              <w:start w:w="120" w:type="dxa"/>
              <w:bottom w:w="80" w:type="dxa"/>
              <w:end w:w="120" w:type="dxa"/>
            </w:tcMar>
            <w:shd w:fill="FAFBFC"/>
          </w:tcPr>
          <w:p>
            <w:pPr>
              <w:spacing w:after="0"/>
            </w:pPr>
            <w:r>
              <w:rPr>
                <w:rFonts w:ascii="Calibri" w:hAnsi="Calibri"/>
                <w:color w:val="24303F"/>
                <w:sz w:val="15"/>
              </w:rPr>
              <w:t>6.9%</w:t>
            </w:r>
          </w:p>
        </w:tc>
        <w:tc>
          <w:tcPr>
            <w:tcW w:type="dxa" w:w="1000"/>
            <w:tcMar>
              <w:top w:w="80" w:type="dxa"/>
              <w:start w:w="120" w:type="dxa"/>
              <w:bottom w:w="80" w:type="dxa"/>
              <w:end w:w="120" w:type="dxa"/>
            </w:tcMar>
            <w:shd w:fill="FAFBFC"/>
          </w:tcPr>
          <w:p>
            <w:pPr>
              <w:spacing w:after="0"/>
            </w:pPr>
            <w:r>
              <w:rPr>
                <w:rFonts w:ascii="Calibri" w:hAnsi="Calibri"/>
                <w:color w:val="24303F"/>
                <w:sz w:val="15"/>
              </w:rPr>
              <w:t>0.59</w:t>
            </w:r>
          </w:p>
        </w:tc>
        <w:tc>
          <w:tcPr>
            <w:tcW w:type="dxa" w:w="1050"/>
            <w:tcMar>
              <w:top w:w="80" w:type="dxa"/>
              <w:start w:w="120" w:type="dxa"/>
              <w:bottom w:w="80" w:type="dxa"/>
              <w:end w:w="120" w:type="dxa"/>
            </w:tcMar>
            <w:shd w:fill="FAFBFC"/>
          </w:tcPr>
          <w:p>
            <w:pPr>
              <w:spacing w:after="0"/>
            </w:pPr>
            <w:r>
              <w:rPr>
                <w:rFonts w:ascii="Calibri" w:hAnsi="Calibri"/>
                <w:color w:val="24303F"/>
                <w:sz w:val="15"/>
              </w:rPr>
              <w:t>-18.1%</w:t>
            </w:r>
          </w:p>
        </w:tc>
        <w:tc>
          <w:tcPr>
            <w:tcW w:type="dxa" w:w="2110"/>
            <w:tcMar>
              <w:top w:w="80" w:type="dxa"/>
              <w:start w:w="120" w:type="dxa"/>
              <w:bottom w:w="80" w:type="dxa"/>
              <w:end w:w="120" w:type="dxa"/>
            </w:tcMar>
            <w:shd w:fill="FAFBFC"/>
          </w:tcPr>
          <w:p>
            <w:pPr>
              <w:spacing w:after="0"/>
            </w:pPr>
            <w:r>
              <w:rPr>
                <w:rFonts w:ascii="Calibri" w:hAnsi="Calibri"/>
                <w:color w:val="24303F"/>
                <w:sz w:val="15"/>
              </w:rPr>
              <w:t>4.79x</w:t>
            </w:r>
          </w:p>
        </w:tc>
      </w:tr>
      <w:tr>
        <w:tc>
          <w:tcPr>
            <w:tcW w:type="dxa" w:w="1800"/>
            <w:tcMar>
              <w:top w:w="80" w:type="dxa"/>
              <w:start w:w="120" w:type="dxa"/>
              <w:bottom w:w="80" w:type="dxa"/>
              <w:end w:w="120" w:type="dxa"/>
            </w:tcMar>
          </w:tcPr>
          <w:p>
            <w:pPr>
              <w:spacing w:after="0"/>
            </w:pPr>
            <w:r>
              <w:rPr>
                <w:rFonts w:ascii="Calibri" w:hAnsi="Calibri"/>
                <w:color w:val="24303F"/>
                <w:sz w:val="15"/>
              </w:rPr>
              <w:t>Discovery (strength selected here)</w:t>
            </w:r>
          </w:p>
        </w:tc>
        <w:tc>
          <w:tcPr>
            <w:tcW w:type="dxa" w:w="2400"/>
            <w:tcMar>
              <w:top w:w="80" w:type="dxa"/>
              <w:start w:w="120" w:type="dxa"/>
              <w:bottom w:w="80" w:type="dxa"/>
              <w:end w:w="120" w:type="dxa"/>
            </w:tcMar>
          </w:tcPr>
          <w:p>
            <w:pPr>
              <w:spacing w:after="0"/>
            </w:pPr>
            <w:r>
              <w:rPr>
                <w:rFonts w:ascii="Calibri" w:hAnsi="Calibri"/>
                <w:color w:val="24303F"/>
                <w:sz w:val="15"/>
              </w:rPr>
              <w:t>Base Equity Minimum-Variance</w:t>
            </w:r>
          </w:p>
        </w:tc>
        <w:tc>
          <w:tcPr>
            <w:tcW w:type="dxa" w:w="1000"/>
            <w:tcMar>
              <w:top w:w="80" w:type="dxa"/>
              <w:start w:w="120" w:type="dxa"/>
              <w:bottom w:w="80" w:type="dxa"/>
              <w:end w:w="120" w:type="dxa"/>
            </w:tcMar>
          </w:tcPr>
          <w:p>
            <w:pPr>
              <w:spacing w:after="0"/>
            </w:pPr>
            <w:r>
              <w:rPr>
                <w:rFonts w:ascii="Calibri" w:hAnsi="Calibri"/>
                <w:color w:val="24303F"/>
                <w:sz w:val="15"/>
              </w:rPr>
              <w:t>8.0%</w:t>
            </w:r>
          </w:p>
        </w:tc>
        <w:tc>
          <w:tcPr>
            <w:tcW w:type="dxa" w:w="1000"/>
            <w:tcMar>
              <w:top w:w="80" w:type="dxa"/>
              <w:start w:w="120" w:type="dxa"/>
              <w:bottom w:w="80" w:type="dxa"/>
              <w:end w:w="120" w:type="dxa"/>
            </w:tcMar>
          </w:tcPr>
          <w:p>
            <w:pPr>
              <w:spacing w:after="0"/>
            </w:pPr>
            <w:r>
              <w:rPr>
                <w:rFonts w:ascii="Calibri" w:hAnsi="Calibri"/>
                <w:color w:val="24303F"/>
                <w:sz w:val="15"/>
              </w:rPr>
              <w:t>0.63</w:t>
            </w:r>
          </w:p>
        </w:tc>
        <w:tc>
          <w:tcPr>
            <w:tcW w:type="dxa" w:w="1050"/>
            <w:tcMar>
              <w:top w:w="80" w:type="dxa"/>
              <w:start w:w="120" w:type="dxa"/>
              <w:bottom w:w="80" w:type="dxa"/>
              <w:end w:w="120" w:type="dxa"/>
            </w:tcMar>
          </w:tcPr>
          <w:p>
            <w:pPr>
              <w:spacing w:after="0"/>
            </w:pPr>
            <w:r>
              <w:rPr>
                <w:rFonts w:ascii="Calibri" w:hAnsi="Calibri"/>
                <w:color w:val="24303F"/>
                <w:sz w:val="15"/>
              </w:rPr>
              <w:t>-17.8%</w:t>
            </w:r>
          </w:p>
        </w:tc>
        <w:tc>
          <w:tcPr>
            <w:tcW w:type="dxa" w:w="2110"/>
            <w:tcMar>
              <w:top w:w="80" w:type="dxa"/>
              <w:start w:w="120" w:type="dxa"/>
              <w:bottom w:w="80" w:type="dxa"/>
              <w:end w:w="120" w:type="dxa"/>
            </w:tcMar>
          </w:tcPr>
          <w:p>
            <w:pPr>
              <w:spacing w:after="0"/>
            </w:pPr>
            <w:r>
              <w:rPr>
                <w:rFonts w:ascii="Calibri" w:hAnsi="Calibri"/>
                <w:color w:val="24303F"/>
                <w:sz w:val="15"/>
              </w:rPr>
              <w:t>1.82x</w:t>
            </w:r>
          </w:p>
        </w:tc>
      </w:tr>
      <w:tr>
        <w:tc>
          <w:tcPr>
            <w:tcW w:type="dxa" w:w="1800"/>
            <w:tcMar>
              <w:top w:w="80" w:type="dxa"/>
              <w:start w:w="120" w:type="dxa"/>
              <w:bottom w:w="80" w:type="dxa"/>
              <w:end w:w="120" w:type="dxa"/>
            </w:tcMar>
            <w:shd w:fill="FAFBFC"/>
          </w:tcPr>
          <w:p>
            <w:pPr>
              <w:spacing w:after="0"/>
            </w:pPr>
            <w:r>
              <w:rPr>
                <w:rFonts w:ascii="Calibri" w:hAnsi="Calibri"/>
                <w:color w:val="24303F"/>
                <w:sz w:val="15"/>
              </w:rPr>
              <w:t>Discovery (strength selected here)</w:t>
            </w:r>
          </w:p>
        </w:tc>
        <w:tc>
          <w:tcPr>
            <w:tcW w:type="dxa" w:w="2400"/>
            <w:tcMar>
              <w:top w:w="80" w:type="dxa"/>
              <w:start w:w="120" w:type="dxa"/>
              <w:bottom w:w="80" w:type="dxa"/>
              <w:end w:w="120" w:type="dxa"/>
            </w:tcMar>
            <w:shd w:fill="FAFBFC"/>
          </w:tcPr>
          <w:p>
            <w:pPr>
              <w:spacing w:after="0"/>
            </w:pPr>
            <w:r>
              <w:rPr>
                <w:rFonts w:ascii="Calibri" w:hAnsi="Calibri"/>
                <w:color w:val="24303F"/>
                <w:sz w:val="15"/>
              </w:rPr>
              <w:t>Finance-Sentiment Tilt</w:t>
            </w:r>
          </w:p>
        </w:tc>
        <w:tc>
          <w:tcPr>
            <w:tcW w:type="dxa" w:w="1000"/>
            <w:tcMar>
              <w:top w:w="80" w:type="dxa"/>
              <w:start w:w="120" w:type="dxa"/>
              <w:bottom w:w="80" w:type="dxa"/>
              <w:end w:w="120" w:type="dxa"/>
            </w:tcMar>
            <w:shd w:fill="FAFBFC"/>
          </w:tcPr>
          <w:p>
            <w:pPr>
              <w:spacing w:after="0"/>
            </w:pPr>
            <w:r>
              <w:rPr>
                <w:rFonts w:ascii="Calibri" w:hAnsi="Calibri"/>
                <w:color w:val="24303F"/>
                <w:sz w:val="15"/>
              </w:rPr>
              <w:t>7.7%</w:t>
            </w:r>
          </w:p>
        </w:tc>
        <w:tc>
          <w:tcPr>
            <w:tcW w:type="dxa" w:w="1000"/>
            <w:tcMar>
              <w:top w:w="80" w:type="dxa"/>
              <w:start w:w="120" w:type="dxa"/>
              <w:bottom w:w="80" w:type="dxa"/>
              <w:end w:w="120" w:type="dxa"/>
            </w:tcMar>
            <w:shd w:fill="FAFBFC"/>
          </w:tcPr>
          <w:p>
            <w:pPr>
              <w:spacing w:after="0"/>
            </w:pPr>
            <w:r>
              <w:rPr>
                <w:rFonts w:ascii="Calibri" w:hAnsi="Calibri"/>
                <w:color w:val="24303F"/>
                <w:sz w:val="15"/>
              </w:rPr>
              <w:t>0.62</w:t>
            </w:r>
          </w:p>
        </w:tc>
        <w:tc>
          <w:tcPr>
            <w:tcW w:type="dxa" w:w="1050"/>
            <w:tcMar>
              <w:top w:w="80" w:type="dxa"/>
              <w:start w:w="120" w:type="dxa"/>
              <w:bottom w:w="80" w:type="dxa"/>
              <w:end w:w="120" w:type="dxa"/>
            </w:tcMar>
            <w:shd w:fill="FAFBFC"/>
          </w:tcPr>
          <w:p>
            <w:pPr>
              <w:spacing w:after="0"/>
            </w:pPr>
            <w:r>
              <w:rPr>
                <w:rFonts w:ascii="Calibri" w:hAnsi="Calibri"/>
                <w:color w:val="24303F"/>
                <w:sz w:val="15"/>
              </w:rPr>
              <w:t>-18.1%</w:t>
            </w:r>
          </w:p>
        </w:tc>
        <w:tc>
          <w:tcPr>
            <w:tcW w:type="dxa" w:w="2110"/>
            <w:tcMar>
              <w:top w:w="80" w:type="dxa"/>
              <w:start w:w="120" w:type="dxa"/>
              <w:bottom w:w="80" w:type="dxa"/>
              <w:end w:w="120" w:type="dxa"/>
            </w:tcMar>
            <w:shd w:fill="FAFBFC"/>
          </w:tcPr>
          <w:p>
            <w:pPr>
              <w:spacing w:after="0"/>
            </w:pPr>
            <w:r>
              <w:rPr>
                <w:rFonts w:ascii="Calibri" w:hAnsi="Calibri"/>
                <w:color w:val="24303F"/>
                <w:sz w:val="15"/>
              </w:rPr>
              <w:t>3.75x</w:t>
            </w:r>
          </w:p>
        </w:tc>
      </w:tr>
      <w:tr>
        <w:tc>
          <w:tcPr>
            <w:tcW w:type="dxa" w:w="1800"/>
            <w:tcMar>
              <w:top w:w="80" w:type="dxa"/>
              <w:start w:w="120" w:type="dxa"/>
              <w:bottom w:w="80" w:type="dxa"/>
              <w:end w:w="120" w:type="dxa"/>
            </w:tcMar>
          </w:tcPr>
          <w:p>
            <w:pPr>
              <w:spacing w:after="0"/>
            </w:pPr>
            <w:r>
              <w:rPr>
                <w:rFonts w:ascii="Calibri" w:hAnsi="Calibri"/>
                <w:color w:val="24303F"/>
                <w:sz w:val="15"/>
              </w:rPr>
              <w:t>Untouched holdout</w:t>
            </w:r>
          </w:p>
        </w:tc>
        <w:tc>
          <w:tcPr>
            <w:tcW w:type="dxa" w:w="2400"/>
            <w:tcMar>
              <w:top w:w="80" w:type="dxa"/>
              <w:start w:w="120" w:type="dxa"/>
              <w:bottom w:w="80" w:type="dxa"/>
              <w:end w:w="120" w:type="dxa"/>
            </w:tcMar>
          </w:tcPr>
          <w:p>
            <w:pPr>
              <w:spacing w:after="0"/>
            </w:pPr>
            <w:r>
              <w:rPr>
                <w:rFonts w:ascii="Calibri" w:hAnsi="Calibri"/>
                <w:color w:val="24303F"/>
                <w:sz w:val="15"/>
              </w:rPr>
              <w:t>Base Equity Minimum-Variance</w:t>
            </w:r>
          </w:p>
        </w:tc>
        <w:tc>
          <w:tcPr>
            <w:tcW w:type="dxa" w:w="1000"/>
            <w:tcMar>
              <w:top w:w="80" w:type="dxa"/>
              <w:start w:w="120" w:type="dxa"/>
              <w:bottom w:w="80" w:type="dxa"/>
              <w:end w:w="120" w:type="dxa"/>
            </w:tcMar>
          </w:tcPr>
          <w:p>
            <w:pPr>
              <w:spacing w:after="0"/>
            </w:pPr>
            <w:r>
              <w:rPr>
                <w:rFonts w:ascii="Calibri" w:hAnsi="Calibri"/>
                <w:color w:val="24303F"/>
                <w:sz w:val="15"/>
              </w:rPr>
              <w:t>5.1%</w:t>
            </w:r>
          </w:p>
        </w:tc>
        <w:tc>
          <w:tcPr>
            <w:tcW w:type="dxa" w:w="1000"/>
            <w:tcMar>
              <w:top w:w="80" w:type="dxa"/>
              <w:start w:w="120" w:type="dxa"/>
              <w:bottom w:w="80" w:type="dxa"/>
              <w:end w:w="120" w:type="dxa"/>
            </w:tcMar>
          </w:tcPr>
          <w:p>
            <w:pPr>
              <w:spacing w:after="0"/>
            </w:pPr>
            <w:r>
              <w:rPr>
                <w:rFonts w:ascii="Calibri" w:hAnsi="Calibri"/>
                <w:color w:val="24303F"/>
                <w:sz w:val="15"/>
              </w:rPr>
              <w:t>0.51</w:t>
            </w:r>
          </w:p>
        </w:tc>
        <w:tc>
          <w:tcPr>
            <w:tcW w:type="dxa" w:w="1050"/>
            <w:tcMar>
              <w:top w:w="80" w:type="dxa"/>
              <w:start w:w="120" w:type="dxa"/>
              <w:bottom w:w="80" w:type="dxa"/>
              <w:end w:w="120" w:type="dxa"/>
            </w:tcMar>
          </w:tcPr>
          <w:p>
            <w:pPr>
              <w:spacing w:after="0"/>
            </w:pPr>
            <w:r>
              <w:rPr>
                <w:rFonts w:ascii="Calibri" w:hAnsi="Calibri"/>
                <w:color w:val="24303F"/>
                <w:sz w:val="15"/>
              </w:rPr>
              <w:t>-8.6%</w:t>
            </w:r>
          </w:p>
        </w:tc>
        <w:tc>
          <w:tcPr>
            <w:tcW w:type="dxa" w:w="2110"/>
            <w:tcMar>
              <w:top w:w="80" w:type="dxa"/>
              <w:start w:w="120" w:type="dxa"/>
              <w:bottom w:w="80" w:type="dxa"/>
              <w:end w:w="120" w:type="dxa"/>
            </w:tcMar>
          </w:tcPr>
          <w:p>
            <w:pPr>
              <w:spacing w:after="0"/>
            </w:pPr>
            <w:r>
              <w:rPr>
                <w:rFonts w:ascii="Calibri" w:hAnsi="Calibri"/>
                <w:color w:val="24303F"/>
                <w:sz w:val="15"/>
              </w:rPr>
              <w:t>0.27x</w:t>
            </w:r>
          </w:p>
        </w:tc>
      </w:tr>
      <w:tr>
        <w:tc>
          <w:tcPr>
            <w:tcW w:type="dxa" w:w="1800"/>
            <w:tcMar>
              <w:top w:w="80" w:type="dxa"/>
              <w:start w:w="120" w:type="dxa"/>
              <w:bottom w:w="80" w:type="dxa"/>
              <w:end w:w="120" w:type="dxa"/>
            </w:tcMar>
            <w:shd w:fill="FAFBFC"/>
          </w:tcPr>
          <w:p>
            <w:pPr>
              <w:spacing w:after="0"/>
            </w:pPr>
            <w:r>
              <w:rPr>
                <w:rFonts w:ascii="Calibri" w:hAnsi="Calibri"/>
                <w:color w:val="24303F"/>
                <w:sz w:val="15"/>
              </w:rPr>
              <w:t>Untouched holdout</w:t>
            </w:r>
          </w:p>
        </w:tc>
        <w:tc>
          <w:tcPr>
            <w:tcW w:type="dxa" w:w="2400"/>
            <w:tcMar>
              <w:top w:w="80" w:type="dxa"/>
              <w:start w:w="120" w:type="dxa"/>
              <w:bottom w:w="80" w:type="dxa"/>
              <w:end w:w="120" w:type="dxa"/>
            </w:tcMar>
            <w:shd w:fill="FAFBFC"/>
          </w:tcPr>
          <w:p>
            <w:pPr>
              <w:spacing w:after="0"/>
            </w:pPr>
            <w:r>
              <w:rPr>
                <w:rFonts w:ascii="Calibri" w:hAnsi="Calibri"/>
                <w:color w:val="24303F"/>
                <w:sz w:val="15"/>
              </w:rPr>
              <w:t>Finance-Sentiment Tilt</w:t>
            </w:r>
          </w:p>
        </w:tc>
        <w:tc>
          <w:tcPr>
            <w:tcW w:type="dxa" w:w="1000"/>
            <w:tcMar>
              <w:top w:w="80" w:type="dxa"/>
              <w:start w:w="120" w:type="dxa"/>
              <w:bottom w:w="80" w:type="dxa"/>
              <w:end w:w="120" w:type="dxa"/>
            </w:tcMar>
            <w:shd w:fill="FAFBFC"/>
          </w:tcPr>
          <w:p>
            <w:pPr>
              <w:spacing w:after="0"/>
            </w:pPr>
            <w:r>
              <w:rPr>
                <w:rFonts w:ascii="Calibri" w:hAnsi="Calibri"/>
                <w:color w:val="24303F"/>
                <w:sz w:val="15"/>
              </w:rPr>
              <w:t>5.3%</w:t>
            </w:r>
          </w:p>
        </w:tc>
        <w:tc>
          <w:tcPr>
            <w:tcW w:type="dxa" w:w="1000"/>
            <w:tcMar>
              <w:top w:w="80" w:type="dxa"/>
              <w:start w:w="120" w:type="dxa"/>
              <w:bottom w:w="80" w:type="dxa"/>
              <w:end w:w="120" w:type="dxa"/>
            </w:tcMar>
            <w:shd w:fill="FAFBFC"/>
          </w:tcPr>
          <w:p>
            <w:pPr>
              <w:spacing w:after="0"/>
            </w:pPr>
            <w:r>
              <w:rPr>
                <w:rFonts w:ascii="Calibri" w:hAnsi="Calibri"/>
                <w:color w:val="24303F"/>
                <w:sz w:val="15"/>
              </w:rPr>
              <w:t>0.52</w:t>
            </w:r>
          </w:p>
        </w:tc>
        <w:tc>
          <w:tcPr>
            <w:tcW w:type="dxa" w:w="1050"/>
            <w:tcMar>
              <w:top w:w="80" w:type="dxa"/>
              <w:start w:w="120" w:type="dxa"/>
              <w:bottom w:w="80" w:type="dxa"/>
              <w:end w:w="120" w:type="dxa"/>
            </w:tcMar>
            <w:shd w:fill="FAFBFC"/>
          </w:tcPr>
          <w:p>
            <w:pPr>
              <w:spacing w:after="0"/>
            </w:pPr>
            <w:r>
              <w:rPr>
                <w:rFonts w:ascii="Calibri" w:hAnsi="Calibri"/>
                <w:color w:val="24303F"/>
                <w:sz w:val="15"/>
              </w:rPr>
              <w:t>-8.5%</w:t>
            </w:r>
          </w:p>
        </w:tc>
        <w:tc>
          <w:tcPr>
            <w:tcW w:type="dxa" w:w="2110"/>
            <w:tcMar>
              <w:top w:w="80" w:type="dxa"/>
              <w:start w:w="120" w:type="dxa"/>
              <w:bottom w:w="80" w:type="dxa"/>
              <w:end w:w="120" w:type="dxa"/>
            </w:tcMar>
            <w:shd w:fill="FAFBFC"/>
          </w:tcPr>
          <w:p>
            <w:pPr>
              <w:spacing w:after="0"/>
            </w:pPr>
            <w:r>
              <w:rPr>
                <w:rFonts w:ascii="Calibri" w:hAnsi="Calibri"/>
                <w:color w:val="24303F"/>
                <w:sz w:val="15"/>
              </w:rPr>
              <w:t>1.04x</w:t>
            </w:r>
          </w:p>
        </w:tc>
      </w:tr>
    </w:tbl>
    <w:p>
      <w:pPr>
        <w:pStyle w:val="Caption"/>
      </w:pPr>
      <w:r>
        <w:t>Exhibit F1. Base versus pre-set +0.25 sentiment candidate in discovery and untouched holdout periods.</w:t>
      </w:r>
    </w:p>
    <w:p>
      <w:pPr>
        <w:pStyle w:val="Source"/>
      </w:pPr>
      <w:r>
        <w:t>Source: results/tables/fusion_performance.csv; net of 10 bps one-way costs.</w:t>
      </w:r>
    </w:p>
    <w:p>
      <w:pPr>
        <w:spacing w:after="0"/>
        <w:jc w:val="center"/>
      </w:pPr>
      <w:r>
        <w:drawing>
          <wp:inline xmlns:a="http://schemas.openxmlformats.org/drawingml/2006/main" xmlns:pic="http://schemas.openxmlformats.org/drawingml/2006/picture">
            <wp:extent cx="5349240" cy="2616677"/>
            <wp:docPr id="11" name="Picture 11"/>
            <wp:cNvGraphicFramePr>
              <a:graphicFrameLocks noChangeAspect="1"/>
            </wp:cNvGraphicFramePr>
            <a:graphic>
              <a:graphicData uri="http://schemas.openxmlformats.org/drawingml/2006/picture">
                <pic:pic>
                  <pic:nvPicPr>
                    <pic:cNvPr id="0" name="fusion_holdout_comparison.png"/>
                    <pic:cNvPicPr/>
                  </pic:nvPicPr>
                  <pic:blipFill>
                    <a:blip r:embed="rId13"/>
                    <a:stretch>
                      <a:fillRect/>
                    </a:stretch>
                  </pic:blipFill>
                  <pic:spPr>
                    <a:xfrm>
                      <a:off x="0" y="0"/>
                      <a:ext cx="5349240" cy="2616677"/>
                    </a:xfrm>
                    <a:prstGeom prst="rect"/>
                  </pic:spPr>
                </pic:pic>
              </a:graphicData>
            </a:graphic>
          </wp:inline>
        </w:drawing>
      </w:r>
    </w:p>
    <w:p>
      <w:pPr>
        <w:pStyle w:val="Caption"/>
      </w:pPr>
      <w:r>
        <w:t>Exhibit F2. Required before/after fusion growth comparison in 2023.</w:t>
      </w:r>
    </w:p>
    <w:p>
      <w:pPr>
        <w:pStyle w:val="Source"/>
      </w:pPr>
      <w:r>
        <w:t>Source: FINS5545 equity returns and lagged finVADER; student calculations.</w:t>
      </w:r>
    </w:p>
    <w:p>
      <w:r>
        <w:br w:type="page"/>
      </w:r>
    </w:p>
    <w:p>
      <w:pPr>
        <w:spacing w:after="40"/>
      </w:pPr>
      <w:r>
        <w:rPr>
          <w:rFonts w:ascii="Calibri" w:hAnsi="Calibri"/>
          <w:b/>
          <w:color w:val="2A9D8F"/>
          <w:sz w:val="18"/>
        </w:rPr>
        <w:t>APPENDIX F (CONTINUED)</w:t>
      </w:r>
    </w:p>
    <w:p>
      <w:pPr>
        <w:pStyle w:val="Heading1"/>
        <w:spacing w:before="0"/>
      </w:pPr>
      <w:r>
        <w:t>Transaction-cost robustness</w:t>
      </w:r>
    </w:p>
    <w:p>
      <w:pPr>
        <w:spacing w:after="0"/>
        <w:jc w:val="center"/>
      </w:pPr>
      <w:r>
        <w:drawing>
          <wp:inline xmlns:a="http://schemas.openxmlformats.org/drawingml/2006/main" xmlns:pic="http://schemas.openxmlformats.org/drawingml/2006/picture">
            <wp:extent cx="5349240" cy="2374476"/>
            <wp:docPr id="12" name="Picture 12"/>
            <wp:cNvGraphicFramePr>
              <a:graphicFrameLocks noChangeAspect="1"/>
            </wp:cNvGraphicFramePr>
            <a:graphic>
              <a:graphicData uri="http://schemas.openxmlformats.org/drawingml/2006/picture">
                <pic:pic>
                  <pic:nvPicPr>
                    <pic:cNvPr id="0" name="fusion_transaction_cost_robustness.png"/>
                    <pic:cNvPicPr/>
                  </pic:nvPicPr>
                  <pic:blipFill>
                    <a:blip r:embed="rId20"/>
                    <a:stretch>
                      <a:fillRect/>
                    </a:stretch>
                  </pic:blipFill>
                  <pic:spPr>
                    <a:xfrm>
                      <a:off x="0" y="0"/>
                      <a:ext cx="5349240" cy="2374476"/>
                    </a:xfrm>
                    <a:prstGeom prst="rect"/>
                  </pic:spPr>
                </pic:pic>
              </a:graphicData>
            </a:graphic>
          </wp:inline>
        </w:drawing>
      </w:r>
    </w:p>
    <w:p>
      <w:pPr>
        <w:pStyle w:val="Caption"/>
      </w:pPr>
      <w:r>
        <w:t>Exhibit F3. Fusion Sharpe sensitivity to one-way trading costs and turnover.</w:t>
      </w:r>
    </w:p>
    <w:p>
      <w:pPr>
        <w:pStyle w:val="Source"/>
      </w:pPr>
      <w:r>
        <w:t>Source: results/tables/fusion_cost_robustness.csv; cost scenarios 0–50 bps.</w:t>
      </w:r>
    </w:p>
    <w:p>
      <w:pPr>
        <w:spacing w:after="80"/>
      </w:pPr>
      <w:r>
        <w:t>The candidate's advantage is not robust. It disappears at about 25 bps in the holdout and is weaker across the full out-of-sample period. For now, the tilt should remain a research result rather than a product feature.</w:t>
      </w:r>
    </w:p>
    <w:p>
      <w:r>
        <w:br w:type="page"/>
      </w:r>
    </w:p>
    <w:p>
      <w:pPr>
        <w:spacing w:after="40"/>
      </w:pPr>
      <w:r>
        <w:rPr>
          <w:rFonts w:ascii="Calibri" w:hAnsi="Calibri"/>
          <w:b/>
          <w:color w:val="2A9D8F"/>
          <w:sz w:val="18"/>
        </w:rPr>
        <w:t>APPENDIX G</w:t>
      </w:r>
    </w:p>
    <w:p>
      <w:pPr>
        <w:pStyle w:val="Heading1"/>
        <w:spacing w:before="0"/>
      </w:pPr>
      <w:r>
        <w:t>Reproducibility, limitations, and references</w:t>
      </w:r>
    </w:p>
    <w:p>
      <w:pPr>
        <w:pStyle w:val="Heading2"/>
      </w:pPr>
      <w:r>
        <w:t>Reproducibility chain</w:t>
      </w:r>
    </w:p>
    <w:tbl>
      <w:tblPr>
        <w:tblStyle w:val="TableGrid"/>
        <w:tblW w:type="dxa" w:w="9360"/>
        <w:jc w:val="left"/>
        <w:tblLayout w:type="fixed"/>
        <w:tblLook w:firstColumn="1" w:firstRow="1" w:lastColumn="0" w:lastRow="0" w:noHBand="0" w:noVBand="1" w:val="04A0"/>
        <w:tblInd w:w="120" w:type="dxa"/>
      </w:tblPr>
      <w:tblGrid>
        <w:gridCol w:w="1450"/>
        <w:gridCol w:w="7910"/>
      </w:tblGrid>
      <w:tr>
        <w:trPr>
          <w:tblHeader w:val="true"/>
        </w:trPr>
        <w:tc>
          <w:tcPr>
            <w:tcW w:type="dxa" w:w="1450"/>
            <w:tcMar>
              <w:top w:w="80" w:type="dxa"/>
              <w:start w:w="120" w:type="dxa"/>
              <w:bottom w:w="80" w:type="dxa"/>
              <w:end w:w="120" w:type="dxa"/>
            </w:tcMar>
            <w:vAlign w:val="center"/>
            <w:shd w:fill="F2F4F7"/>
          </w:tcPr>
          <w:p>
            <w:pPr>
              <w:spacing w:after="0"/>
            </w:pPr>
            <w:r>
              <w:rPr>
                <w:rFonts w:ascii="Calibri" w:hAnsi="Calibri"/>
                <w:b/>
                <w:color w:val="12263A"/>
                <w:sz w:val="16"/>
              </w:rPr>
              <w:t>Layer</w:t>
            </w:r>
          </w:p>
        </w:tc>
        <w:tc>
          <w:tcPr>
            <w:tcW w:type="dxa" w:w="7910"/>
            <w:tcMar>
              <w:top w:w="80" w:type="dxa"/>
              <w:start w:w="120" w:type="dxa"/>
              <w:bottom w:w="80" w:type="dxa"/>
              <w:end w:w="120" w:type="dxa"/>
            </w:tcMar>
            <w:vAlign w:val="center"/>
            <w:shd w:fill="F2F4F7"/>
          </w:tcPr>
          <w:p>
            <w:pPr>
              <w:spacing w:after="0"/>
            </w:pPr>
            <w:r>
              <w:rPr>
                <w:rFonts w:ascii="Calibri" w:hAnsi="Calibri"/>
                <w:b/>
                <w:color w:val="12263A"/>
                <w:sz w:val="16"/>
              </w:rPr>
              <w:t>Control</w:t>
            </w:r>
          </w:p>
        </w:tc>
      </w:tr>
      <w:tr>
        <w:tc>
          <w:tcPr>
            <w:tcW w:type="dxa" w:w="1450"/>
            <w:tcMar>
              <w:top w:w="80" w:type="dxa"/>
              <w:start w:w="120" w:type="dxa"/>
              <w:bottom w:w="80" w:type="dxa"/>
              <w:end w:w="120" w:type="dxa"/>
            </w:tcMar>
          </w:tcPr>
          <w:p>
            <w:pPr>
              <w:spacing w:after="0"/>
            </w:pPr>
            <w:r>
              <w:rPr>
                <w:rFonts w:ascii="Calibri" w:hAnsi="Calibri"/>
                <w:color w:val="24303F"/>
                <w:sz w:val="16"/>
              </w:rPr>
              <w:t>Data</w:t>
            </w:r>
          </w:p>
        </w:tc>
        <w:tc>
          <w:tcPr>
            <w:tcW w:type="dxa" w:w="7910"/>
            <w:tcMar>
              <w:top w:w="80" w:type="dxa"/>
              <w:start w:w="120" w:type="dxa"/>
              <w:bottom w:w="80" w:type="dxa"/>
              <w:end w:w="120" w:type="dxa"/>
            </w:tcMar>
          </w:tcPr>
          <w:p>
            <w:pPr>
              <w:spacing w:after="0"/>
            </w:pPr>
            <w:r>
              <w:rPr>
                <w:rFonts w:ascii="Calibri" w:hAnsi="Calibri"/>
                <w:color w:val="24303F"/>
                <w:sz w:val="16"/>
              </w:rPr>
              <w:t>Official hosted ZIP loaded only through src/data_access.py; raw files excluded.</w:t>
            </w:r>
          </w:p>
        </w:tc>
      </w:tr>
      <w:tr>
        <w:tc>
          <w:tcPr>
            <w:tcW w:type="dxa" w:w="1450"/>
            <w:tcMar>
              <w:top w:w="80" w:type="dxa"/>
              <w:start w:w="120" w:type="dxa"/>
              <w:bottom w:w="80" w:type="dxa"/>
              <w:end w:w="120" w:type="dxa"/>
            </w:tcMar>
            <w:shd w:fill="FAFBFC"/>
          </w:tcPr>
          <w:p>
            <w:pPr>
              <w:spacing w:after="0"/>
            </w:pPr>
            <w:r>
              <w:rPr>
                <w:rFonts w:ascii="Calibri" w:hAnsi="Calibri"/>
                <w:color w:val="24303F"/>
                <w:sz w:val="16"/>
              </w:rPr>
              <w:t>Build</w:t>
            </w:r>
          </w:p>
        </w:tc>
        <w:tc>
          <w:tcPr>
            <w:tcW w:type="dxa" w:w="7910"/>
            <w:tcMar>
              <w:top w:w="80" w:type="dxa"/>
              <w:start w:w="120" w:type="dxa"/>
              <w:bottom w:w="80" w:type="dxa"/>
              <w:end w:w="120" w:type="dxa"/>
            </w:tcMar>
            <w:shd w:fill="FAFBFC"/>
          </w:tcPr>
          <w:p>
            <w:pPr>
              <w:spacing w:after="0"/>
            </w:pPr>
            <w:r>
              <w:rPr>
                <w:rFonts w:ascii="Calibri" w:hAnsi="Calibri"/>
                <w:color w:val="24303F"/>
                <w:sz w:val="16"/>
              </w:rPr>
              <w:t>scripts/run_part_b.py recreates cleaned panels, all funds, sentiment, fusion, tables, and figures.</w:t>
            </w:r>
          </w:p>
        </w:tc>
      </w:tr>
      <w:tr>
        <w:tc>
          <w:tcPr>
            <w:tcW w:type="dxa" w:w="1450"/>
            <w:tcMar>
              <w:top w:w="80" w:type="dxa"/>
              <w:start w:w="120" w:type="dxa"/>
              <w:bottom w:w="80" w:type="dxa"/>
              <w:end w:w="120" w:type="dxa"/>
            </w:tcMar>
          </w:tcPr>
          <w:p>
            <w:pPr>
              <w:spacing w:after="0"/>
            </w:pPr>
            <w:r>
              <w:rPr>
                <w:rFonts w:ascii="Calibri" w:hAnsi="Calibri"/>
                <w:color w:val="24303F"/>
                <w:sz w:val="16"/>
              </w:rPr>
              <w:t>Deploy</w:t>
            </w:r>
          </w:p>
        </w:tc>
        <w:tc>
          <w:tcPr>
            <w:tcW w:type="dxa" w:w="7910"/>
            <w:tcMar>
              <w:top w:w="80" w:type="dxa"/>
              <w:start w:w="120" w:type="dxa"/>
              <w:bottom w:w="80" w:type="dxa"/>
              <w:end w:w="120" w:type="dxa"/>
            </w:tcMar>
          </w:tcPr>
          <w:p>
            <w:pPr>
              <w:spacing w:after="0"/>
            </w:pPr>
            <w:r>
              <w:rPr>
                <w:rFonts w:ascii="Calibri" w:hAnsi="Calibri"/>
                <w:color w:val="24303F"/>
                <w:sz w:val="16"/>
              </w:rPr>
              <w:t>streamlit_app.py loads only committed results CSVs; no runtime data download, NLP, or optimisation.</w:t>
            </w:r>
          </w:p>
        </w:tc>
      </w:tr>
      <w:tr>
        <w:tc>
          <w:tcPr>
            <w:tcW w:type="dxa" w:w="1450"/>
            <w:tcMar>
              <w:top w:w="80" w:type="dxa"/>
              <w:start w:w="120" w:type="dxa"/>
              <w:bottom w:w="80" w:type="dxa"/>
              <w:end w:w="120" w:type="dxa"/>
            </w:tcMar>
            <w:shd w:fill="FAFBFC"/>
          </w:tcPr>
          <w:p>
            <w:pPr>
              <w:spacing w:after="0"/>
            </w:pPr>
            <w:r>
              <w:rPr>
                <w:rFonts w:ascii="Calibri" w:hAnsi="Calibri"/>
                <w:color w:val="24303F"/>
                <w:sz w:val="16"/>
              </w:rPr>
              <w:t>Tests</w:t>
            </w:r>
          </w:p>
        </w:tc>
        <w:tc>
          <w:tcPr>
            <w:tcW w:type="dxa" w:w="7910"/>
            <w:tcMar>
              <w:top w:w="80" w:type="dxa"/>
              <w:start w:w="120" w:type="dxa"/>
              <w:bottom w:w="80" w:type="dxa"/>
              <w:end w:w="120" w:type="dxa"/>
            </w:tcMar>
            <w:shd w:fill="FAFBFC"/>
          </w:tcPr>
          <w:p>
            <w:pPr>
              <w:spacing w:after="0"/>
            </w:pPr>
            <w:r>
              <w:rPr>
                <w:rFonts w:ascii="Calibri" w:hAnsi="Calibri"/>
                <w:color w:val="24303F"/>
                <w:sz w:val="16"/>
              </w:rPr>
              <w:t>pytest checks future-data invariance, required artifacts, weight sums, non-negativity, and known metrics; Streamlit AppTest reports zero exceptions.</w:t>
            </w:r>
          </w:p>
        </w:tc>
      </w:tr>
      <w:tr>
        <w:tc>
          <w:tcPr>
            <w:tcW w:type="dxa" w:w="1450"/>
            <w:tcMar>
              <w:top w:w="80" w:type="dxa"/>
              <w:start w:w="120" w:type="dxa"/>
              <w:bottom w:w="80" w:type="dxa"/>
              <w:end w:w="120" w:type="dxa"/>
            </w:tcMar>
          </w:tcPr>
          <w:p>
            <w:pPr>
              <w:spacing w:after="0"/>
            </w:pPr>
            <w:r>
              <w:rPr>
                <w:rFonts w:ascii="Calibri" w:hAnsi="Calibri"/>
                <w:color w:val="24303F"/>
                <w:sz w:val="16"/>
              </w:rPr>
              <w:t>AI audit</w:t>
            </w:r>
          </w:p>
        </w:tc>
        <w:tc>
          <w:tcPr>
            <w:tcW w:type="dxa" w:w="7910"/>
            <w:tcMar>
              <w:top w:w="80" w:type="dxa"/>
              <w:start w:w="120" w:type="dxa"/>
              <w:bottom w:w="80" w:type="dxa"/>
              <w:end w:w="120" w:type="dxa"/>
            </w:tcMar>
          </w:tcPr>
          <w:p>
            <w:pPr>
              <w:spacing w:after="0"/>
            </w:pPr>
            <w:r>
              <w:rPr>
                <w:rFonts w:ascii="Calibri" w:hAnsi="Calibri"/>
                <w:color w:val="24303F"/>
                <w:sz w:val="16"/>
              </w:rPr>
              <w:t>AGENTS.md and ai/ record the constraints, prompts, risks, rejected selection, chart corrections, and student responsibilities.</w:t>
            </w:r>
          </w:p>
        </w:tc>
      </w:tr>
    </w:tbl>
    <w:p>
      <w:pPr>
        <w:pStyle w:val="Caption"/>
      </w:pPr>
      <w:r>
        <w:t>Exhibit G1. Reproduction and hand-in controls.</w:t>
      </w:r>
    </w:p>
    <w:p>
      <w:pPr>
        <w:pStyle w:val="Source"/>
      </w:pPr>
      <w:r>
        <w:t>Source: project repository; see README.md and docs/FINAL_HANDOFF.md.</w:t>
      </w:r>
    </w:p>
    <w:p>
      <w:pPr>
        <w:pStyle w:val="Heading2"/>
      </w:pPr>
      <w:r>
        <w:t>Limitations</w:t>
      </w:r>
    </w:p>
    <w:p>
      <w:r>
        <w:t>The 2021-2023 out-of-sample period is short and may cover only a limited range of market regimes. Headlines lack the context of full articles, and lexical sentiment may misread sarcasm, negation, or entity scope. The news data cover equities rather than crypto, while optimisation remains sensitive to noisy inputs. Transaction costs are scenario assumptions rather than broker-specific estimates. Taxes, slippage, market impact, and operating costs are outside the project scope.</w:t>
      </w:r>
    </w:p>
    <w:p>
      <w:pPr>
        <w:pStyle w:val="Heading2"/>
      </w:pPr>
      <w:r>
        <w:t>References</w:t>
      </w:r>
    </w:p>
    <w:p>
      <w:pPr>
        <w:spacing w:after="60"/>
      </w:pPr>
      <w:r>
        <w:rPr>
          <w:rFonts w:ascii="Calibri" w:hAnsi="Calibri"/>
          <w:i w:val="0"/>
          <w:color w:val="24303F"/>
          <w:sz w:val="16"/>
        </w:rPr>
        <w:t>Consoli, S., Barbaglia, L., &amp; Manzan, S. (2022). Fine-grained, aspect-based sentiment analysis on economic and financial lexicon. Knowledge-Based Systems, 247, 108781.</w:t>
      </w:r>
    </w:p>
    <w:p>
      <w:pPr>
        <w:spacing w:after="60"/>
      </w:pPr>
      <w:r>
        <w:rPr>
          <w:rFonts w:ascii="Calibri" w:hAnsi="Calibri"/>
          <w:i w:val="0"/>
          <w:color w:val="24303F"/>
          <w:sz w:val="16"/>
        </w:rPr>
        <w:t>DeMiguel, V., Garlappi, L., &amp; Uppal, R. (2009). Optimal versus naive diversification: How inefficient is the 1/N portfolio strategy? Review of Financial Studies, 22(5), 1915–1953.</w:t>
      </w:r>
    </w:p>
    <w:p>
      <w:pPr>
        <w:spacing w:after="60"/>
      </w:pPr>
      <w:r>
        <w:rPr>
          <w:rFonts w:ascii="Calibri" w:hAnsi="Calibri"/>
          <w:i w:val="0"/>
          <w:color w:val="24303F"/>
          <w:sz w:val="16"/>
        </w:rPr>
        <w:t>Henry, E. (2008). Are investors influenced by how earnings press releases are written? Journal of Business Communication, 45(4), 363–407.</w:t>
      </w:r>
    </w:p>
    <w:p>
      <w:pPr>
        <w:spacing w:after="60"/>
      </w:pPr>
      <w:r>
        <w:rPr>
          <w:rFonts w:ascii="Calibri" w:hAnsi="Calibri"/>
          <w:i w:val="0"/>
          <w:color w:val="24303F"/>
          <w:sz w:val="16"/>
        </w:rPr>
        <w:t>Hutto, C. J., &amp; Gilbert, E. (2014). VADER: A parsimonious rule-based model for sentiment analysis of social media text. ICWSM, 8(1), 216–225.</w:t>
      </w:r>
    </w:p>
    <w:p>
      <w:pPr>
        <w:spacing w:after="60"/>
      </w:pPr>
      <w:r>
        <w:rPr>
          <w:rFonts w:ascii="Calibri" w:hAnsi="Calibri"/>
          <w:i w:val="0"/>
          <w:color w:val="24303F"/>
          <w:sz w:val="16"/>
        </w:rPr>
        <w:t>Koráb, P. (2023). FinVADER: VADER sentiment classifier updated with financial lexicons. Python package.</w:t>
      </w:r>
    </w:p>
    <w:p>
      <w:pPr>
        <w:spacing w:after="60"/>
      </w:pPr>
      <w:r>
        <w:rPr>
          <w:rFonts w:ascii="Calibri" w:hAnsi="Calibri"/>
          <w:i w:val="0"/>
          <w:color w:val="24303F"/>
          <w:sz w:val="16"/>
        </w:rPr>
        <w:t>Maillard, S., Roncalli, T., &amp; Teiletche, J. (2010). The properties of equally weighted risk contribution portfolios. Journal of Portfolio Management, 36(4), 60–70.</w:t>
      </w:r>
    </w:p>
    <w:p>
      <w:pPr>
        <w:spacing w:after="60"/>
      </w:pPr>
      <w:r>
        <w:rPr>
          <w:rFonts w:ascii="Calibri" w:hAnsi="Calibri"/>
          <w:i w:val="0"/>
          <w:color w:val="24303F"/>
          <w:sz w:val="16"/>
        </w:rPr>
        <w:t>Markowitz, H. (1952). Portfolio selection. Journal of Finance, 7(1), 77–91.</w:t>
      </w:r>
    </w:p>
    <w:p>
      <w:pPr>
        <w:spacing w:after="60"/>
      </w:pPr>
      <w:r>
        <w:rPr>
          <w:rFonts w:ascii="Calibri" w:hAnsi="Calibri"/>
          <w:i w:val="0"/>
          <w:color w:val="24303F"/>
          <w:sz w:val="16"/>
        </w:rPr>
        <w:t>Sharpe, W. F. (1966). Mutual fund performance. Journal of Business, 39(1), 119–138.</w:t>
      </w:r>
    </w:p>
    <w:p>
      <w:pPr>
        <w:spacing w:after="60"/>
      </w:pPr>
      <w:r>
        <w:rPr>
          <w:rFonts w:ascii="Calibri" w:hAnsi="Calibri"/>
          <w:i w:val="0"/>
          <w:color w:val="24303F"/>
          <w:sz w:val="16"/>
        </w:rPr>
        <w:t>UNSW FINS5545 (2026). Week 9: From Text to a Fear and Greed Index; Week 10: Revision and Project B guidance; Project B brief and official course data.</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7085"/>
        <w:sz w:val="17"/>
      </w:rPr>
      <w:t xml:space="preserve">z5646230  •  Evidence to 31 Dec 2023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MARKETLENS  |  FINS5545 PROJECT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4303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226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A9D8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226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40"/>
    </w:pPr>
    <w:rPr>
      <w:rFonts w:ascii="Calibri" w:hAnsi="Calibri"/>
      <w:b/>
      <w:bCs/>
      <w:color w:val="12263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before="80" w:after="80"/>
    </w:pPr>
    <w:rPr>
      <w:rFonts w:ascii="Calibri" w:hAnsi="Calibri"/>
      <w:color w:val="66708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