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Comptage de cycles — méthode IEC 61477 avec conservation du DOD excédentaire</w:t>
      </w:r>
      <w:r>
        <w:t xml:space="preserve"> </w:t>
      </w:r>
      <w:r>
        <w:t xml:space="preserve">parle moi de cette norme</w:t>
      </w:r>
    </w:p>
    <w:p>
      <w:r>
        <w:pict>
          <v:rect style="width:0;height:1.5pt" o:hralign="center" o:hrstd="t" o:hr="t"/>
        </w:pict>
      </w:r>
    </w:p>
    <w:p>
      <w:pPr>
        <w:pStyle w:val="FirstParagraph"/>
      </w:pPr>
      <w:r>
        <w:rPr>
          <w:b/>
          <w:bCs/>
        </w:rPr>
        <w:t xml:space="preserve">Kimi:</w:t>
      </w:r>
    </w:p>
    <w:p>
      <w:pPr>
        <w:pStyle w:val="a0"/>
      </w:pPr>
      <w:r>
        <w:t xml:space="preserve">Il y a visiblement une confusion sur le numéro de norme. La</w:t>
      </w:r>
      <w:r>
        <w:t xml:space="preserve"> </w:t>
      </w:r>
      <w:r>
        <w:rPr>
          <w:b/>
          <w:bCs/>
        </w:rPr>
        <w:t xml:space="preserve">CEI/IEC 61477</w:t>
      </w:r>
      <w:r>
        <w:t xml:space="preserve"> </w:t>
      </w:r>
      <w:r>
        <w:t xml:space="preserve">n’a</w:t>
      </w:r>
      <w:r>
        <w:t xml:space="preserve"> </w:t>
      </w:r>
      <w:r>
        <w:rPr>
          <w:b/>
          <w:bCs/>
        </w:rPr>
        <w:t xml:space="preserve">rien à voir avec les batteries</w:t>
      </w:r>
      <w:r>
        <w:t xml:space="preserve"> </w:t>
      </w:r>
      <w:r>
        <w:t xml:space="preserve">ni avec le comptage de cycles. Voici ce qu’elle est réellement :</w:t>
      </w:r>
    </w:p>
    <w:p>
      <w:r>
        <w:pict>
          <v:rect style="width:0;height:1.5pt" o:hralign="center" o:hrstd="t" o:hr="t"/>
        </w:pict>
      </w:r>
    </w:p>
    <w:bookmarkStart w:id="21" w:name="cei-61477-travaux-sous-tension"/>
    <w:p>
      <w:pPr>
        <w:pStyle w:val="2"/>
      </w:pPr>
      <w:r>
        <w:t xml:space="preserve">CEI 61477 : Travaux sous tension</w:t>
      </w:r>
    </w:p>
    <w:p>
      <w:pPr>
        <w:pStyle w:val="FirstParagraph"/>
      </w:pPr>
      <w:r>
        <w:t xml:space="preserve">La norme internationale</w:t>
      </w:r>
      <w:r>
        <w:t xml:space="preserve"> </w:t>
      </w:r>
      <w:r>
        <w:rPr>
          <w:b/>
          <w:bCs/>
        </w:rPr>
        <w:t xml:space="preserve">IEC 61477:2009</w:t>
      </w:r>
      <w:r>
        <w:t xml:space="preserve"> </w:t>
      </w:r>
      <w:r>
        <w:t xml:space="preserve">(2e édition) s’intitule :</w:t>
      </w:r>
    </w:p>
    <w:p>
      <w:pPr>
        <w:pStyle w:val="aa"/>
      </w:pPr>
      <w:r>
        <w:rPr>
          <w:i/>
          <w:iCs/>
        </w:rPr>
        <w:t xml:space="preserve">« Live working — Minimum requirements for the utilization of tools, devices and equipment »</w:t>
      </w:r>
      <w:r>
        <w:br/>
      </w:r>
      <w:r>
        <w:rPr>
          <w:i/>
          <w:iCs/>
        </w:rPr>
        <w:t xml:space="preserve">(Travaux sous tension — Exigences minimales pour l’utilisation des outils, dispositifs et équipements)</w:t>
      </w:r>
    </w:p>
    <w:p>
      <w:pPr>
        <w:pStyle w:val="FirstParagraph"/>
      </w:pPr>
      <w:r>
        <w:t xml:space="preserve">Elle est élaborée par le</w:t>
      </w:r>
      <w:r>
        <w:t xml:space="preserve"> </w:t>
      </w:r>
      <w:r>
        <w:rPr>
          <w:b/>
          <w:bCs/>
        </w:rPr>
        <w:t xml:space="preserve">Comité technique TC 78</w:t>
      </w:r>
      <w:r>
        <w:t xml:space="preserve"> </w:t>
      </w:r>
      <w:r>
        <w:t xml:space="preserve">de la CEI, dédié aux travaux sous tension.</w:t>
      </w:r>
    </w:p>
    <w:bookmarkStart w:id="20" w:name="champ-dapplication"/>
    <w:p>
      <w:pPr>
        <w:pStyle w:val="3"/>
      </w:pPr>
      <w:r>
        <w:t xml:space="preserve">Champ d’application</w:t>
      </w:r>
    </w:p>
    <w:p>
      <w:pPr>
        <w:pStyle w:val="Compact"/>
        <w:numPr>
          <w:ilvl w:val="0"/>
          <w:numId w:val="1001"/>
        </w:numPr>
      </w:pPr>
      <w:r>
        <w:t xml:space="preserve">Spécification, fabrication, sélection, utilisation et maintenance des</w:t>
      </w:r>
      <w:r>
        <w:t xml:space="preserve"> </w:t>
      </w:r>
      <w:r>
        <w:rPr>
          <w:b/>
          <w:bCs/>
        </w:rPr>
        <w:t xml:space="preserve">outils et équipements pour travaux sous tension</w:t>
      </w:r>
    </w:p>
    <w:p>
      <w:pPr>
        <w:pStyle w:val="Compact"/>
        <w:numPr>
          <w:ilvl w:val="0"/>
          <w:numId w:val="1001"/>
        </w:numPr>
      </w:pPr>
      <w:r>
        <w:t xml:space="preserve">Caractéristiques électriques, mécaniques et thermiques de ces outils</w:t>
      </w:r>
    </w:p>
    <w:p>
      <w:pPr>
        <w:pStyle w:val="Compact"/>
        <w:numPr>
          <w:ilvl w:val="0"/>
          <w:numId w:val="1001"/>
        </w:numPr>
      </w:pPr>
      <w:r>
        <w:t xml:space="preserve">Conditions d’utilisation, de stockage et de transport</w:t>
      </w:r>
    </w:p>
    <w:p>
      <w:pPr>
        <w:pStyle w:val="Compact"/>
        <w:numPr>
          <w:ilvl w:val="0"/>
          <w:numId w:val="1001"/>
        </w:numPr>
      </w:pPr>
      <w:r>
        <w:t xml:space="preserve">Marquage avec le symbole du double triangle (IEC 60417-5216) pour indiquer la conformité aux travaux sous tension</w:t>
      </w:r>
    </w:p>
    <w:p>
      <w:r>
        <w:pict>
          <v:rect style="width:0;height:1.5pt" o:hralign="center" o:hrstd="t" o:hr="t"/>
        </w:pict>
      </w:r>
    </w:p>
    <w:bookmarkEnd w:id="20"/>
    <w:bookmarkEnd w:id="21"/>
    <w:bookmarkStart w:id="23" w:name="X675c2d26cb69b6f971ccc951142d761a50a25fe"/>
    <w:p>
      <w:pPr>
        <w:pStyle w:val="2"/>
      </w:pPr>
      <w:r>
        <w:t xml:space="preserve">Vous pensez probablement à une autre norme</w:t>
      </w:r>
    </w:p>
    <w:p>
      <w:pPr>
        <w:pStyle w:val="FirstParagraph"/>
      </w:pPr>
      <w:r>
        <w:t xml:space="preserve">Si vous cherchez une norme sur le</w:t>
      </w:r>
      <w:r>
        <w:t xml:space="preserve"> </w:t>
      </w:r>
      <w:r>
        <w:rPr>
          <w:b/>
          <w:bCs/>
        </w:rPr>
        <w:t xml:space="preserve">comptage de cycles de batteries</w:t>
      </w:r>
      <w:r>
        <w:t xml:space="preserve"> </w:t>
      </w:r>
      <w:r>
        <w:t xml:space="preserve">avec gestion du</w:t>
      </w:r>
      <w:r>
        <w:t xml:space="preserve"> </w:t>
      </w:r>
      <w:r>
        <w:rPr>
          <w:b/>
          <w:bCs/>
        </w:rPr>
        <w:t xml:space="preserve">DOD (Depth of Discharge)</w:t>
      </w:r>
      <w:r>
        <w:t xml:space="preserve">, les normes CEI pertinentes sont plutôt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Norme</w:t>
            </w:r>
          </w:p>
        </w:tc>
        <w:tc>
          <w:tcPr/>
          <w:p>
            <w:pPr>
              <w:pStyle w:val="Compact"/>
              <w:jc w:val="left"/>
            </w:pPr>
            <w:r>
              <w:t xml:space="preserve">Objet</w:t>
            </w:r>
          </w:p>
        </w:tc>
      </w:tr>
      <w:tr>
        <w:tc>
          <w:tcPr/>
          <w:p>
            <w:pPr>
              <w:pStyle w:val="Compact"/>
              <w:jc w:val="left"/>
            </w:pPr>
            <w:r>
              <w:rPr>
                <w:b/>
                <w:bCs/>
              </w:rPr>
              <w:t xml:space="preserve">IEC 61427-1 / 61427-2</w:t>
            </w:r>
          </w:p>
        </w:tc>
        <w:tc>
          <w:tcPr/>
          <w:p>
            <w:pPr>
              <w:pStyle w:val="Compact"/>
              <w:jc w:val="left"/>
            </w:pPr>
            <w:r>
              <w:t xml:space="preserve">Méthodes d’essai pour accumulateurs utilisés dans le stockage d’énergie renouvelable (PV, éolien) — inclut des protocoles de cyclage</w:t>
            </w:r>
          </w:p>
        </w:tc>
      </w:tr>
      <w:tr>
        <w:tc>
          <w:tcPr/>
          <w:p>
            <w:pPr>
              <w:pStyle w:val="Compact"/>
              <w:jc w:val="left"/>
            </w:pPr>
            <w:r>
              <w:rPr>
                <w:b/>
                <w:bCs/>
              </w:rPr>
              <w:t xml:space="preserve">IEC 62619</w:t>
            </w:r>
          </w:p>
        </w:tc>
        <w:tc>
          <w:tcPr/>
          <w:p>
            <w:pPr>
              <w:pStyle w:val="Compact"/>
              <w:jc w:val="left"/>
            </w:pPr>
            <w:r>
              <w:t xml:space="preserve">Exigences de sécurité pour les batteries lithium industrielles (stationnaires)</w:t>
            </w:r>
          </w:p>
        </w:tc>
      </w:tr>
      <w:tr>
        <w:tc>
          <w:tcPr/>
          <w:p>
            <w:pPr>
              <w:pStyle w:val="Compact"/>
              <w:jc w:val="left"/>
            </w:pPr>
            <w:r>
              <w:rPr>
                <w:b/>
                <w:bCs/>
              </w:rPr>
              <w:t xml:space="preserve">IEC 62660</w:t>
            </w:r>
          </w:p>
        </w:tc>
        <w:tc>
          <w:tcPr/>
          <w:p>
            <w:pPr>
              <w:pStyle w:val="Compact"/>
              <w:jc w:val="left"/>
            </w:pPr>
            <w:r>
              <w:t xml:space="preserve">Batteries lithium-ion pour véhicules électriques</w:t>
            </w:r>
          </w:p>
        </w:tc>
      </w:tr>
    </w:tbl>
    <w:bookmarkStart w:id="22" w:name="X3db9090dd609df5e7ef2279b88ece8c2b323c07"/>
    <w:p>
      <w:pPr>
        <w:pStyle w:val="3"/>
      </w:pPr>
      <w:r>
        <w:t xml:space="preserve">Le concept de « conservation du DOD excédentaire »</w:t>
      </w:r>
    </w:p>
    <w:p>
      <w:pPr>
        <w:pStyle w:val="FirstParagraph"/>
      </w:pPr>
      <w:r>
        <w:t xml:space="preserve">Cette expression évoque une méthode de</w:t>
      </w:r>
      <w:r>
        <w:t xml:space="preserve"> </w:t>
      </w:r>
      <w:r>
        <w:rPr>
          <w:b/>
          <w:bCs/>
        </w:rPr>
        <w:t xml:space="preserve">comptage de cycles équivalents</w:t>
      </w:r>
      <w:r>
        <w:t xml:space="preserve"> </w:t>
      </w:r>
      <w:r>
        <w:t xml:space="preserve">(cycle counting) appliquée aux batteries, où :</w:t>
      </w:r>
      <w:r>
        <w:t xml:space="preserve"> </w:t>
      </w:r>
      <w:r>
        <w:t xml:space="preserve">- Un cycle partiel (ex. 50 % DOD) est converti en fraction de cycle complet</w:t>
      </w:r>
      <w:r>
        <w:t xml:space="preserve"> </w:t>
      </w:r>
      <w:r>
        <w:t xml:space="preserve">- Le « DOD excédentaire » fait référence à la profondeur de décharge au-delà d’un seuil nominal</w:t>
      </w:r>
    </w:p>
    <w:p>
      <w:pPr>
        <w:pStyle w:val="a0"/>
      </w:pPr>
      <w:r>
        <w:t xml:space="preserve">Ces méthodes sont souvent propriétaires (intégrées dans les BMS/EMS) ou décrites dans des normes comme</w:t>
      </w:r>
      <w:r>
        <w:t xml:space="preserve"> </w:t>
      </w:r>
      <w:r>
        <w:rPr>
          <w:b/>
          <w:bCs/>
        </w:rPr>
        <w:t xml:space="preserve">IEC 61427</w:t>
      </w:r>
      <w:r>
        <w:t xml:space="preserve"> </w:t>
      </w:r>
      <w:r>
        <w:t xml:space="preserve">pour les essais de cyclage, mais</w:t>
      </w:r>
      <w:r>
        <w:t xml:space="preserve"> </w:t>
      </w:r>
      <w:r>
        <w:rPr>
          <w:b/>
          <w:bCs/>
        </w:rPr>
        <w:t xml:space="preserve">pas dans la 61477</w:t>
      </w:r>
      <w:r>
        <w:t xml:space="preserve">.</w:t>
      </w:r>
    </w:p>
    <w:p>
      <w:r>
        <w:pict>
          <v:rect style="width:0;height:1.5pt" o:hralign="center" o:hrstd="t" o:hr="t"/>
        </w:pict>
      </w:r>
    </w:p>
    <w:bookmarkEnd w:id="22"/>
    <w:bookmarkEnd w:id="23"/>
    <w:bookmarkStart w:id="24" w:name="conclusion"/>
    <w:p>
      <w:pPr>
        <w:pStyle w:val="2"/>
      </w:pPr>
      <w:r>
        <w:t xml:space="preserve">Conclusion</w:t>
      </w:r>
    </w:p>
    <w:p>
      <w:pPr>
        <w:pStyle w:val="Compact"/>
        <w:numPr>
          <w:ilvl w:val="0"/>
          <w:numId w:val="1002"/>
        </w:numPr>
      </w:pPr>
      <w:r>
        <w:rPr>
          <w:b/>
          <w:bCs/>
        </w:rPr>
        <w:t xml:space="preserve">IEC 61477</w:t>
      </w:r>
      <w:r>
        <w:t xml:space="preserve"> </w:t>
      </w:r>
      <w:r>
        <w:t xml:space="preserve">= sécurité des outils pour</w:t>
      </w:r>
      <w:r>
        <w:t xml:space="preserve"> </w:t>
      </w:r>
      <w:r>
        <w:rPr>
          <w:b/>
          <w:bCs/>
        </w:rPr>
        <w:t xml:space="preserve">travaux sous tension électrique</w:t>
      </w:r>
      <w:r>
        <w:t xml:space="preserve"> </w:t>
      </w:r>
      <w:r>
        <w:t xml:space="preserve">(électriciens, lignards, etc.)</w:t>
      </w:r>
    </w:p>
    <w:p>
      <w:pPr>
        <w:pStyle w:val="Compact"/>
        <w:numPr>
          <w:ilvl w:val="0"/>
          <w:numId w:val="1002"/>
        </w:numPr>
      </w:pPr>
      <w:r>
        <w:t xml:space="preserve">Pour le</w:t>
      </w:r>
      <w:r>
        <w:t xml:space="preserve"> </w:t>
      </w:r>
      <w:r>
        <w:rPr>
          <w:b/>
          <w:bCs/>
        </w:rPr>
        <w:t xml:space="preserve">comptage de cycles et le DOD des batteries</w:t>
      </w:r>
      <w:r>
        <w:t xml:space="preserve">, vérifiez si vous ne vouliez pas dire</w:t>
      </w:r>
      <w:r>
        <w:t xml:space="preserve"> </w:t>
      </w:r>
      <w:r>
        <w:rPr>
          <w:b/>
          <w:bCs/>
        </w:rPr>
        <w:t xml:space="preserve">IEC 61427</w:t>
      </w:r>
      <w:r>
        <w:t xml:space="preserve"> </w:t>
      </w:r>
      <w:r>
        <w:t xml:space="preserve">ou une norme sectorielle spécifique à votre domaine (automobile, solaire, etc.)</w:t>
      </w:r>
    </w:p>
    <w:p>
      <w:pPr>
        <w:pStyle w:val="FirstParagraph"/>
      </w:pPr>
      <w:r>
        <w:t xml:space="preserve">Souhaitez-vous que je creuse la norme</w:t>
      </w:r>
      <w:r>
        <w:t xml:space="preserve"> </w:t>
      </w:r>
      <w:r>
        <w:rPr>
          <w:b/>
          <w:bCs/>
        </w:rPr>
        <w:t xml:space="preserve">IEC 61427</w:t>
      </w:r>
      <w:r>
        <w:t xml:space="preserve"> </w:t>
      </w:r>
      <w:r>
        <w:t xml:space="preserve">ou une méthode de comptage de cycles équivalents (Rainflow, Miner, etc.) appliquée aux batteries ?</w:t>
      </w:r>
    </w:p>
    <w:p>
      <w:r>
        <w:pict>
          <v:rect style="width:0;height:1.5pt" o:hralign="center" o:hrstd="t" o:hr="t"/>
        </w:pict>
      </w:r>
    </w:p>
    <w:p>
      <w:pPr>
        <w:pStyle w:val="FirstParagraph"/>
      </w:pPr>
      <w:r>
        <w:rPr>
          <w:b/>
          <w:bCs/>
        </w:rPr>
        <w:t xml:space="preserve">User:</w:t>
      </w:r>
    </w:p>
    <w:p>
      <w:pPr>
        <w:pStyle w:val="a0"/>
      </w:pPr>
      <w:r>
        <w:t xml:space="preserve">oui</w:t>
      </w:r>
    </w:p>
    <w:p>
      <w:r>
        <w:pict>
          <v:rect style="width:0;height:1.5pt" o:hralign="center" o:hrstd="t" o:hr="t"/>
        </w:pict>
      </w:r>
    </w:p>
    <w:p>
      <w:pPr>
        <w:pStyle w:val="FirstParagraph"/>
      </w:pPr>
      <w:r>
        <w:rPr>
          <w:b/>
          <w:bCs/>
        </w:rPr>
        <w:t xml:space="preserve">Kimi:</w:t>
      </w:r>
    </w:p>
    <w:p>
      <w:pPr>
        <w:pStyle w:val="a0"/>
      </w:pPr>
      <w:r>
        <w:t xml:space="preserve">Voici une synthèse complète sur la norme</w:t>
      </w:r>
      <w:r>
        <w:t xml:space="preserve"> </w:t>
      </w:r>
      <w:r>
        <w:rPr>
          <w:b/>
          <w:bCs/>
        </w:rPr>
        <w:t xml:space="preserve">IEC 61427</w:t>
      </w:r>
      <w:r>
        <w:t xml:space="preserve"> </w:t>
      </w:r>
      <w:r>
        <w:t xml:space="preserve">et les méthodes de comptage de cycles avec gestion du DOD.</w:t>
      </w:r>
    </w:p>
    <w:p>
      <w:r>
        <w:pict>
          <v:rect style="width:0;height:1.5pt" o:hralign="center" o:hrstd="t" o:hr="t"/>
        </w:pict>
      </w:r>
    </w:p>
    <w:bookmarkEnd w:id="24"/>
    <w:bookmarkStart w:id="27" w:name="X78e54260b1aeddba58c64aa9878766a91030f67"/>
    <w:p>
      <w:pPr>
        <w:pStyle w:val="2"/>
      </w:pPr>
      <w:r>
        <w:t xml:space="preserve">1. La norme IEC 61427 — Méthodes d’essai pour accumulateurs PV</w:t>
      </w:r>
    </w:p>
    <w:p>
      <w:pPr>
        <w:pStyle w:val="FirstParagraph"/>
      </w:pPr>
      <w:r>
        <w:t xml:space="preserve">La norme internationale</w:t>
      </w:r>
      <w:r>
        <w:t xml:space="preserve"> </w:t>
      </w:r>
      <w:r>
        <w:rPr>
          <w:b/>
          <w:bCs/>
        </w:rPr>
        <w:t xml:space="preserve">IEC 61427</w:t>
      </w:r>
      <w:r>
        <w:t xml:space="preserve"> </w:t>
      </w:r>
      <w:r>
        <w:t xml:space="preserve">(en deux parties :</w:t>
      </w:r>
      <w:r>
        <w:t xml:space="preserve"> </w:t>
      </w:r>
      <w:r>
        <w:rPr>
          <w:b/>
          <w:bCs/>
        </w:rPr>
        <w:t xml:space="preserve">61427-1</w:t>
      </w:r>
      <w:r>
        <w:t xml:space="preserve"> </w:t>
      </w:r>
      <w:r>
        <w:t xml:space="preserve">pour les systèmes photovoltaïques autonomes et</w:t>
      </w:r>
      <w:r>
        <w:t xml:space="preserve"> </w:t>
      </w:r>
      <w:r>
        <w:rPr>
          <w:b/>
          <w:bCs/>
        </w:rPr>
        <w:t xml:space="preserve">61427-2</w:t>
      </w:r>
      <w:r>
        <w:t xml:space="preserve"> </w:t>
      </w:r>
      <w:r>
        <w:t xml:space="preserve">pour les systèmes connectés au réseau) définit les</w:t>
      </w:r>
      <w:r>
        <w:t xml:space="preserve"> </w:t>
      </w:r>
      <w:r>
        <w:rPr>
          <w:b/>
          <w:bCs/>
        </w:rPr>
        <w:t xml:space="preserve">protocoles d’essai de cyclage</w:t>
      </w:r>
      <w:r>
        <w:t xml:space="preserve"> </w:t>
      </w:r>
      <w:r>
        <w:t xml:space="preserve">pour les accumulateurs utilisés dans le stockage d’énergie renouvelable.</w:t>
      </w:r>
    </w:p>
    <w:bookmarkStart w:id="25" w:name="protocole-dessai-caractéristique"/>
    <w:p>
      <w:pPr>
        <w:pStyle w:val="3"/>
      </w:pPr>
      <w:r>
        <w:t xml:space="preserve">Protocole d’essai caractéristique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Paramètre</w:t>
            </w:r>
          </w:p>
        </w:tc>
        <w:tc>
          <w:tcPr/>
          <w:p>
            <w:pPr>
              <w:pStyle w:val="Compact"/>
              <w:jc w:val="left"/>
            </w:pPr>
            <w:r>
              <w:t xml:space="preserve">Condition standard</w:t>
            </w:r>
          </w:p>
        </w:tc>
      </w:tr>
      <w:tr>
        <w:tc>
          <w:tcPr/>
          <w:p>
            <w:pPr>
              <w:pStyle w:val="Compact"/>
              <w:jc w:val="left"/>
            </w:pPr>
            <w:r>
              <w:t xml:space="preserve">Température</w:t>
            </w:r>
          </w:p>
        </w:tc>
        <w:tc>
          <w:tcPr/>
          <w:p>
            <w:pPr>
              <w:pStyle w:val="Compact"/>
              <w:jc w:val="left"/>
            </w:pPr>
            <w:r>
              <w:t xml:space="preserve">25 °C ± 2 °C</w:t>
            </w:r>
          </w:p>
        </w:tc>
      </w:tr>
      <w:tr>
        <w:tc>
          <w:tcPr/>
          <w:p>
            <w:pPr>
              <w:pStyle w:val="Compact"/>
              <w:jc w:val="left"/>
            </w:pPr>
            <w:r>
              <w:t xml:space="preserve">Taux de charge</w:t>
            </w:r>
          </w:p>
        </w:tc>
        <w:tc>
          <w:tcPr/>
          <w:p>
            <w:pPr>
              <w:pStyle w:val="Compact"/>
              <w:jc w:val="left"/>
            </w:pPr>
            <w:r>
              <w:t xml:space="preserve">0,5C (charge complète en 2 h)</w:t>
            </w:r>
          </w:p>
        </w:tc>
      </w:tr>
      <w:tr>
        <w:tc>
          <w:tcPr/>
          <w:p>
            <w:pPr>
              <w:pStyle w:val="Compact"/>
              <w:jc w:val="left"/>
            </w:pPr>
            <w:r>
              <w:t xml:space="preserve">Taux de décharge</w:t>
            </w:r>
          </w:p>
        </w:tc>
        <w:tc>
          <w:tcPr/>
          <w:p>
            <w:pPr>
              <w:pStyle w:val="Compact"/>
              <w:jc w:val="left"/>
            </w:pPr>
            <w:r>
              <w:t xml:space="preserve">0,5C (décharge complète en 2 h)</w:t>
            </w:r>
          </w:p>
        </w:tc>
      </w:tr>
      <w:tr>
        <w:tc>
          <w:tcPr/>
          <w:p>
            <w:pPr>
              <w:pStyle w:val="Compact"/>
              <w:jc w:val="left"/>
            </w:pPr>
            <w:r>
              <w:t xml:space="preserve">DOD cible</w:t>
            </w:r>
          </w:p>
        </w:tc>
        <w:tc>
          <w:tcPr/>
          <w:p>
            <w:pPr>
              <w:pStyle w:val="Compact"/>
              <w:jc w:val="left"/>
            </w:pPr>
            <w:r>
              <w:t xml:space="preserve">Typiquement 80 % (SOC 100 % → 20 %)</w:t>
            </w:r>
          </w:p>
        </w:tc>
      </w:tr>
      <w:tr>
        <w:tc>
          <w:tcPr/>
          <w:p>
            <w:pPr>
              <w:pStyle w:val="Compact"/>
              <w:jc w:val="left"/>
            </w:pPr>
            <w:r>
              <w:t xml:space="preserve">Pauses</w:t>
            </w:r>
          </w:p>
        </w:tc>
        <w:tc>
          <w:tcPr/>
          <w:p>
            <w:pPr>
              <w:pStyle w:val="Compact"/>
              <w:jc w:val="left"/>
            </w:pPr>
            <w:r>
              <w:t xml:space="preserve">30 min entre charge et décharge</w:t>
            </w:r>
          </w:p>
        </w:tc>
      </w:tr>
      <w:tr>
        <w:tc>
          <w:tcPr/>
          <w:p>
            <w:pPr>
              <w:pStyle w:val="Compact"/>
              <w:jc w:val="left"/>
            </w:pPr>
            <w:r>
              <w:t xml:space="preserve">Mesures de capacité</w:t>
            </w:r>
          </w:p>
        </w:tc>
        <w:tc>
          <w:tcPr/>
          <w:p>
            <w:pPr>
              <w:pStyle w:val="Compact"/>
              <w:jc w:val="left"/>
            </w:pPr>
            <w:r>
              <w:t xml:space="preserve">Tous les 100 à 500 cycles</w:t>
            </w:r>
          </w:p>
        </w:tc>
      </w:tr>
      <w:tr>
        <w:tc>
          <w:tcPr/>
          <w:p>
            <w:pPr>
              <w:pStyle w:val="Compact"/>
              <w:jc w:val="left"/>
            </w:pPr>
            <w:r>
              <w:t xml:space="preserve">Fin de test</w:t>
            </w:r>
          </w:p>
        </w:tc>
        <w:tc>
          <w:tcPr/>
          <w:p>
            <w:pPr>
              <w:pStyle w:val="Compact"/>
              <w:jc w:val="left"/>
            </w:pPr>
            <w:r>
              <w:t xml:space="preserve">Capacité &lt; 80 % de la capacité nominale</w:t>
            </w:r>
          </w:p>
        </w:tc>
      </w:tr>
    </w:tbl>
    <w:bookmarkEnd w:id="25"/>
    <w:bookmarkStart w:id="26" w:name="X69e904e1becdbc25d86cda035d7c277cac93693"/>
    <w:p>
      <w:pPr>
        <w:pStyle w:val="3"/>
      </w:pPr>
      <w:r>
        <w:t xml:space="preserve">Le « cycle IEC 61427 » comme unité de vie de service</w:t>
      </w:r>
    </w:p>
    <w:p>
      <w:pPr>
        <w:pStyle w:val="FirstParagraph"/>
      </w:pPr>
      <w:r>
        <w:t xml:space="preserve">Un cycle d’essai IEC 61427 ne correspond</w:t>
      </w:r>
      <w:r>
        <w:t xml:space="preserve"> </w:t>
      </w:r>
      <w:r>
        <w:rPr>
          <w:b/>
          <w:bCs/>
        </w:rPr>
        <w:t xml:space="preserve">pas</w:t>
      </w:r>
      <w:r>
        <w:t xml:space="preserve"> </w:t>
      </w:r>
      <w:r>
        <w:t xml:space="preserve">à un cycle complet 100 % DOD. Il se compose de :</w:t>
      </w:r>
      <w:r>
        <w:t xml:space="preserve"> </w:t>
      </w:r>
      <w:r>
        <w:t xml:space="preserve">-</w:t>
      </w:r>
      <w:r>
        <w:t xml:space="preserve"> </w:t>
      </w:r>
      <w:r>
        <w:rPr>
          <w:b/>
          <w:bCs/>
        </w:rPr>
        <w:t xml:space="preserve">50 cycles peu profonds à faible SOC</w:t>
      </w:r>
      <w:r>
        <w:t xml:space="preserve"> </w:t>
      </w:r>
      <w:r>
        <w:t xml:space="preserve">(état de charge bas)</w:t>
      </w:r>
      <w:r>
        <w:t xml:space="preserve"> </w:t>
      </w:r>
      <w:r>
        <w:t xml:space="preserve">-</w:t>
      </w:r>
      <w:r>
        <w:t xml:space="preserve"> </w:t>
      </w:r>
      <w:r>
        <w:rPr>
          <w:b/>
          <w:bCs/>
        </w:rPr>
        <w:t xml:space="preserve">100 cycles peu profonds à haut SOC</w:t>
      </w:r>
      <w:r>
        <w:t xml:space="preserve"> </w:t>
      </w:r>
      <w:r>
        <w:t xml:space="preserve">(état de charge élevé)</w:t>
      </w:r>
    </w:p>
    <w:p>
      <w:pPr>
        <w:pStyle w:val="aa"/>
      </w:pPr>
      <w:r>
        <w:rPr>
          <w:b/>
          <w:bCs/>
        </w:rPr>
        <w:t xml:space="preserve">1 cycle IEC 61427 ≈ 1 année de service réel</w:t>
      </w:r>
      <w:r>
        <w:t xml:space="preserve"> </w:t>
      </w:r>
      <w:r>
        <w:t xml:space="preserve">dans une application PV typique.</w:t>
      </w:r>
    </w:p>
    <w:p>
      <w:pPr>
        <w:pStyle w:val="FirstParagraph"/>
      </w:pPr>
      <w:r>
        <w:t xml:space="preserve">Cette approche est plus réaliste que les courbes de cycle vie classiques du fabricant, car elle reproduit les conditions réelles d’un système PV où les batteries subissent des cycles partiels et irréguliers (PSOC — Partial State of Charge).</w:t>
      </w:r>
    </w:p>
    <w:p>
      <w:r>
        <w:pict>
          <v:rect style="width:0;height:1.5pt" o:hralign="center" o:hrstd="t" o:hr="t"/>
        </w:pict>
      </w:r>
    </w:p>
    <w:bookmarkEnd w:id="26"/>
    <w:bookmarkEnd w:id="27"/>
    <w:bookmarkStart w:id="30" w:name="X5a9faccb7044c4f02b07daedaed3e3862d419b9"/>
    <w:p>
      <w:pPr>
        <w:pStyle w:val="2"/>
      </w:pPr>
      <w:r>
        <w:t xml:space="preserve">2. Le DOD excédentaire et le comptage de cycles équivalents</w:t>
      </w:r>
    </w:p>
    <w:bookmarkStart w:id="28" w:name="X23b87edcf89e3d559643c376b48b0adccf9e85e"/>
    <w:p>
      <w:pPr>
        <w:pStyle w:val="3"/>
      </w:pPr>
      <w:r>
        <w:t xml:space="preserve">DOD (Depth of Discharge) — Profondeur de décharge</w:t>
      </w:r>
    </w:p>
    <w:p>
      <w:pPr>
        <w:pStyle w:val="FirstParagraph"/>
      </w:pPr>
      <w:r>
        <w:t xml:space="preserve">Le DOD mesure la fraction de capacité déchargée :</w:t>
      </w:r>
      <w:r>
        <w:t xml:space="preserve"> </w:t>
      </w:r>
      <w:r>
        <w:t xml:space="preserve">-</w:t>
      </w:r>
      <w:r>
        <w:t xml:space="preserve"> </w:t>
      </w:r>
      <w:r>
        <w:rPr>
          <w:b/>
          <w:bCs/>
        </w:rPr>
        <w:t xml:space="preserve">DOD 80 %</w:t>
      </w:r>
      <w:r>
        <w:t xml:space="preserve"> </w:t>
      </w:r>
      <w:r>
        <w:t xml:space="preserve">= on utilise 80 % de la capacité (SOC passe de 100 % à 20 %)</w:t>
      </w:r>
      <w:r>
        <w:t xml:space="preserve"> </w:t>
      </w:r>
      <w:r>
        <w:t xml:space="preserve">-</w:t>
      </w:r>
      <w:r>
        <w:t xml:space="preserve"> </w:t>
      </w:r>
      <w:r>
        <w:rPr>
          <w:b/>
          <w:bCs/>
        </w:rPr>
        <w:t xml:space="preserve">DOD 50 %</w:t>
      </w:r>
      <w:r>
        <w:t xml:space="preserve"> </w:t>
      </w:r>
      <w:r>
        <w:t xml:space="preserve">= on utilise la moitié de la capacité</w:t>
      </w:r>
      <w:r>
        <w:t xml:space="preserve"> </w:t>
      </w:r>
      <w:r>
        <w:t xml:space="preserve">-</w:t>
      </w:r>
      <w:r>
        <w:t xml:space="preserve"> </w:t>
      </w:r>
      <w:r>
        <w:rPr>
          <w:b/>
          <w:bCs/>
        </w:rPr>
        <w:t xml:space="preserve">DOD 100 %</w:t>
      </w:r>
      <w:r>
        <w:t xml:space="preserve"> </w:t>
      </w:r>
      <w:r>
        <w:t xml:space="preserve">= décharge complète</w:t>
      </w:r>
    </w:p>
    <w:p>
      <w:pPr>
        <w:pStyle w:val="a0"/>
      </w:pPr>
      <w:r>
        <w:t xml:space="preserve">La relation entre DOD et durée de vie suit généralement une</w:t>
      </w:r>
      <w:r>
        <w:t xml:space="preserve"> </w:t>
      </w:r>
      <w:r>
        <w:rPr>
          <w:b/>
          <w:bCs/>
        </w:rPr>
        <w:t xml:space="preserve">loi exponentielle</w:t>
      </w:r>
      <w:r>
        <w:t xml:space="preserve"> </w:t>
      </w:r>
      <w:r>
        <w:t xml:space="preserve">:</w:t>
      </w:r>
    </w:p>
    <w:p>
      <w:pPr>
        <w:pStyle w:val="a0"/>
      </w:pPr>
      <m:oMathPara>
        <m:oMathParaPr>
          <m:jc m:val="center"/>
        </m:oMathParaPr>
        <m:oMath>
          <m:r>
            <m:t>N</m:t>
          </m:r>
          <m:d>
            <m:dPr>
              <m:begChr m:val="("/>
              <m:endChr m:val=")"/>
              <m:sepChr m:val=""/>
              <m:grow/>
            </m:dPr>
            <m:e>
              <m:r>
                <m:rPr>
                  <m:nor/>
                  <m:sty m:val="p"/>
                </m:rPr>
                <m:t>DOD</m:t>
              </m:r>
            </m:e>
          </m:d>
          <m:r>
            <m:rPr>
              <m:sty m:val="p"/>
            </m:rPr>
            <m:t>=</m:t>
          </m:r>
          <m:sSub>
            <m:e>
              <m:r>
                <m:t>N</m:t>
              </m:r>
            </m:e>
            <m:sub>
              <m:r>
                <m:t>0</m:t>
              </m:r>
            </m:sub>
          </m:sSub>
          <m:r>
            <m:rPr>
              <m:sty m:val="p"/>
            </m:rPr>
            <m:t>⋅</m:t>
          </m:r>
          <m:sSup>
            <m:e>
              <m:r>
                <m:t>e</m:t>
              </m:r>
            </m:e>
            <m:sup>
              <m:r>
                <m:rPr>
                  <m:sty m:val="p"/>
                </m:rPr>
                <m:t>−</m:t>
              </m:r>
              <m:r>
                <m:t>k</m:t>
              </m:r>
              <m:r>
                <m:rPr>
                  <m:sty m:val="p"/>
                </m:rPr>
                <m:t>⋅</m:t>
              </m:r>
              <m:r>
                <m:rPr>
                  <m:nor/>
                  <m:sty m:val="p"/>
                </m:rPr>
                <m:t>DOD</m:t>
              </m:r>
            </m:sup>
          </m:sSup>
        </m:oMath>
      </m:oMathPara>
    </w:p>
    <w:p>
      <w:pPr>
        <w:pStyle w:val="FirstParagraph"/>
      </w:pPr>
      <w:r>
        <w:t xml:space="preserve">Pour une batterie LiFePO₄ typique,</w:t>
      </w:r>
      <w:r>
        <w:t xml:space="preserve"> </w:t>
      </w:r>
      <m:oMath>
        <m:r>
          <m:t>k</m:t>
        </m:r>
        <m:r>
          <m:rPr>
            <m:sty m:val="p"/>
          </m:rPr>
          <m:t>≈</m:t>
        </m:r>
        <m:r>
          <m:t>0</m:t>
        </m:r>
        <m:r>
          <m:rPr>
            <m:sty m:val="p"/>
          </m:rPr>
          <m:t>,</m:t>
        </m:r>
        <m:r>
          <m:t>025</m:t>
        </m:r>
      </m:oMath>
      <w:r>
        <w:t xml:space="preserve">. Ainsi :</w:t>
      </w:r>
      <w:r>
        <w:t xml:space="preserve"> </w:t>
      </w:r>
      <w:r>
        <w:t xml:space="preserve">- 80 % DOD → ~6 000 cycles</w:t>
      </w:r>
      <w:r>
        <w:t xml:space="preserve"> </w:t>
      </w:r>
      <w:r>
        <w:t xml:space="preserve">- 100 % DOD → ~3 000 cycles (moitié de la vie !)</w:t>
      </w:r>
      <w:r>
        <w:t xml:space="preserve"> </w:t>
      </w:r>
      <w:r>
        <w:t xml:space="preserve">- 40 % DOD → ~9 000 cycles</w:t>
      </w:r>
    </w:p>
    <w:bookmarkEnd w:id="28"/>
    <w:bookmarkStart w:id="29" w:name="conservation-du-dod-excédentaire"/>
    <w:p>
      <w:pPr>
        <w:pStyle w:val="3"/>
      </w:pPr>
      <w:r>
        <w:t xml:space="preserve">« Conservation du DOD excédentaire »</w:t>
      </w:r>
    </w:p>
    <w:p>
      <w:pPr>
        <w:pStyle w:val="FirstParagraph"/>
      </w:pPr>
      <w:r>
        <w:t xml:space="preserve">Cette expression désigne la pratique consistant à</w:t>
      </w:r>
      <w:r>
        <w:t xml:space="preserve"> </w:t>
      </w:r>
      <w:r>
        <w:rPr>
          <w:b/>
          <w:bCs/>
        </w:rPr>
        <w:t xml:space="preserve">accumuler et comptabiliser les fractions de DOD</w:t>
      </w:r>
      <w:r>
        <w:t xml:space="preserve"> </w:t>
      </w:r>
      <w:r>
        <w:t xml:space="preserve">au-delà d’un seuil de référence. Dans un BMS/EMS avancé :</w:t>
      </w:r>
    </w:p>
    <w:p>
      <w:pPr>
        <w:pStyle w:val="Compact"/>
        <w:numPr>
          <w:ilvl w:val="0"/>
          <w:numId w:val="1003"/>
        </w:numPr>
      </w:pPr>
      <w:r>
        <w:t xml:space="preserve">On définit un</w:t>
      </w:r>
      <w:r>
        <w:t xml:space="preserve"> </w:t>
      </w:r>
      <w:r>
        <w:rPr>
          <w:b/>
          <w:bCs/>
        </w:rPr>
        <w:t xml:space="preserve">DOD de référence</w:t>
      </w:r>
      <w:r>
        <w:t xml:space="preserve"> </w:t>
      </w:r>
      <w:r>
        <w:t xml:space="preserve">(ex. 80 %)</w:t>
      </w:r>
    </w:p>
    <w:p>
      <w:pPr>
        <w:pStyle w:val="Compact"/>
        <w:numPr>
          <w:ilvl w:val="0"/>
          <w:numId w:val="1003"/>
        </w:numPr>
      </w:pPr>
      <w:r>
        <w:t xml:space="preserve">Chaque décharge est convertie en</w:t>
      </w:r>
      <w:r>
        <w:t xml:space="preserve"> </w:t>
      </w:r>
      <w:r>
        <w:rPr>
          <w:b/>
          <w:bCs/>
        </w:rPr>
        <w:t xml:space="preserve">cycle équivalent</w:t>
      </w:r>
      <w:r>
        <w:t xml:space="preserve"> </w:t>
      </w:r>
      <w:r>
        <w:t xml:space="preserve">:</w:t>
      </w:r>
      <w:r>
        <w:t xml:space="preserve"> </w:t>
      </w:r>
      <m:oMath>
        <m:sSub>
          <m:e>
            <m:r>
              <m:rPr>
                <m:nor/>
                <m:sty m:val="p"/>
              </m:rPr>
              <m:t>EFC</m:t>
            </m:r>
          </m:e>
          <m:sub>
            <m:r>
              <m:t>i</m:t>
            </m:r>
          </m:sub>
        </m:sSub>
        <m:r>
          <m:rPr>
            <m:sty m:val="p"/>
          </m:rPr>
          <m:t>=</m:t>
        </m:r>
        <m:sSub>
          <m:e>
            <m:r>
              <m:rPr>
                <m:nor/>
                <m:sty m:val="p"/>
              </m:rPr>
              <m:t>DOD</m:t>
            </m:r>
          </m:e>
          <m:sub>
            <m:r>
              <m:t>i</m:t>
            </m:r>
          </m:sub>
        </m:sSub>
        <m:r>
          <m:rPr>
            <m:sty m:val="p"/>
          </m:rPr>
          <m:t>/</m:t>
        </m:r>
        <m:r>
          <m:t>100</m:t>
        </m:r>
        <m:r>
          <m:rPr>
            <m:sty m:val="p"/>
          </m:rPr>
          <m:t>%</m:t>
        </m:r>
      </m:oMath>
    </w:p>
    <w:p>
      <w:pPr>
        <w:pStyle w:val="Compact"/>
        <w:numPr>
          <w:ilvl w:val="0"/>
          <w:numId w:val="1003"/>
        </w:numPr>
      </w:pPr>
      <w:r>
        <w:t xml:space="preserve">Le DOD « excédentaire » au-delà du seuil est</w:t>
      </w:r>
      <w:r>
        <w:t xml:space="preserve"> </w:t>
      </w:r>
      <w:r>
        <w:rPr>
          <w:b/>
          <w:bCs/>
        </w:rPr>
        <w:t xml:space="preserve">conservé en mémoire</w:t>
      </w:r>
      <w:r>
        <w:t xml:space="preserve"> </w:t>
      </w:r>
      <w:r>
        <w:t xml:space="preserve">et cumulé</w:t>
      </w:r>
    </w:p>
    <w:p>
      <w:pPr>
        <w:pStyle w:val="Compact"/>
        <w:numPr>
          <w:ilvl w:val="0"/>
          <w:numId w:val="1003"/>
        </w:numPr>
      </w:pPr>
      <w:r>
        <w:t xml:space="preserve">Lorsque la somme atteint 1,0, on compte</w:t>
      </w:r>
      <w:r>
        <w:t xml:space="preserve"> </w:t>
      </w:r>
      <w:r>
        <w:rPr>
          <w:b/>
          <w:bCs/>
        </w:rPr>
        <w:t xml:space="preserve">un cycle équivalent plein (EFC)</w:t>
      </w:r>
    </w:p>
    <w:p>
      <w:pPr>
        <w:pStyle w:val="FirstParagraph"/>
      </w:pPr>
      <w:r>
        <w:t xml:space="preserve">Exemple :</w:t>
      </w:r>
      <w:r>
        <w:t xml:space="preserve"> </w:t>
      </w:r>
      <w:r>
        <w:t xml:space="preserve">- Jour 1 : décharge 80 % → 0,80 EFC</w:t>
      </w:r>
      <w:r>
        <w:t xml:space="preserve"> </w:t>
      </w:r>
      <w:r>
        <w:t xml:space="preserve">- Jour 2 : décharge 50 % → 0,50 EFC</w:t>
      </w:r>
      <w:r>
        <w:t xml:space="preserve"> </w:t>
      </w:r>
      <w:r>
        <w:t xml:space="preserve">- Jour 3 : décharge 30 % → 0,30 EFC</w:t>
      </w:r>
      <w:r>
        <w:t xml:space="preserve"> </w:t>
      </w:r>
      <w:r>
        <w:t xml:space="preserve">- Jour 4 : décharge 40 % → 0,40 EFC</w:t>
      </w:r>
      <w:r>
        <w:t xml:space="preserve"> </w:t>
      </w:r>
      <w:r>
        <w:t xml:space="preserve">-</w:t>
      </w:r>
      <w:r>
        <w:t xml:space="preserve"> </w:t>
      </w:r>
      <w:r>
        <w:rPr>
          <w:b/>
          <w:bCs/>
        </w:rPr>
        <w:t xml:space="preserve">Total : 2,00 EFC</w:t>
      </w:r>
      <w:r>
        <w:t xml:space="preserve"> </w:t>
      </w:r>
      <w:r>
        <w:t xml:space="preserve">(2 cycles pleins équivalents)</w:t>
      </w:r>
    </w:p>
    <w:p>
      <w:pPr>
        <w:pStyle w:val="aa"/>
      </w:pPr>
      <w:r>
        <w:t xml:space="preserve">Cette méthode simple (linéaire) est utilisée dans de nombreuses garanties commerciales, mais elle</w:t>
      </w:r>
      <w:r>
        <w:t xml:space="preserve"> </w:t>
      </w:r>
      <w:r>
        <w:rPr>
          <w:b/>
          <w:bCs/>
        </w:rPr>
        <w:t xml:space="preserve">sous-estime la dégradation</w:t>
      </w:r>
      <w:r>
        <w:t xml:space="preserve"> </w:t>
      </w:r>
      <w:r>
        <w:t xml:space="preserve">car elle ignore la non-linéarité réelle.</w:t>
      </w:r>
    </w:p>
    <w:p>
      <w:r>
        <w:pict>
          <v:rect style="width:0;height:1.5pt" o:hralign="center" o:hrstd="t" o:hr="t"/>
        </w:pict>
      </w:r>
    </w:p>
    <w:bookmarkEnd w:id="29"/>
    <w:bookmarkEnd w:id="30"/>
    <w:bookmarkStart w:id="33" w:name="Xbfb919224a986c21b01bea19c48cb5091b8ba29"/>
    <w:p>
      <w:pPr>
        <w:pStyle w:val="2"/>
      </w:pPr>
      <w:r>
        <w:t xml:space="preserve">3. Méthode Rainflow — Comptage de cycles réels</w:t>
      </w:r>
    </w:p>
    <w:p>
      <w:pPr>
        <w:pStyle w:val="FirstParagraph"/>
      </w:pPr>
      <w:r>
        <w:t xml:space="preserve">L’</w:t>
      </w:r>
      <w:r>
        <w:rPr>
          <w:b/>
          <w:bCs/>
        </w:rPr>
        <w:t xml:space="preserve">algorithme Rainflow</w:t>
      </w:r>
      <w:r>
        <w:t xml:space="preserve"> </w:t>
      </w:r>
      <w:r>
        <w:t xml:space="preserve">(comptage des gouttes de pluie) est la méthode la plus répandue pour décomposer un profil de charge/décharge irrégulier en</w:t>
      </w:r>
      <w:r>
        <w:t xml:space="preserve"> </w:t>
      </w:r>
      <w:r>
        <w:rPr>
          <w:b/>
          <w:bCs/>
        </w:rPr>
        <w:t xml:space="preserve">cycles élémentaires</w:t>
      </w:r>
      <w:r>
        <w:t xml:space="preserve"> </w:t>
      </w:r>
      <w:r>
        <w:t xml:space="preserve">avec leur amplitude réelle.</w:t>
      </w:r>
    </w:p>
    <w:bookmarkStart w:id="31" w:name="principe"/>
    <w:p>
      <w:pPr>
        <w:pStyle w:val="3"/>
      </w:pPr>
      <w:r>
        <w:t xml:space="preserve">Principe</w:t>
      </w:r>
    </w:p>
    <w:p>
      <w:pPr>
        <w:pStyle w:val="Compact"/>
        <w:numPr>
          <w:ilvl w:val="0"/>
          <w:numId w:val="1004"/>
        </w:numPr>
      </w:pPr>
      <w:r>
        <w:t xml:space="preserve">On trace le profil SOC dans le temps</w:t>
      </w:r>
    </w:p>
    <w:p>
      <w:pPr>
        <w:pStyle w:val="Compact"/>
        <w:numPr>
          <w:ilvl w:val="0"/>
          <w:numId w:val="1004"/>
        </w:numPr>
      </w:pPr>
      <w:r>
        <w:t xml:space="preserve">On fait « couler » des gouttes de pluie depuis chaque pic et chaque creux</w:t>
      </w:r>
    </w:p>
    <w:p>
      <w:pPr>
        <w:pStyle w:val="Compact"/>
        <w:numPr>
          <w:ilvl w:val="0"/>
          <w:numId w:val="1004"/>
        </w:numPr>
      </w:pPr>
      <w:r>
        <w:t xml:space="preserve">Une goutte s’arrête quand elle rencontre une paroi plus abrupte ou une autre goutte</w:t>
      </w:r>
    </w:p>
    <w:p>
      <w:pPr>
        <w:pStyle w:val="Compact"/>
        <w:numPr>
          <w:ilvl w:val="0"/>
          <w:numId w:val="1004"/>
        </w:numPr>
      </w:pPr>
      <w:r>
        <w:t xml:space="preserve">Chaque trajet complet (pic → creux → pic) forme un</w:t>
      </w:r>
      <w:r>
        <w:t xml:space="preserve"> </w:t>
      </w:r>
      <w:r>
        <w:rPr>
          <w:b/>
          <w:bCs/>
        </w:rPr>
        <w:t xml:space="preserve">cycle</w:t>
      </w:r>
    </w:p>
    <w:p>
      <w:pPr>
        <w:pStyle w:val="Compact"/>
        <w:numPr>
          <w:ilvl w:val="0"/>
          <w:numId w:val="1004"/>
        </w:numPr>
      </w:pPr>
      <w:r>
        <w:t xml:space="preserve">Les trajets interrompus forment des</w:t>
      </w:r>
      <w:r>
        <w:t xml:space="preserve"> </w:t>
      </w:r>
      <w:r>
        <w:rPr>
          <w:b/>
          <w:bCs/>
        </w:rPr>
        <w:t xml:space="preserve">demi-cycles</w:t>
      </w:r>
    </w:p>
    <w:bookmarkEnd w:id="31"/>
    <w:bookmarkStart w:id="32" w:name="avantage"/>
    <w:p>
      <w:pPr>
        <w:pStyle w:val="3"/>
      </w:pPr>
      <w:r>
        <w:t xml:space="preserve">Avantage</w:t>
      </w:r>
    </w:p>
    <w:p>
      <w:pPr>
        <w:pStyle w:val="FirstParagraph"/>
      </w:pPr>
      <w:r>
        <w:t xml:space="preserve">Contrairement à la méthode EFC simple, Rainflow</w:t>
      </w:r>
      <w:r>
        <w:t xml:space="preserve"> </w:t>
      </w:r>
      <w:r>
        <w:rPr>
          <w:b/>
          <w:bCs/>
        </w:rPr>
        <w:t xml:space="preserve">distingue les micro-cycles</w:t>
      </w:r>
      <w:r>
        <w:t xml:space="preserve"> </w:t>
      </w:r>
      <w:r>
        <w:t xml:space="preserve">et les cycles profonds. Il est particulièrement utile pour :</w:t>
      </w:r>
      <w:r>
        <w:t xml:space="preserve"> </w:t>
      </w:r>
      <w:r>
        <w:t xml:space="preserve">- Le</w:t>
      </w:r>
      <w:r>
        <w:t xml:space="preserve"> </w:t>
      </w:r>
      <w:r>
        <w:rPr>
          <w:b/>
          <w:bCs/>
        </w:rPr>
        <w:t xml:space="preserve">régulation de fréquence</w:t>
      </w:r>
      <w:r>
        <w:t xml:space="preserve"> </w:t>
      </w:r>
      <w:r>
        <w:t xml:space="preserve">(cycles très rapides et peu profonds)</w:t>
      </w:r>
      <w:r>
        <w:t xml:space="preserve"> </w:t>
      </w:r>
      <w:r>
        <w:t xml:space="preserve">- Les</w:t>
      </w:r>
      <w:r>
        <w:t xml:space="preserve"> </w:t>
      </w:r>
      <w:r>
        <w:rPr>
          <w:b/>
          <w:bCs/>
        </w:rPr>
        <w:t xml:space="preserve">véhicules électriques</w:t>
      </w:r>
      <w:r>
        <w:t xml:space="preserve"> </w:t>
      </w:r>
      <w:r>
        <w:t xml:space="preserve">(profils de conduite irréguliers)</w:t>
      </w:r>
      <w:r>
        <w:t xml:space="preserve"> </w:t>
      </w:r>
      <w:r>
        <w:t xml:space="preserve">- Les</w:t>
      </w:r>
      <w:r>
        <w:t xml:space="preserve"> </w:t>
      </w:r>
      <w:r>
        <w:rPr>
          <w:b/>
          <w:bCs/>
        </w:rPr>
        <w:t xml:space="preserve">systèmes de stockage hybrides</w:t>
      </w:r>
      <w:r>
        <w:t xml:space="preserve"> </w:t>
      </w:r>
      <w:r>
        <w:t xml:space="preserve">(plusieurs services simultanés)</w:t>
      </w:r>
    </w:p>
    <w:p>
      <w:r>
        <w:pict>
          <v:rect style="width:0;height:1.5pt" o:hralign="center" o:hrstd="t" o:hr="t"/>
        </w:pict>
      </w:r>
    </w:p>
    <w:bookmarkEnd w:id="32"/>
    <w:bookmarkEnd w:id="33"/>
    <w:bookmarkStart w:id="37" w:name="règle-de-miner-cumul-des-dommages"/>
    <w:p>
      <w:pPr>
        <w:pStyle w:val="2"/>
      </w:pPr>
      <w:r>
        <w:t xml:space="preserve">4. Règle de Miner — Cumul des dommages</w:t>
      </w:r>
    </w:p>
    <w:p>
      <w:pPr>
        <w:pStyle w:val="FirstParagraph"/>
      </w:pPr>
      <w:r>
        <w:t xml:space="preserve">La</w:t>
      </w:r>
      <w:r>
        <w:t xml:space="preserve"> </w:t>
      </w:r>
      <w:r>
        <w:rPr>
          <w:b/>
          <w:bCs/>
        </w:rPr>
        <w:t xml:space="preserve">règle de Miner</w:t>
      </w:r>
      <w:r>
        <w:t xml:space="preserve"> </w:t>
      </w:r>
      <w:r>
        <w:t xml:space="preserve">(ou loi de Palmgren-Miner), initialement développée pour la fatigue des métaux, s’applique aux batteries pour estimer la</w:t>
      </w:r>
      <w:r>
        <w:t xml:space="preserve"> </w:t>
      </w:r>
      <w:r>
        <w:rPr>
          <w:b/>
          <w:bCs/>
        </w:rPr>
        <w:t xml:space="preserve">vie résiduelle</w:t>
      </w:r>
      <w:r>
        <w:t xml:space="preserve"> </w:t>
      </w:r>
      <w:r>
        <w:t xml:space="preserve">sous des conditions variables.</w:t>
      </w:r>
    </w:p>
    <w:bookmarkStart w:id="34" w:name="formulation"/>
    <w:p>
      <w:pPr>
        <w:pStyle w:val="3"/>
      </w:pPr>
      <w:r>
        <w:t xml:space="preserve">Formulation</w:t>
      </w:r>
    </w:p>
    <w:p>
      <w:pPr>
        <w:pStyle w:val="FirstParagraph"/>
      </w:pPr>
      <m:oMathPara>
        <m:oMathParaPr>
          <m:jc m:val="center"/>
        </m:oMathParaPr>
        <m:oMath>
          <m:r>
            <m:rPr>
              <m:nor/>
              <m:sty m:val="p"/>
            </m:rPr>
            <m:t>Dommage</m:t>
          </m:r>
          <m:r>
            <m:rPr>
              <m:sty m:val="p"/>
            </m:rPr>
            <m:t>=</m:t>
          </m:r>
          <m:r>
            <m:t>D</m:t>
          </m:r>
          <m:r>
            <m:rPr>
              <m:sty m:val="p"/>
            </m:rPr>
            <m:t>=</m:t>
          </m:r>
          <m:nary>
            <m:naryPr>
              <m:chr m:val="∑"/>
              <m:limLoc m:val="undOvr"/>
              <m:subHide m:val="off"/>
              <m:supHide m:val="on"/>
            </m:naryPr>
            <m:sub>
              <m:r>
                <m:t>j</m:t>
              </m:r>
            </m:sub>
            <m:sup>
              <m:r>
                <m:t>​</m:t>
              </m:r>
            </m:sup>
            <m:e>
              <m:f>
                <m:fPr>
                  <m:type m:val="bar"/>
                </m:fPr>
                <m:num>
                  <m:sSub>
                    <m:e>
                      <m:r>
                        <m:t>n</m:t>
                      </m:r>
                    </m:e>
                    <m:sub>
                      <m:r>
                        <m:t>j</m:t>
                      </m:r>
                    </m:sub>
                  </m:sSub>
                </m:num>
                <m:den>
                  <m:sSub>
                    <m:e>
                      <m:r>
                        <m:t>N</m:t>
                      </m:r>
                    </m:e>
                    <m:sub>
                      <m:r>
                        <m:t>j</m:t>
                      </m:r>
                    </m:sub>
                  </m:sSub>
                </m:den>
              </m:f>
            </m:e>
          </m:nary>
        </m:oMath>
      </m:oMathPara>
    </w:p>
    <w:p>
      <w:pPr>
        <w:pStyle w:val="FirstParagraph"/>
      </w:pPr>
      <w:r>
        <w:t xml:space="preserve">Où :</w:t>
      </w:r>
      <w:r>
        <w:t xml:space="preserve"> </w:t>
      </w:r>
      <w:r>
        <w:t xml:space="preserve">-</w:t>
      </w:r>
      <w:r>
        <w:t xml:space="preserve"> </w:t>
      </w:r>
      <m:oMath>
        <m:sSub>
          <m:e>
            <m:r>
              <m:t>n</m:t>
            </m:r>
          </m:e>
          <m:sub>
            <m:r>
              <m:t>j</m:t>
            </m:r>
          </m:sub>
        </m:sSub>
      </m:oMath>
      <w:r>
        <w:t xml:space="preserve"> </w:t>
      </w:r>
      <w:r>
        <w:t xml:space="preserve">= nombre de cycles réellement effectués au niveau de DOD</w:t>
      </w:r>
      <w:r>
        <w:t xml:space="preserve"> </w:t>
      </w:r>
      <m:oMath>
        <m:r>
          <m:t>j</m:t>
        </m:r>
      </m:oMath>
      <w:r>
        <w:t xml:space="preserve"> </w:t>
      </w:r>
      <w:r>
        <w:t xml:space="preserve">-</w:t>
      </w:r>
      <w:r>
        <w:t xml:space="preserve"> </w:t>
      </w:r>
      <m:oMath>
        <m:sSub>
          <m:e>
            <m:r>
              <m:t>N</m:t>
            </m:r>
          </m:e>
          <m:sub>
            <m:r>
              <m:t>j</m:t>
            </m:r>
          </m:sub>
        </m:sSub>
      </m:oMath>
      <w:r>
        <w:t xml:space="preserve"> </w:t>
      </w:r>
      <w:r>
        <w:t xml:space="preserve">= nombre de cycles à la rupture (fin de vie) pour ce niveau de DOD</w:t>
      </w:r>
      <w:r>
        <w:t xml:space="preserve"> </w:t>
      </w:r>
      <m:oMath>
        <m:r>
          <m:t>j</m:t>
        </m:r>
      </m:oMath>
      <w:r>
        <w:t xml:space="preserve"> </w:t>
      </w:r>
      <w:r>
        <w:t xml:space="preserve">(tiré de la courbe fabricant)</w:t>
      </w:r>
    </w:p>
    <w:bookmarkEnd w:id="34"/>
    <w:bookmarkStart w:id="35" w:name="critère-de-fin-de-vie"/>
    <w:p>
      <w:pPr>
        <w:pStyle w:val="3"/>
      </w:pPr>
      <w:r>
        <w:t xml:space="preserve">Critère de fin de vie</w:t>
      </w:r>
    </w:p>
    <w:p>
      <w:pPr>
        <w:pStyle w:val="Compact"/>
        <w:numPr>
          <w:ilvl w:val="0"/>
          <w:numId w:val="1005"/>
        </w:numPr>
      </w:pPr>
      <m:oMath>
        <m:r>
          <m:t>D</m:t>
        </m:r>
        <m:r>
          <m:rPr>
            <m:sty m:val="p"/>
          </m:rPr>
          <m:t>&lt;</m:t>
        </m:r>
        <m:r>
          <m:t>1</m:t>
        </m:r>
      </m:oMath>
      <w:r>
        <w:t xml:space="preserve"> </w:t>
      </w:r>
      <w:r>
        <w:t xml:space="preserve">: batterie encore dans sa zone de vie utile</w:t>
      </w:r>
    </w:p>
    <w:p>
      <w:pPr>
        <w:pStyle w:val="Compact"/>
        <w:numPr>
          <w:ilvl w:val="0"/>
          <w:numId w:val="1005"/>
        </w:numPr>
      </w:pPr>
      <m:oMath>
        <m:r>
          <m:t>D</m:t>
        </m:r>
        <m:r>
          <m:rPr>
            <m:sty m:val="p"/>
          </m:rPr>
          <m:t>≥</m:t>
        </m:r>
        <m:r>
          <m:t>1</m:t>
        </m:r>
      </m:oMath>
      <w:r>
        <w:t xml:space="preserve"> </w:t>
      </w:r>
      <w:r>
        <w:t xml:space="preserve">: fin de vie théorique atteinte</w:t>
      </w:r>
    </w:p>
    <w:bookmarkEnd w:id="35"/>
    <w:bookmarkStart w:id="36" w:name="limitation"/>
    <w:p>
      <w:pPr>
        <w:pStyle w:val="3"/>
      </w:pPr>
      <w:r>
        <w:t xml:space="preserve">Limitation</w:t>
      </w:r>
    </w:p>
    <w:p>
      <w:pPr>
        <w:pStyle w:val="FirstParagraph"/>
      </w:pPr>
      <w:r>
        <w:t xml:space="preserve">La règle de Miner suppose que l’ordre des cycles n’a pas d’importance et qu’il n’y a pas d’</w:t>
      </w:r>
      <w:r>
        <w:rPr>
          <w:b/>
          <w:bCs/>
        </w:rPr>
        <w:t xml:space="preserve">effet de mémoire</w:t>
      </w:r>
      <w:r>
        <w:t xml:space="preserve"> </w:t>
      </w:r>
      <w:r>
        <w:t xml:space="preserve">— ce qui est une approximation. Des travaux récents proposent des variantes améliorées qui intègrent l’énergie de travail ultime (</w:t>
      </w:r>
      <m:oMath>
        <m:sSub>
          <m:e>
            <m:r>
              <m:t>W</m:t>
            </m:r>
          </m:e>
          <m:sub>
            <m:r>
              <m:t>U</m:t>
            </m:r>
            <m:r>
              <m:t>E</m:t>
            </m:r>
          </m:sub>
        </m:sSub>
      </m:oMath>
      <w:r>
        <w:t xml:space="preserve">) et l’activation thermique.</w:t>
      </w:r>
    </w:p>
    <w:p>
      <w:r>
        <w:pict>
          <v:rect style="width:0;height:1.5pt" o:hralign="center" o:hrstd="t" o:hr="t"/>
        </w:pict>
      </w:r>
    </w:p>
    <w:bookmarkEnd w:id="36"/>
    <w:bookmarkEnd w:id="37"/>
    <w:bookmarkStart w:id="38" w:name="synthèse-comparative"/>
    <w:p>
      <w:pPr>
        <w:pStyle w:val="2"/>
      </w:pPr>
      <w:r>
        <w:t xml:space="preserve">5. Synthèse comparative</w:t>
      </w:r>
    </w:p>
    <w:tbl>
      <w:tblPr>
        <w:tblStyle w:val="Table"/>
        <w:tblW w:type="pct" w:w="5000"/>
        <w:jc w:val="left"/>
        <w:tblLayout w:type="fixed"/>
        <w:tblLook w:firstRow="1" w:lastRow="0" w:firstColumn="0" w:lastColumn="0" w:noHBand="0" w:noVBand="0" w:val="0020"/>
      </w:tblPr>
      <w:tblGrid>
        <w:gridCol w:w="1228"/>
        <w:gridCol w:w="1365"/>
        <w:gridCol w:w="1365"/>
        <w:gridCol w:w="1911"/>
        <w:gridCol w:w="2048"/>
      </w:tblGrid>
      <w:tr>
        <w:trPr>
          <w:tblHeader w:val="on"/>
        </w:trPr>
        <w:tc>
          <w:tcPr/>
          <w:p>
            <w:pPr>
              <w:pStyle w:val="Compact"/>
              <w:jc w:val="left"/>
            </w:pPr>
            <w:r>
              <w:t xml:space="preserve">Méthode</w:t>
            </w:r>
          </w:p>
        </w:tc>
        <w:tc>
          <w:tcPr/>
          <w:p>
            <w:pPr>
              <w:pStyle w:val="Compact"/>
              <w:jc w:val="left"/>
            </w:pPr>
            <w:r>
              <w:t xml:space="preserve">Principe</w:t>
            </w:r>
          </w:p>
        </w:tc>
        <w:tc>
          <w:tcPr/>
          <w:p>
            <w:pPr>
              <w:pStyle w:val="Compact"/>
              <w:jc w:val="left"/>
            </w:pPr>
            <w:r>
              <w:t xml:space="preserve">Avantage</w:t>
            </w:r>
          </w:p>
        </w:tc>
        <w:tc>
          <w:tcPr/>
          <w:p>
            <w:pPr>
              <w:pStyle w:val="Compact"/>
              <w:jc w:val="left"/>
            </w:pPr>
            <w:r>
              <w:t xml:space="preserve">Inconvénient</w:t>
            </w:r>
          </w:p>
        </w:tc>
        <w:tc>
          <w:tcPr/>
          <w:p>
            <w:pPr>
              <w:pStyle w:val="Compact"/>
              <w:jc w:val="left"/>
            </w:pPr>
            <w:r>
              <w:t xml:space="preserve">Usage typique</w:t>
            </w:r>
          </w:p>
        </w:tc>
      </w:tr>
      <w:tr>
        <w:tc>
          <w:tcPr/>
          <w:p>
            <w:pPr>
              <w:pStyle w:val="Compact"/>
              <w:jc w:val="left"/>
            </w:pPr>
            <w:r>
              <w:rPr>
                <w:b/>
                <w:bCs/>
              </w:rPr>
              <w:t xml:space="preserve">EFC linéaire</w:t>
            </w:r>
          </w:p>
        </w:tc>
        <w:tc>
          <w:tcPr/>
          <w:p>
            <w:pPr>
              <w:pStyle w:val="Compact"/>
              <w:jc w:val="left"/>
            </w:pPr>
            <m:oMath>
              <m:r>
                <m:t>Σ</m:t>
              </m:r>
              <m:d>
                <m:dPr>
                  <m:begChr m:val="("/>
                  <m:endChr m:val=")"/>
                  <m:sepChr m:val=""/>
                  <m:grow/>
                </m:dPr>
                <m:e>
                  <m:sSub>
                    <m:e>
                      <m:r>
                        <m:rPr>
                          <m:nor/>
                          <m:sty m:val="p"/>
                        </m:rPr>
                        <m:t>DOD</m:t>
                      </m:r>
                    </m:e>
                    <m:sub>
                      <m:r>
                        <m:t>i</m:t>
                      </m:r>
                    </m:sub>
                  </m:sSub>
                  <m:r>
                    <m:rPr>
                      <m:sty m:val="p"/>
                    </m:rPr>
                    <m:t>/</m:t>
                  </m:r>
                  <m:r>
                    <m:t>100</m:t>
                  </m:r>
                  <m:r>
                    <m:rPr>
                      <m:sty m:val="p"/>
                    </m:rPr>
                    <m:t>%</m:t>
                  </m:r>
                </m:e>
              </m:d>
            </m:oMath>
          </w:p>
        </w:tc>
        <w:tc>
          <w:tcPr/>
          <w:p>
            <w:pPr>
              <w:pStyle w:val="Compact"/>
              <w:jc w:val="left"/>
            </w:pPr>
            <w:r>
              <w:t xml:space="preserve">Simple, rapide</w:t>
            </w:r>
          </w:p>
        </w:tc>
        <w:tc>
          <w:tcPr/>
          <w:p>
            <w:pPr>
              <w:pStyle w:val="Compact"/>
              <w:jc w:val="left"/>
            </w:pPr>
            <w:r>
              <w:t xml:space="preserve">Ignore la non-linéarité</w:t>
            </w:r>
          </w:p>
        </w:tc>
        <w:tc>
          <w:tcPr/>
          <w:p>
            <w:pPr>
              <w:pStyle w:val="Compact"/>
              <w:jc w:val="left"/>
            </w:pPr>
            <w:r>
              <w:t xml:space="preserve">Garanties commerciales, BMS basiques</w:t>
            </w:r>
          </w:p>
        </w:tc>
      </w:tr>
      <w:tr>
        <w:tc>
          <w:tcPr/>
          <w:p>
            <w:pPr>
              <w:pStyle w:val="Compact"/>
              <w:jc w:val="left"/>
            </w:pPr>
            <w:r>
              <w:rPr>
                <w:b/>
                <w:bCs/>
              </w:rPr>
              <w:t xml:space="preserve">Rainflow</w:t>
            </w:r>
          </w:p>
        </w:tc>
        <w:tc>
          <w:tcPr/>
          <w:p>
            <w:pPr>
              <w:pStyle w:val="Compact"/>
              <w:jc w:val="left"/>
            </w:pPr>
            <w:r>
              <w:t xml:space="preserve">Décomposition en cycles élémentaires</w:t>
            </w:r>
          </w:p>
        </w:tc>
        <w:tc>
          <w:tcPr/>
          <w:p>
            <w:pPr>
              <w:pStyle w:val="Compact"/>
              <w:jc w:val="left"/>
            </w:pPr>
            <w:r>
              <w:t xml:space="preserve">Précis, traite les micro-cycles</w:t>
            </w:r>
          </w:p>
        </w:tc>
        <w:tc>
          <w:tcPr/>
          <w:p>
            <w:pPr>
              <w:pStyle w:val="Compact"/>
              <w:jc w:val="left"/>
            </w:pPr>
            <w:r>
              <w:t xml:space="preserve">Complexe à implémenter</w:t>
            </w:r>
          </w:p>
        </w:tc>
        <w:tc>
          <w:tcPr/>
          <w:p>
            <w:pPr>
              <w:pStyle w:val="Compact"/>
              <w:jc w:val="left"/>
            </w:pPr>
            <w:r>
              <w:t xml:space="preserve">Véhicules électriques, régulation fréquence</w:t>
            </w:r>
          </w:p>
        </w:tc>
      </w:tr>
      <w:tr>
        <w:tc>
          <w:tcPr/>
          <w:p>
            <w:pPr>
              <w:pStyle w:val="Compact"/>
              <w:jc w:val="left"/>
            </w:pPr>
            <w:r>
              <w:rPr>
                <w:b/>
                <w:bCs/>
              </w:rPr>
              <w:t xml:space="preserve">Miner</w:t>
            </w:r>
          </w:p>
        </w:tc>
        <w:tc>
          <w:tcPr/>
          <w:p>
            <w:pPr>
              <w:pStyle w:val="Compact"/>
              <w:jc w:val="left"/>
            </w:pPr>
            <w:r>
              <w:t xml:space="preserve">Cumul des dommages fractionnaires</w:t>
            </w:r>
          </w:p>
        </w:tc>
        <w:tc>
          <w:tcPr/>
          <w:p>
            <w:pPr>
              <w:pStyle w:val="Compact"/>
              <w:jc w:val="left"/>
            </w:pPr>
            <w:r>
              <w:t xml:space="preserve">Standardisé, physique</w:t>
            </w:r>
          </w:p>
        </w:tc>
        <w:tc>
          <w:tcPr/>
          <w:p>
            <w:pPr>
              <w:pStyle w:val="Compact"/>
              <w:jc w:val="left"/>
            </w:pPr>
            <w:r>
              <w:t xml:space="preserve">Pas d’effet mémoire</w:t>
            </w:r>
          </w:p>
        </w:tc>
        <w:tc>
          <w:tcPr/>
          <w:p>
            <w:pPr>
              <w:pStyle w:val="Compact"/>
              <w:jc w:val="left"/>
            </w:pPr>
            <w:r>
              <w:t xml:space="preserve">Prédiction de vie résiduelle, maintenance prédictive</w:t>
            </w:r>
          </w:p>
        </w:tc>
      </w:tr>
      <w:tr>
        <w:tc>
          <w:tcPr/>
          <w:p>
            <w:pPr>
              <w:pStyle w:val="Compact"/>
              <w:jc w:val="left"/>
            </w:pPr>
            <w:r>
              <w:rPr>
                <w:b/>
                <w:bCs/>
              </w:rPr>
              <w:t xml:space="preserve">IEC 61427</w:t>
            </w:r>
          </w:p>
        </w:tc>
        <w:tc>
          <w:tcPr/>
          <w:p>
            <w:pPr>
              <w:pStyle w:val="Compact"/>
              <w:jc w:val="left"/>
            </w:pPr>
            <w:r>
              <w:t xml:space="preserve">Protocole d’essai normalisé</w:t>
            </w:r>
          </w:p>
        </w:tc>
        <w:tc>
          <w:tcPr/>
          <w:p>
            <w:pPr>
              <w:pStyle w:val="Compact"/>
              <w:jc w:val="left"/>
            </w:pPr>
            <w:r>
              <w:t xml:space="preserve">Reproductible, réaliste PV</w:t>
            </w:r>
          </w:p>
        </w:tc>
        <w:tc>
          <w:tcPr/>
          <w:p>
            <w:pPr>
              <w:pStyle w:val="Compact"/>
              <w:jc w:val="left"/>
            </w:pPr>
            <w:r>
              <w:t xml:space="preserve">Long (16+ ans en temps réel)</w:t>
            </w:r>
          </w:p>
        </w:tc>
        <w:tc>
          <w:tcPr/>
          <w:p>
            <w:pPr>
              <w:pStyle w:val="Compact"/>
              <w:jc w:val="left"/>
            </w:pPr>
            <w:r>
              <w:t xml:space="preserve">Certification, validation fabricant</w:t>
            </w:r>
          </w:p>
        </w:tc>
      </w:tr>
    </w:tbl>
    <w:p>
      <w:r>
        <w:pict>
          <v:rect style="width:0;height:1.5pt" o:hralign="center" o:hrstd="t" o:hr="t"/>
        </w:pict>
      </w:r>
    </w:p>
    <w:bookmarkEnd w:id="38"/>
    <w:bookmarkStart w:id="39" w:name="en-pratique-recommandations"/>
    <w:p>
      <w:pPr>
        <w:pStyle w:val="2"/>
      </w:pPr>
      <w:r>
        <w:t xml:space="preserve">6. En pratique — Recommandations</w:t>
      </w:r>
    </w:p>
    <w:p>
      <w:pPr>
        <w:pStyle w:val="Compact"/>
        <w:numPr>
          <w:ilvl w:val="0"/>
          <w:numId w:val="1006"/>
        </w:numPr>
      </w:pPr>
      <w:r>
        <w:rPr>
          <w:b/>
          <w:bCs/>
        </w:rPr>
        <w:t xml:space="preserve">Pour le dimensionnement</w:t>
      </w:r>
      <w:r>
        <w:t xml:space="preserve"> </w:t>
      </w:r>
      <w:r>
        <w:t xml:space="preserve">: utilisez les données</w:t>
      </w:r>
      <w:r>
        <w:t xml:space="preserve"> </w:t>
      </w:r>
      <w:r>
        <w:rPr>
          <w:b/>
          <w:bCs/>
        </w:rPr>
        <w:t xml:space="preserve">IEC 61427</w:t>
      </w:r>
      <w:r>
        <w:t xml:space="preserve"> </w:t>
      </w:r>
      <w:r>
        <w:t xml:space="preserve">du fabricant plutôt que les courbes de cycle vie « marketing »</w:t>
      </w:r>
    </w:p>
    <w:p>
      <w:pPr>
        <w:pStyle w:val="Compact"/>
        <w:numPr>
          <w:ilvl w:val="0"/>
          <w:numId w:val="1006"/>
        </w:numPr>
      </w:pPr>
      <w:r>
        <w:rPr>
          <w:b/>
          <w:bCs/>
        </w:rPr>
        <w:t xml:space="preserve">Pour le BMS/EMS</w:t>
      </w:r>
      <w:r>
        <w:t xml:space="preserve"> </w:t>
      </w:r>
      <w:r>
        <w:t xml:space="preserve">: préférez</w:t>
      </w:r>
      <w:r>
        <w:t xml:space="preserve"> </w:t>
      </w:r>
      <w:r>
        <w:rPr>
          <w:b/>
          <w:bCs/>
        </w:rPr>
        <w:t xml:space="preserve">Rainflow</w:t>
      </w:r>
      <w:r>
        <w:t xml:space="preserve"> </w:t>
      </w:r>
      <w:r>
        <w:t xml:space="preserve">si le profil est irrégulier (PV + régulation fréquence)</w:t>
      </w:r>
    </w:p>
    <w:p>
      <w:pPr>
        <w:pStyle w:val="Compact"/>
        <w:numPr>
          <w:ilvl w:val="0"/>
          <w:numId w:val="1006"/>
        </w:numPr>
      </w:pPr>
      <w:r>
        <w:rPr>
          <w:b/>
          <w:bCs/>
        </w:rPr>
        <w:t xml:space="preserve">Pour la garantie</w:t>
      </w:r>
      <w:r>
        <w:t xml:space="preserve"> </w:t>
      </w:r>
      <w:r>
        <w:t xml:space="preserve">: vérifiez si le fabricant compte en</w:t>
      </w:r>
      <w:r>
        <w:t xml:space="preserve"> </w:t>
      </w:r>
      <w:r>
        <w:rPr>
          <w:b/>
          <w:bCs/>
        </w:rPr>
        <w:t xml:space="preserve">EFC</w:t>
      </w:r>
      <w:r>
        <w:t xml:space="preserve"> </w:t>
      </w:r>
      <w:r>
        <w:t xml:space="preserve">ou en cycles réels — et à quel DOD de référence</w:t>
      </w:r>
    </w:p>
    <w:p>
      <w:pPr>
        <w:pStyle w:val="Compact"/>
        <w:numPr>
          <w:ilvl w:val="0"/>
          <w:numId w:val="1006"/>
        </w:numPr>
      </w:pPr>
      <w:r>
        <w:rPr>
          <w:b/>
          <w:bCs/>
        </w:rPr>
        <w:t xml:space="preserve">Pour la maintenance prédictive</w:t>
      </w:r>
      <w:r>
        <w:t xml:space="preserve"> </w:t>
      </w:r>
      <w:r>
        <w:t xml:space="preserve">: combinez</w:t>
      </w:r>
      <w:r>
        <w:t xml:space="preserve"> </w:t>
      </w:r>
      <w:r>
        <w:rPr>
          <w:b/>
          <w:bCs/>
        </w:rPr>
        <w:t xml:space="preserve">Rainflow</w:t>
      </w:r>
      <w:r>
        <w:t xml:space="preserve"> </w:t>
      </w:r>
      <w:r>
        <w:t xml:space="preserve">+</w:t>
      </w:r>
      <w:r>
        <w:t xml:space="preserve"> </w:t>
      </w:r>
      <w:r>
        <w:rPr>
          <w:b/>
          <w:bCs/>
        </w:rPr>
        <w:t xml:space="preserve">Miner</w:t>
      </w:r>
      <w:r>
        <w:t xml:space="preserve"> </w:t>
      </w:r>
      <w:r>
        <w:t xml:space="preserve">pour une estimation de SOH (State of Health) fiable</w:t>
      </w:r>
    </w:p>
    <w:p>
      <w:pPr>
        <w:pStyle w:val="FirstParagraph"/>
      </w:pPr>
      <w:r>
        <w:t xml:space="preserve">Souhaitez-vous que j’approfondisse un aspect particulier — par exemple l’implémentation algorithmique de Rainflow, ou un modèle de prédiction de vie résiduelle personnalisé ?</w:t>
      </w:r>
    </w:p>
    <w:p>
      <w:r>
        <w:pict>
          <v:rect style="width:0;height:1.5pt" o:hralign="center" o:hrstd="t" o:hr="t"/>
        </w:pict>
      </w:r>
    </w:p>
    <w:p>
      <w:pPr>
        <w:pStyle w:val="FirstParagraph"/>
      </w:pPr>
      <w:r>
        <w:rPr>
          <w:b/>
          <w:bCs/>
        </w:rPr>
        <w:t xml:space="preserve">User:</w:t>
      </w:r>
    </w:p>
    <w:p>
      <w:pPr>
        <w:pStyle w:val="a0"/>
      </w:pPr>
      <w:r>
        <w:t xml:space="preserve">pour les batteries au plombs au lieu des batteries lithium ça donne quoi ?</w:t>
      </w:r>
    </w:p>
    <w:p>
      <w:r>
        <w:pict>
          <v:rect style="width:0;height:1.5pt" o:hralign="center" o:hrstd="t" o:hr="t"/>
        </w:pict>
      </w:r>
    </w:p>
    <w:p>
      <w:pPr>
        <w:pStyle w:val="FirstParagraph"/>
      </w:pPr>
      <w:r>
        <w:rPr>
          <w:b/>
          <w:bCs/>
        </w:rPr>
        <w:t xml:space="preserve">Kimi:</w:t>
      </w:r>
    </w:p>
    <w:p>
      <w:pPr>
        <w:pStyle w:val="a0"/>
      </w:pPr>
      <w:r>
        <w:t xml:space="preserve">Pour les batteries au plomb, tout change radicalement. Voici ce qu’il faut retenir.</w:t>
      </w:r>
    </w:p>
    <w:p>
      <w:r>
        <w:pict>
          <v:rect style="width:0;height:1.5pt" o:hralign="center" o:hrstd="t" o:hr="t"/>
        </w:pict>
      </w:r>
    </w:p>
    <w:bookmarkEnd w:id="39"/>
    <w:bookmarkStart w:id="40" w:name="X89e09f8f85f7db227e5e7d146a81f5ab0e9e0ce"/>
    <w:p>
      <w:pPr>
        <w:pStyle w:val="2"/>
      </w:pPr>
      <w:r>
        <w:t xml:space="preserve">1. Courbe DOD vs cycles — Le plomb est beaucoup plus sensible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DOD</w:t>
            </w:r>
          </w:p>
        </w:tc>
        <w:tc>
          <w:tcPr/>
          <w:p>
            <w:pPr>
              <w:pStyle w:val="Compact"/>
              <w:jc w:val="left"/>
            </w:pPr>
            <w:r>
              <w:t xml:space="preserve">Plomb-acide (deep cycle)</w:t>
            </w:r>
          </w:p>
        </w:tc>
        <w:tc>
          <w:tcPr/>
          <w:p>
            <w:pPr>
              <w:pStyle w:val="Compact"/>
              <w:jc w:val="left"/>
            </w:pPr>
            <w:r>
              <w:t xml:space="preserve">LiFePO₄</w:t>
            </w:r>
          </w:p>
        </w:tc>
      </w:tr>
      <w:tr>
        <w:tc>
          <w:tcPr/>
          <w:p>
            <w:pPr>
              <w:pStyle w:val="Compact"/>
              <w:jc w:val="left"/>
            </w:pPr>
            <w:r>
              <w:rPr>
                <w:b/>
                <w:bCs/>
              </w:rPr>
              <w:t xml:space="preserve">30 %</w:t>
            </w:r>
          </w:p>
        </w:tc>
        <w:tc>
          <w:tcPr/>
          <w:p>
            <w:pPr>
              <w:pStyle w:val="Compact"/>
              <w:jc w:val="left"/>
            </w:pPr>
            <w:r>
              <w:t xml:space="preserve">~5 500 cycles</w:t>
            </w:r>
          </w:p>
        </w:tc>
        <w:tc>
          <w:tcPr/>
          <w:p>
            <w:pPr>
              <w:pStyle w:val="Compact"/>
              <w:jc w:val="left"/>
            </w:pPr>
            <w:r>
              <w:t xml:space="preserve">~7 000 cycles</w:t>
            </w:r>
          </w:p>
        </w:tc>
      </w:tr>
      <w:tr>
        <w:tc>
          <w:tcPr/>
          <w:p>
            <w:pPr>
              <w:pStyle w:val="Compact"/>
              <w:jc w:val="left"/>
            </w:pPr>
            <w:r>
              <w:rPr>
                <w:b/>
                <w:bCs/>
              </w:rPr>
              <w:t xml:space="preserve">50 %</w:t>
            </w:r>
          </w:p>
        </w:tc>
        <w:tc>
          <w:tcPr/>
          <w:p>
            <w:pPr>
              <w:pStyle w:val="Compact"/>
              <w:jc w:val="left"/>
            </w:pPr>
            <w:r>
              <w:t xml:space="preserve">~3 000 cycles</w:t>
            </w:r>
          </w:p>
        </w:tc>
        <w:tc>
          <w:tcPr/>
          <w:p>
            <w:pPr>
              <w:pStyle w:val="Compact"/>
              <w:jc w:val="left"/>
            </w:pPr>
            <w:r>
              <w:t xml:space="preserve">~6 000 cycles</w:t>
            </w:r>
          </w:p>
        </w:tc>
      </w:tr>
      <w:tr>
        <w:tc>
          <w:tcPr/>
          <w:p>
            <w:pPr>
              <w:pStyle w:val="Compact"/>
              <w:jc w:val="left"/>
            </w:pPr>
            <w:r>
              <w:rPr>
                <w:b/>
                <w:bCs/>
              </w:rPr>
              <w:t xml:space="preserve">80 %</w:t>
            </w:r>
          </w:p>
        </w:tc>
        <w:tc>
          <w:tcPr/>
          <w:p>
            <w:pPr>
              <w:pStyle w:val="Compact"/>
              <w:jc w:val="left"/>
            </w:pPr>
            <w:r>
              <w:t xml:space="preserve">~1 500 cycles</w:t>
            </w:r>
          </w:p>
        </w:tc>
        <w:tc>
          <w:tcPr/>
          <w:p>
            <w:pPr>
              <w:pStyle w:val="Compact"/>
              <w:jc w:val="left"/>
            </w:pPr>
            <w:r>
              <w:t xml:space="preserve">~4 000–6 000 cycles</w:t>
            </w:r>
          </w:p>
        </w:tc>
      </w:tr>
      <w:tr>
        <w:tc>
          <w:tcPr/>
          <w:p>
            <w:pPr>
              <w:pStyle w:val="Compact"/>
              <w:jc w:val="left"/>
            </w:pPr>
            <w:r>
              <w:rPr>
                <w:b/>
                <w:bCs/>
              </w:rPr>
              <w:t xml:space="preserve">100 %</w:t>
            </w:r>
          </w:p>
        </w:tc>
        <w:tc>
          <w:tcPr/>
          <w:p>
            <w:pPr>
              <w:pStyle w:val="Compact"/>
              <w:jc w:val="left"/>
            </w:pPr>
            <w:r>
              <w:t xml:space="preserve">~500–800 cycles</w:t>
            </w:r>
          </w:p>
        </w:tc>
        <w:tc>
          <w:tcPr/>
          <w:p>
            <w:pPr>
              <w:pStyle w:val="Compact"/>
              <w:jc w:val="left"/>
            </w:pPr>
            <w:r>
              <w:t xml:space="preserve">~3 000 cycles</w:t>
            </w:r>
          </w:p>
        </w:tc>
      </w:tr>
    </w:tbl>
    <w:p>
      <w:pPr>
        <w:pStyle w:val="a0"/>
      </w:pPr>
      <w:r>
        <w:t xml:space="preserve">La pente de dégradation du plomb est</w:t>
      </w:r>
      <w:r>
        <w:t xml:space="preserve"> </w:t>
      </w:r>
      <w:r>
        <w:rPr>
          <w:b/>
          <w:bCs/>
        </w:rPr>
        <w:t xml:space="preserve">beaucoup plus raide</w:t>
      </w:r>
      <w:r>
        <w:t xml:space="preserve">. Passer de 50 % à 80 % DOD divise quasiment par deux la durée de vie.</w:t>
      </w:r>
    </w:p>
    <w:p>
      <w:pPr>
        <w:pStyle w:val="aa"/>
      </w:pPr>
      <w:r>
        <w:rPr>
          <w:b/>
          <w:bCs/>
        </w:rPr>
        <w:t xml:space="preserve">Règle empirique plomb</w:t>
      </w:r>
      <w:r>
        <w:t xml:space="preserve"> </w:t>
      </w:r>
      <w:r>
        <w:t xml:space="preserve">:</w:t>
      </w:r>
      <w:r>
        <w:t xml:space="preserve"> </w:t>
      </w:r>
      <m:oMath>
        <m:r>
          <m:t>N</m:t>
        </m:r>
        <m:d>
          <m:dPr>
            <m:begChr m:val="("/>
            <m:endChr m:val=")"/>
            <m:sepChr m:val=""/>
            <m:grow/>
          </m:dPr>
          <m:e>
            <m:r>
              <m:rPr>
                <m:nor/>
                <m:sty m:val="p"/>
              </m:rPr>
              <m:t>DOD</m:t>
            </m:r>
          </m:e>
        </m:d>
        <m:r>
          <m:rPr>
            <m:sty m:val="p"/>
          </m:rPr>
          <m:t>≈</m:t>
        </m:r>
        <m:sSub>
          <m:e>
            <m:r>
              <m:t>N</m:t>
            </m:r>
          </m:e>
          <m:sub>
            <m:r>
              <m:t>0</m:t>
            </m:r>
          </m:sub>
        </m:sSub>
        <m:r>
          <m:rPr>
            <m:sty m:val="p"/>
          </m:rPr>
          <m:t>⋅</m:t>
        </m:r>
        <m:sSup>
          <m:e>
            <m:r>
              <m:t>e</m:t>
            </m:r>
          </m:e>
          <m:sup>
            <m:r>
              <m:rPr>
                <m:sty m:val="p"/>
              </m:rPr>
              <m:t>−</m:t>
            </m:r>
            <m:r>
              <m:t>0</m:t>
            </m:r>
            <m:r>
              <m:rPr>
                <m:sty m:val="p"/>
              </m:rPr>
              <m:t>,</m:t>
            </m:r>
            <m:r>
              <m:t>022</m:t>
            </m:r>
            <m:r>
              <m:rPr>
                <m:sty m:val="p"/>
              </m:rPr>
              <m:t>⋅</m:t>
            </m:r>
            <m:r>
              <m:rPr>
                <m:nor/>
                <m:sty m:val="p"/>
              </m:rPr>
              <m:t>DOD</m:t>
            </m:r>
          </m:sup>
        </m:sSup>
      </m:oMath>
      <w:r>
        <w:br/>
      </w:r>
      <w:r>
        <w:rPr>
          <w:b/>
          <w:bCs/>
        </w:rPr>
        <w:t xml:space="preserve">Règle empirique lithium</w:t>
      </w:r>
      <w:r>
        <w:t xml:space="preserve"> </w:t>
      </w:r>
      <w:r>
        <w:t xml:space="preserve">:</w:t>
      </w:r>
      <w:r>
        <w:t xml:space="preserve"> </w:t>
      </w:r>
      <m:oMath>
        <m:r>
          <m:t>N</m:t>
        </m:r>
        <m:d>
          <m:dPr>
            <m:begChr m:val="("/>
            <m:endChr m:val=")"/>
            <m:sepChr m:val=""/>
            <m:grow/>
          </m:dPr>
          <m:e>
            <m:r>
              <m:rPr>
                <m:nor/>
                <m:sty m:val="p"/>
              </m:rPr>
              <m:t>DOD</m:t>
            </m:r>
          </m:e>
        </m:d>
        <m:r>
          <m:rPr>
            <m:sty m:val="p"/>
          </m:rPr>
          <m:t>≈</m:t>
        </m:r>
        <m:sSub>
          <m:e>
            <m:r>
              <m:t>N</m:t>
            </m:r>
          </m:e>
          <m:sub>
            <m:r>
              <m:t>0</m:t>
            </m:r>
          </m:sub>
        </m:sSub>
        <m:r>
          <m:rPr>
            <m:sty m:val="p"/>
          </m:rPr>
          <m:t>⋅</m:t>
        </m:r>
        <m:sSup>
          <m:e>
            <m:r>
              <m:t>e</m:t>
            </m:r>
          </m:e>
          <m:sup>
            <m:r>
              <m:rPr>
                <m:sty m:val="p"/>
              </m:rPr>
              <m:t>−</m:t>
            </m:r>
            <m:r>
              <m:t>0</m:t>
            </m:r>
            <m:r>
              <m:rPr>
                <m:sty m:val="p"/>
              </m:rPr>
              <m:t>,</m:t>
            </m:r>
            <m:r>
              <m:t>012</m:t>
            </m:r>
            <m:r>
              <m:rPr>
                <m:sty m:val="p"/>
              </m:rPr>
              <m:t>⋅</m:t>
            </m:r>
            <m:r>
              <m:rPr>
                <m:nor/>
                <m:sty m:val="p"/>
              </m:rPr>
              <m:t>DOD</m:t>
            </m:r>
          </m:sup>
        </m:sSup>
      </m:oMath>
    </w:p>
    <w:p>
      <w:pPr>
        <w:pStyle w:val="FirstParagraph"/>
      </w:pPr>
      <w:r>
        <w:t xml:space="preserve">Le coefficient de pente est presque</w:t>
      </w:r>
      <w:r>
        <w:t xml:space="preserve"> </w:t>
      </w:r>
      <w:r>
        <w:rPr>
          <w:b/>
          <w:bCs/>
        </w:rPr>
        <w:t xml:space="preserve">doublé</w:t>
      </w:r>
      <w:r>
        <w:t xml:space="preserve"> </w:t>
      </w:r>
      <w:r>
        <w:t xml:space="preserve">pour le plomb. Cela signifie que la méthode EFC linéaire (</w:t>
      </w:r>
      <m:oMath>
        <m:r>
          <m:t>Σ</m:t>
        </m:r>
        <m:sSub>
          <m:e>
            <m:r>
              <m:rPr>
                <m:nor/>
                <m:sty m:val="p"/>
              </m:rPr>
              <m:t>DOD</m:t>
            </m:r>
          </m:e>
          <m:sub>
            <m:r>
              <m:t>i</m:t>
            </m:r>
          </m:sub>
        </m:sSub>
        <m:r>
          <m:rPr>
            <m:sty m:val="p"/>
          </m:rPr>
          <m:t>/</m:t>
        </m:r>
        <m:r>
          <m:t>100</m:t>
        </m:r>
        <m:r>
          <m:rPr>
            <m:sty m:val="p"/>
          </m:rPr>
          <m:t>%</m:t>
        </m:r>
      </m:oMath>
      <w:r>
        <w:t xml:space="preserve">) sous-estime</w:t>
      </w:r>
      <w:r>
        <w:t xml:space="preserve"> </w:t>
      </w:r>
      <w:r>
        <w:rPr>
          <w:b/>
          <w:bCs/>
        </w:rPr>
        <w:t xml:space="preserve">encore plus fortement</w:t>
      </w:r>
      <w:r>
        <w:t xml:space="preserve"> </w:t>
      </w:r>
      <w:r>
        <w:t xml:space="preserve">la dégradation réelle sur le plomb que sur le lithium.</w:t>
      </w:r>
    </w:p>
    <w:p>
      <w:r>
        <w:pict>
          <v:rect style="width:0;height:1.5pt" o:hralign="center" o:hrstd="t" o:hr="t"/>
        </w:pict>
      </w:r>
    </w:p>
    <w:bookmarkEnd w:id="40"/>
    <w:bookmarkStart w:id="43" w:name="Xe342b7e079a170e9c9e1bbd5b6a4ebb2c55ec5a"/>
    <w:p>
      <w:pPr>
        <w:pStyle w:val="2"/>
      </w:pPr>
      <w:r>
        <w:t xml:space="preserve">2. La norme IEC 61427 s’applique aussi au plomb</w:t>
      </w:r>
    </w:p>
    <w:p>
      <w:pPr>
        <w:pStyle w:val="FirstParagraph"/>
      </w:pPr>
      <w:r>
        <w:t xml:space="preserve">La</w:t>
      </w:r>
      <w:r>
        <w:t xml:space="preserve"> </w:t>
      </w:r>
      <w:r>
        <w:rPr>
          <w:b/>
          <w:bCs/>
        </w:rPr>
        <w:t xml:space="preserve">IEC 61427</w:t>
      </w:r>
      <w:r>
        <w:t xml:space="preserve"> </w:t>
      </w:r>
      <w:r>
        <w:t xml:space="preserve">n’est pas réservée au lithium. Elle teste explicitement les</w:t>
      </w:r>
      <w:r>
        <w:t xml:space="preserve"> </w:t>
      </w:r>
      <w:r>
        <w:rPr>
          <w:b/>
          <w:bCs/>
        </w:rPr>
        <w:t xml:space="preserve">batteries au plomb-acide</w:t>
      </w:r>
      <w:r>
        <w:t xml:space="preserve"> </w:t>
      </w:r>
      <w:r>
        <w:t xml:space="preserve">pour les applications PV. Le protocole est identique :</w:t>
      </w:r>
    </w:p>
    <w:p>
      <w:pPr>
        <w:pStyle w:val="Compact"/>
        <w:numPr>
          <w:ilvl w:val="0"/>
          <w:numId w:val="1007"/>
        </w:numPr>
      </w:pPr>
      <w:r>
        <w:rPr>
          <w:b/>
          <w:bCs/>
        </w:rPr>
        <w:t xml:space="preserve">Phase A</w:t>
      </w:r>
      <w:r>
        <w:t xml:space="preserve"> </w:t>
      </w:r>
      <w:r>
        <w:t xml:space="preserve">: 50 cycles peu profonds à bas SOC</w:t>
      </w:r>
    </w:p>
    <w:p>
      <w:pPr>
        <w:pStyle w:val="Compact"/>
        <w:numPr>
          <w:ilvl w:val="0"/>
          <w:numId w:val="1007"/>
        </w:numPr>
      </w:pPr>
      <w:r>
        <w:rPr>
          <w:b/>
          <w:bCs/>
        </w:rPr>
        <w:t xml:space="preserve">Phase B</w:t>
      </w:r>
      <w:r>
        <w:t xml:space="preserve"> </w:t>
      </w:r>
      <w:r>
        <w:t xml:space="preserve">: 100 cycles peu profonds à haut SOC</w:t>
      </w:r>
    </w:p>
    <w:p>
      <w:pPr>
        <w:pStyle w:val="Compact"/>
        <w:numPr>
          <w:ilvl w:val="0"/>
          <w:numId w:val="1007"/>
        </w:numPr>
      </w:pPr>
      <w:r>
        <w:rPr>
          <w:b/>
          <w:bCs/>
        </w:rPr>
        <w:t xml:space="preserve">1 macro-cycle</w:t>
      </w:r>
      <w:r>
        <w:t xml:space="preserve"> </w:t>
      </w:r>
      <w:r>
        <w:t xml:space="preserve">= 150 micro-cycles ≈</w:t>
      </w:r>
      <w:r>
        <w:t xml:space="preserve"> </w:t>
      </w:r>
      <w:r>
        <w:rPr>
          <w:b/>
          <w:bCs/>
        </w:rPr>
        <w:t xml:space="preserve">1 an de service PV</w:t>
      </w:r>
    </w:p>
    <w:bookmarkStart w:id="41" w:name="X0f94569ceb4ebc5c43e9587d5aad639e0b41b6a"/>
    <w:p>
      <w:pPr>
        <w:pStyle w:val="3"/>
      </w:pPr>
      <w:r>
        <w:t xml:space="preserve">Différence majeure : la température de test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Chimie</w:t>
            </w:r>
          </w:p>
        </w:tc>
        <w:tc>
          <w:tcPr/>
          <w:p>
            <w:pPr>
              <w:pStyle w:val="Compact"/>
              <w:jc w:val="left"/>
            </w:pPr>
            <w:r>
              <w:t xml:space="preserve">Température IEC 61427</w:t>
            </w:r>
          </w:p>
        </w:tc>
      </w:tr>
      <w:tr>
        <w:tc>
          <w:tcPr/>
          <w:p>
            <w:pPr>
              <w:pStyle w:val="Compact"/>
              <w:jc w:val="left"/>
            </w:pPr>
            <w:r>
              <w:t xml:space="preserve">Plomb</w:t>
            </w:r>
          </w:p>
        </w:tc>
        <w:tc>
          <w:tcPr/>
          <w:p>
            <w:pPr>
              <w:pStyle w:val="Compact"/>
              <w:jc w:val="left"/>
            </w:pPr>
            <w:r>
              <w:rPr>
                <w:b/>
                <w:bCs/>
              </w:rPr>
              <w:t xml:space="preserve">40 °C</w:t>
            </w:r>
            <w:r>
              <w:t xml:space="preserve"> </w:t>
            </w:r>
            <w:r>
              <w:t xml:space="preserve">± 3 °C</w:t>
            </w:r>
          </w:p>
        </w:tc>
      </w:tr>
      <w:tr>
        <w:tc>
          <w:tcPr/>
          <w:p>
            <w:pPr>
              <w:pStyle w:val="Compact"/>
              <w:jc w:val="left"/>
            </w:pPr>
            <w:r>
              <w:t xml:space="preserve">Lithium</w:t>
            </w:r>
          </w:p>
        </w:tc>
        <w:tc>
          <w:tcPr/>
          <w:p>
            <w:pPr>
              <w:pStyle w:val="Compact"/>
              <w:jc w:val="left"/>
            </w:pPr>
            <w:r>
              <w:rPr>
                <w:b/>
                <w:bCs/>
              </w:rPr>
              <w:t xml:space="preserve">25 °C</w:t>
            </w:r>
            <w:r>
              <w:t xml:space="preserve"> </w:t>
            </w:r>
            <w:r>
              <w:t xml:space="preserve">± 2 °C</w:t>
            </w:r>
          </w:p>
        </w:tc>
      </w:tr>
    </w:tbl>
    <w:p>
      <w:pPr>
        <w:pStyle w:val="a0"/>
      </w:pPr>
      <w:r>
        <w:t xml:space="preserve">Le plomb est testé à 40 °C car c’est dans ces conditions chaudes que son vieillissement est le plus sévère. Un test à 25 °C serait trop indulgent.</w:t>
      </w:r>
    </w:p>
    <w:bookmarkEnd w:id="41"/>
    <w:bookmarkStart w:id="42" w:name="exemple-concret-trojan-solar-premium"/>
    <w:p>
      <w:pPr>
        <w:pStyle w:val="3"/>
      </w:pPr>
      <w:r>
        <w:t xml:space="preserve">Exemple concret : Trojan Solar Premium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Macro-cycles</w:t>
            </w:r>
          </w:p>
        </w:tc>
        <w:tc>
          <w:tcPr/>
          <w:p>
            <w:pPr>
              <w:pStyle w:val="Compact"/>
              <w:jc w:val="left"/>
            </w:pPr>
            <w:r>
              <w:t xml:space="preserve">Capacité restante</w:t>
            </w:r>
          </w:p>
        </w:tc>
        <w:tc>
          <w:tcPr/>
          <w:p>
            <w:pPr>
              <w:pStyle w:val="Compact"/>
              <w:jc w:val="left"/>
            </w:pPr>
            <w:r>
              <w:t xml:space="preserve">Équivalent service</w:t>
            </w:r>
          </w:p>
        </w:tc>
      </w:tr>
      <w:tr>
        <w:tc>
          <w:tcPr/>
          <w:p>
            <w:pPr>
              <w:pStyle w:val="Compact"/>
              <w:jc w:val="left"/>
            </w:pPr>
            <w:r>
              <w:t xml:space="preserve">1 (150 µ-cycles)</w:t>
            </w:r>
          </w:p>
        </w:tc>
        <w:tc>
          <w:tcPr/>
          <w:p>
            <w:pPr>
              <w:pStyle w:val="Compact"/>
              <w:jc w:val="left"/>
            </w:pPr>
            <w:r>
              <w:t xml:space="preserve">113,5 %</w:t>
            </w:r>
          </w:p>
        </w:tc>
        <w:tc>
          <w:tcPr/>
          <w:p>
            <w:pPr>
              <w:pStyle w:val="Compact"/>
              <w:jc w:val="left"/>
            </w:pPr>
            <w:r>
              <w:t xml:space="preserve">~1 an</w:t>
            </w:r>
          </w:p>
        </w:tc>
      </w:tr>
      <w:tr>
        <w:tc>
          <w:tcPr/>
          <w:p>
            <w:pPr>
              <w:pStyle w:val="Compact"/>
              <w:jc w:val="left"/>
            </w:pPr>
            <w:r>
              <w:t xml:space="preserve">5 (750 µ-cycles)</w:t>
            </w:r>
          </w:p>
        </w:tc>
        <w:tc>
          <w:tcPr/>
          <w:p>
            <w:pPr>
              <w:pStyle w:val="Compact"/>
              <w:jc w:val="left"/>
            </w:pPr>
            <w:r>
              <w:t xml:space="preserve">111,0 %</w:t>
            </w:r>
          </w:p>
        </w:tc>
        <w:tc>
          <w:tcPr/>
          <w:p>
            <w:pPr>
              <w:pStyle w:val="Compact"/>
              <w:jc w:val="left"/>
            </w:pPr>
            <w:r>
              <w:t xml:space="preserve">~5 ans</w:t>
            </w:r>
          </w:p>
        </w:tc>
      </w:tr>
      <w:tr>
        <w:tc>
          <w:tcPr/>
          <w:p>
            <w:pPr>
              <w:pStyle w:val="Compact"/>
              <w:jc w:val="left"/>
            </w:pPr>
            <w:r>
              <w:t xml:space="preserve">9 (1 350 µ-cycles)</w:t>
            </w:r>
          </w:p>
        </w:tc>
        <w:tc>
          <w:tcPr/>
          <w:p>
            <w:pPr>
              <w:pStyle w:val="Compact"/>
              <w:jc w:val="left"/>
            </w:pPr>
            <w:r>
              <w:t xml:space="preserve">84,7 %</w:t>
            </w:r>
          </w:p>
        </w:tc>
        <w:tc>
          <w:tcPr/>
          <w:p>
            <w:pPr>
              <w:pStyle w:val="Compact"/>
              <w:jc w:val="left"/>
            </w:pPr>
            <w:r>
              <w:t xml:space="preserve">~9 ans</w:t>
            </w:r>
          </w:p>
        </w:tc>
      </w:tr>
    </w:tbl>
    <w:p>
      <w:pPr>
        <w:pStyle w:val="a0"/>
      </w:pPr>
      <w:r>
        <w:t xml:space="preserve">La batterie a atteint la fin de vie (80 %) entre le 8e et le 9e macro-cycle, soit</w:t>
      </w:r>
      <w:r>
        <w:t xml:space="preserve"> </w:t>
      </w:r>
      <w:r>
        <w:rPr>
          <w:b/>
          <w:bCs/>
        </w:rPr>
        <w:t xml:space="preserve">8 à 9 ans de service PV</w:t>
      </w:r>
      <w:r>
        <w:t xml:space="preserve">.</w:t>
      </w:r>
    </w:p>
    <w:p>
      <w:r>
        <w:pict>
          <v:rect style="width:0;height:1.5pt" o:hralign="center" o:hrstd="t" o:hr="t"/>
        </w:pict>
      </w:r>
    </w:p>
    <w:bookmarkEnd w:id="42"/>
    <w:bookmarkEnd w:id="43"/>
    <w:bookmarkStart w:id="47" w:name="X02bcb56f5c1d53d2cb39de5cbfc021d3584abed"/>
    <w:p>
      <w:pPr>
        <w:pStyle w:val="2"/>
      </w:pPr>
      <w:r>
        <w:t xml:space="preserve">3. Phénomènes spécifiques au plomb qui compliquent le comptage</w:t>
      </w:r>
    </w:p>
    <w:bookmarkStart w:id="44" w:name="a-sulfatation-lennemi-du-psoc"/>
    <w:p>
      <w:pPr>
        <w:pStyle w:val="3"/>
      </w:pPr>
      <w:r>
        <w:t xml:space="preserve">a) Sulfatation — L’ennemi du PSOC</w:t>
      </w:r>
    </w:p>
    <w:p>
      <w:pPr>
        <w:pStyle w:val="FirstParagraph"/>
      </w:pPr>
      <w:r>
        <w:t xml:space="preserve">Contrairement au lithium, le plomb</w:t>
      </w:r>
      <w:r>
        <w:t xml:space="preserve"> </w:t>
      </w:r>
      <w:r>
        <w:rPr>
          <w:b/>
          <w:bCs/>
        </w:rPr>
        <w:t xml:space="preserve">sulfate</w:t>
      </w:r>
      <w:r>
        <w:t xml:space="preserve"> </w:t>
      </w:r>
      <w:r>
        <w:t xml:space="preserve">lorsqu’il reste longtemps en état de charge partiel (PSOC). Les cristaux de sulfate de plomb deviennent durs et irréversibles. Cela signifie que :</w:t>
      </w:r>
    </w:p>
    <w:p>
      <w:pPr>
        <w:pStyle w:val="Compact"/>
        <w:numPr>
          <w:ilvl w:val="0"/>
          <w:numId w:val="1008"/>
        </w:numPr>
      </w:pPr>
      <w:r>
        <w:t xml:space="preserve">Le</w:t>
      </w:r>
      <w:r>
        <w:t xml:space="preserve"> </w:t>
      </w:r>
      <w:r>
        <w:rPr>
          <w:b/>
          <w:bCs/>
        </w:rPr>
        <w:t xml:space="preserve">temps passé à bas SOC</w:t>
      </w:r>
      <w:r>
        <w:t xml:space="preserve"> </w:t>
      </w:r>
      <w:r>
        <w:t xml:space="preserve">compte autant que le nombre de cycles</w:t>
      </w:r>
    </w:p>
    <w:p>
      <w:pPr>
        <w:pStyle w:val="Compact"/>
        <w:numPr>
          <w:ilvl w:val="0"/>
          <w:numId w:val="1008"/>
        </w:numPr>
      </w:pPr>
      <w:r>
        <w:t xml:space="preserve">Un profil Rainflow doit intégrer une</w:t>
      </w:r>
      <w:r>
        <w:t xml:space="preserve"> </w:t>
      </w:r>
      <w:r>
        <w:rPr>
          <w:b/>
          <w:bCs/>
        </w:rPr>
        <w:t xml:space="preserve">pénalité de durée</w:t>
      </w:r>
      <w:r>
        <w:t xml:space="preserve"> </w:t>
      </w:r>
      <w:r>
        <w:t xml:space="preserve">en PSOC, pas seulement l’amplitude des cycles</w:t>
      </w:r>
    </w:p>
    <w:p>
      <w:pPr>
        <w:pStyle w:val="Compact"/>
        <w:numPr>
          <w:ilvl w:val="0"/>
          <w:numId w:val="1008"/>
        </w:numPr>
      </w:pPr>
      <w:r>
        <w:t xml:space="preserve">La règle de Miner classique (</w:t>
      </w:r>
      <m:oMath>
        <m:r>
          <m:t>Σ</m:t>
        </m:r>
        <m:sSub>
          <m:e>
            <m:r>
              <m:t>n</m:t>
            </m:r>
          </m:e>
          <m:sub>
            <m:r>
              <m:t>j</m:t>
            </m:r>
          </m:sub>
        </m:sSub>
        <m:r>
          <m:rPr>
            <m:sty m:val="p"/>
          </m:rPr>
          <m:t>/</m:t>
        </m:r>
        <m:sSub>
          <m:e>
            <m:r>
              <m:t>N</m:t>
            </m:r>
          </m:e>
          <m:sub>
            <m:r>
              <m:t>j</m:t>
            </m:r>
          </m:sub>
        </m:sSub>
      </m:oMath>
      <w:r>
        <w:t xml:space="preserve">) est</w:t>
      </w:r>
      <w:r>
        <w:t xml:space="preserve"> </w:t>
      </w:r>
      <w:r>
        <w:rPr>
          <w:b/>
          <w:bCs/>
        </w:rPr>
        <w:t xml:space="preserve">insuffisante</w:t>
      </w:r>
      <w:r>
        <w:t xml:space="preserve"> </w:t>
      </w:r>
      <w:r>
        <w:t xml:space="preserve">car elle ignore l’historique temporel</w:t>
      </w:r>
    </w:p>
    <w:bookmarkEnd w:id="44"/>
    <w:bookmarkStart w:id="45" w:name="b-stratification-de-lélectrolyte"/>
    <w:p>
      <w:pPr>
        <w:pStyle w:val="3"/>
      </w:pPr>
      <w:r>
        <w:t xml:space="preserve">b) Stratification de l’électrolyte</w:t>
      </w:r>
    </w:p>
    <w:p>
      <w:pPr>
        <w:pStyle w:val="FirstParagraph"/>
      </w:pPr>
      <w:r>
        <w:t xml:space="preserve">Sur les batteries</w:t>
      </w:r>
      <w:r>
        <w:t xml:space="preserve"> </w:t>
      </w:r>
      <w:r>
        <w:rPr>
          <w:b/>
          <w:bCs/>
        </w:rPr>
        <w:t xml:space="preserve">inondées (flooded)</w:t>
      </w:r>
      <w:r>
        <w:t xml:space="preserve">, l’électrolyte s’acidifie en bas et s’appauvrit en haut si les cycles sont trop peu profonds. Cela réduit la capacité effective sans pour autant compter comme un « cycle » dans les algorithmes classiques. Seule une</w:t>
      </w:r>
      <w:r>
        <w:t xml:space="preserve"> </w:t>
      </w:r>
      <w:r>
        <w:rPr>
          <w:b/>
          <w:bCs/>
        </w:rPr>
        <w:t xml:space="preserve">charge d’égalisation</w:t>
      </w:r>
      <w:r>
        <w:t xml:space="preserve"> </w:t>
      </w:r>
      <w:r>
        <w:t xml:space="preserve">périodique (survoltage contrôlé) peut y remédier.</w:t>
      </w:r>
    </w:p>
    <w:bookmarkEnd w:id="45"/>
    <w:bookmarkStart w:id="46" w:name="c-corrosion-des-grilles-positives"/>
    <w:p>
      <w:pPr>
        <w:pStyle w:val="3"/>
      </w:pPr>
      <w:r>
        <w:t xml:space="preserve">c) Corrosion des grilles positives</w:t>
      </w:r>
    </w:p>
    <w:p>
      <w:pPr>
        <w:pStyle w:val="FirstParagraph"/>
      </w:pPr>
      <w:r>
        <w:t xml:space="preserve">À haute température, la corrosion des grilles positives du plomb accélère exponentiellement. Chaque augmentation de</w:t>
      </w:r>
      <w:r>
        <w:t xml:space="preserve"> </w:t>
      </w:r>
      <w:r>
        <w:rPr>
          <w:b/>
          <w:bCs/>
        </w:rPr>
        <w:t xml:space="preserve">15 °C au-dessus de 25 °C divise par deux</w:t>
      </w:r>
      <w:r>
        <w:t xml:space="preserve"> </w:t>
      </w:r>
      <w:r>
        <w:t xml:space="preserve">la durée de vie. Le lithium, lui, reste stable jusqu’à 45 °C.</w:t>
      </w:r>
    </w:p>
    <w:p>
      <w:r>
        <w:pict>
          <v:rect style="width:0;height:1.5pt" o:hralign="center" o:hrstd="t" o:hr="t"/>
        </w:pict>
      </w:r>
    </w:p>
    <w:bookmarkEnd w:id="46"/>
    <w:bookmarkEnd w:id="47"/>
    <w:bookmarkStart w:id="49" w:name="impact-sur-les-méthodes-de-comptage"/>
    <w:p>
      <w:pPr>
        <w:pStyle w:val="2"/>
      </w:pPr>
      <w:r>
        <w:t xml:space="preserve">4. Impact sur les méthodes de comptage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Méthode</w:t>
            </w:r>
          </w:p>
        </w:tc>
        <w:tc>
          <w:tcPr/>
          <w:p>
            <w:pPr>
              <w:pStyle w:val="Compact"/>
              <w:jc w:val="left"/>
            </w:pPr>
            <w:r>
              <w:t xml:space="preserve">Plomb-acide</w:t>
            </w:r>
          </w:p>
        </w:tc>
        <w:tc>
          <w:tcPr/>
          <w:p>
            <w:pPr>
              <w:pStyle w:val="Compact"/>
              <w:jc w:val="left"/>
            </w:pPr>
            <w:r>
              <w:t xml:space="preserve">Lithium</w:t>
            </w:r>
          </w:p>
        </w:tc>
      </w:tr>
      <w:tr>
        <w:tc>
          <w:tcPr/>
          <w:p>
            <w:pPr>
              <w:pStyle w:val="Compact"/>
              <w:jc w:val="left"/>
            </w:pPr>
            <w:r>
              <w:rPr>
                <w:b/>
                <w:bCs/>
              </w:rPr>
              <w:t xml:space="preserve">EFC linéaire</w:t>
            </w:r>
          </w:p>
        </w:tc>
        <w:tc>
          <w:tcPr/>
          <w:p>
            <w:pPr>
              <w:pStyle w:val="Compact"/>
              <w:jc w:val="left"/>
            </w:pPr>
            <w:r>
              <w:t xml:space="preserve">❌ Très imprécis. La non-linéarité est forte et la sulfatation n’est pas capturée.</w:t>
            </w:r>
          </w:p>
        </w:tc>
        <w:tc>
          <w:tcPr/>
          <w:p>
            <w:pPr>
              <w:pStyle w:val="Compact"/>
              <w:jc w:val="left"/>
            </w:pPr>
            <w:r>
              <w:t xml:space="preserve">⚠️ Approximatif mais acceptable pour les garanties.</w:t>
            </w:r>
          </w:p>
        </w:tc>
      </w:tr>
      <w:tr>
        <w:tc>
          <w:tcPr/>
          <w:p>
            <w:pPr>
              <w:pStyle w:val="Compact"/>
              <w:jc w:val="left"/>
            </w:pPr>
            <w:r>
              <w:rPr>
                <w:b/>
                <w:bCs/>
              </w:rPr>
              <w:t xml:space="preserve">Rainflow</w:t>
            </w:r>
          </w:p>
        </w:tc>
        <w:tc>
          <w:tcPr/>
          <w:p>
            <w:pPr>
              <w:pStyle w:val="Compact"/>
              <w:jc w:val="left"/>
            </w:pPr>
            <w:r>
              <w:t xml:space="preserve">⚠️ Doit être</w:t>
            </w:r>
            <w:r>
              <w:t xml:space="preserve"> </w:t>
            </w:r>
            <w:r>
              <w:rPr>
                <w:b/>
                <w:bCs/>
              </w:rPr>
              <w:t xml:space="preserve">enrichi</w:t>
            </w:r>
            <w:r>
              <w:t xml:space="preserve"> </w:t>
            </w:r>
            <w:r>
              <w:t xml:space="preserve">avec une pénalité PSOC et une correction température.</w:t>
            </w:r>
          </w:p>
        </w:tc>
        <w:tc>
          <w:tcPr/>
          <w:p>
            <w:pPr>
              <w:pStyle w:val="Compact"/>
              <w:jc w:val="left"/>
            </w:pPr>
            <w:r>
              <w:t xml:space="preserve">✅ Directement applicable.</w:t>
            </w:r>
          </w:p>
        </w:tc>
      </w:tr>
      <w:tr>
        <w:tc>
          <w:tcPr/>
          <w:p>
            <w:pPr>
              <w:pStyle w:val="Compact"/>
              <w:jc w:val="left"/>
            </w:pPr>
            <w:r>
              <w:rPr>
                <w:b/>
                <w:bCs/>
              </w:rPr>
              <w:t xml:space="preserve">Règle de Miner</w:t>
            </w:r>
          </w:p>
        </w:tc>
        <w:tc>
          <w:tcPr/>
          <w:p>
            <w:pPr>
              <w:pStyle w:val="Compact"/>
              <w:jc w:val="left"/>
            </w:pPr>
            <w:r>
              <w:t xml:space="preserve">⚠️ Doit utiliser des courbes</w:t>
            </w:r>
            <w:r>
              <w:t xml:space="preserve"> </w:t>
            </w:r>
            <m:oMath>
              <m:r>
                <m:t>N</m:t>
              </m:r>
              <m:d>
                <m:dPr>
                  <m:begChr m:val="("/>
                  <m:endChr m:val=")"/>
                  <m:sepChr m:val=""/>
                  <m:grow/>
                </m:dPr>
                <m:e>
                  <m:r>
                    <m:rPr>
                      <m:nor/>
                      <m:sty m:val="p"/>
                    </m:rPr>
                    <m:t>DOD</m:t>
                  </m:r>
                  <m:r>
                    <m:rPr>
                      <m:sty m:val="p"/>
                    </m:rPr>
                    <m:t>,</m:t>
                  </m:r>
                  <m:r>
                    <m:t>T</m:t>
                  </m:r>
                </m:e>
              </m:d>
            </m:oMath>
            <w:r>
              <w:t xml:space="preserve"> </w:t>
            </w:r>
            <w:r>
              <w:t xml:space="preserve">et intégrer un facteur de sulfatation.</w:t>
            </w:r>
          </w:p>
        </w:tc>
        <w:tc>
          <w:tcPr/>
          <w:p>
            <w:pPr>
              <w:pStyle w:val="Compact"/>
              <w:jc w:val="left"/>
            </w:pPr>
            <w:r>
              <w:t xml:space="preserve">✅ Standard avec</w:t>
            </w:r>
            <w:r>
              <w:t xml:space="preserve"> </w:t>
            </w:r>
            <m:oMath>
              <m:r>
                <m:t>N</m:t>
              </m:r>
              <m:d>
                <m:dPr>
                  <m:begChr m:val="("/>
                  <m:endChr m:val=")"/>
                  <m:sepChr m:val=""/>
                  <m:grow/>
                </m:dPr>
                <m:e>
                  <m:r>
                    <m:rPr>
                      <m:nor/>
                      <m:sty m:val="p"/>
                    </m:rPr>
                    <m:t>DOD</m:t>
                  </m:r>
                </m:e>
              </m:d>
            </m:oMath>
            <w:r>
              <w:t xml:space="preserve">.</w:t>
            </w:r>
          </w:p>
        </w:tc>
      </w:tr>
      <w:tr>
        <w:tc>
          <w:tcPr/>
          <w:p>
            <w:pPr>
              <w:pStyle w:val="Compact"/>
              <w:jc w:val="left"/>
            </w:pPr>
            <w:r>
              <w:rPr>
                <w:b/>
                <w:bCs/>
              </w:rPr>
              <w:t xml:space="preserve">IEC 61427</w:t>
            </w:r>
          </w:p>
        </w:tc>
        <w:tc>
          <w:tcPr/>
          <w:p>
            <w:pPr>
              <w:pStyle w:val="Compact"/>
              <w:jc w:val="left"/>
            </w:pPr>
            <w:r>
              <w:t xml:space="preserve">✅ Le meilleur référentiel. 1 macro-cycle = 1 an de service PV réel.</w:t>
            </w:r>
          </w:p>
        </w:tc>
        <w:tc>
          <w:tcPr/>
          <w:p>
            <w:pPr>
              <w:pStyle w:val="Compact"/>
              <w:jc w:val="left"/>
            </w:pPr>
            <w:r>
              <w:t xml:space="preserve">✅ Le meilleur référentiel.</w:t>
            </w:r>
          </w:p>
        </w:tc>
      </w:tr>
    </w:tbl>
    <w:bookmarkStart w:id="48" w:name="recommandation-pour-le-plomb"/>
    <w:p>
      <w:pPr>
        <w:pStyle w:val="3"/>
      </w:pPr>
      <w:r>
        <w:t xml:space="preserve">Recommandation pour le plomb</w:t>
      </w:r>
    </w:p>
    <w:p>
      <w:pPr>
        <w:pStyle w:val="FirstParagraph"/>
      </w:pPr>
      <w:r>
        <w:t xml:space="preserve">Si vous devez dimensionner ou garantir une installation plomb :</w:t>
      </w:r>
    </w:p>
    <w:p>
      <w:pPr>
        <w:pStyle w:val="Compact"/>
        <w:numPr>
          <w:ilvl w:val="0"/>
          <w:numId w:val="1009"/>
        </w:numPr>
      </w:pPr>
      <w:r>
        <w:rPr>
          <w:b/>
          <w:bCs/>
        </w:rPr>
        <w:t xml:space="preserve">Ne jamais dépasser 50 % DOD</w:t>
      </w:r>
      <w:r>
        <w:t xml:space="preserve"> </w:t>
      </w:r>
      <w:r>
        <w:t xml:space="preserve">en utilisation régulière (80 % en exceptionnel)</w:t>
      </w:r>
    </w:p>
    <w:p>
      <w:pPr>
        <w:pStyle w:val="Compact"/>
        <w:numPr>
          <w:ilvl w:val="0"/>
          <w:numId w:val="1009"/>
        </w:numPr>
      </w:pPr>
      <w:r>
        <w:rPr>
          <w:b/>
          <w:bCs/>
        </w:rPr>
        <w:t xml:space="preserve">Forcer une charge complète</w:t>
      </w:r>
      <w:r>
        <w:t xml:space="preserve"> </w:t>
      </w:r>
      <w:r>
        <w:t xml:space="preserve">au moins une fois par semaine pour éviter la sulfatation</w:t>
      </w:r>
    </w:p>
    <w:p>
      <w:pPr>
        <w:pStyle w:val="Compact"/>
        <w:numPr>
          <w:ilvl w:val="0"/>
          <w:numId w:val="1009"/>
        </w:numPr>
      </w:pPr>
      <w:r>
        <w:rPr>
          <w:b/>
          <w:bCs/>
        </w:rPr>
        <w:t xml:space="preserve">Prévoir une égalisation</w:t>
      </w:r>
      <w:r>
        <w:t xml:space="preserve"> </w:t>
      </w:r>
      <w:r>
        <w:t xml:space="preserve">mensuelle sur les batteries inondées</w:t>
      </w:r>
    </w:p>
    <w:p>
      <w:pPr>
        <w:pStyle w:val="Compact"/>
        <w:numPr>
          <w:ilvl w:val="0"/>
          <w:numId w:val="1009"/>
        </w:numPr>
      </w:pPr>
      <w:r>
        <w:rPr>
          <w:b/>
          <w:bCs/>
        </w:rPr>
        <w:t xml:space="preserve">Surveiller la température</w:t>
      </w:r>
      <w:r>
        <w:t xml:space="preserve"> </w:t>
      </w:r>
      <w:r>
        <w:t xml:space="preserve">— un abri ventilé à l’ombre est indispensable</w:t>
      </w:r>
    </w:p>
    <w:p>
      <w:pPr>
        <w:pStyle w:val="Compact"/>
        <w:numPr>
          <w:ilvl w:val="0"/>
          <w:numId w:val="1009"/>
        </w:numPr>
      </w:pPr>
      <w:r>
        <w:rPr>
          <w:b/>
          <w:bCs/>
        </w:rPr>
        <w:t xml:space="preserve">Utiliser les données IEC 61427</w:t>
      </w:r>
      <w:r>
        <w:t xml:space="preserve"> </w:t>
      </w:r>
      <w:r>
        <w:t xml:space="preserve">du fabricant plutôt que les courbes marketing</w:t>
      </w:r>
    </w:p>
    <w:p>
      <w:pPr>
        <w:pStyle w:val="Compact"/>
        <w:numPr>
          <w:ilvl w:val="0"/>
          <w:numId w:val="1009"/>
        </w:numPr>
      </w:pPr>
      <w:r>
        <w:rPr>
          <w:b/>
          <w:bCs/>
        </w:rPr>
        <w:t xml:space="preserve">Compter en années de service</w:t>
      </w:r>
      <w:r>
        <w:t xml:space="preserve"> </w:t>
      </w:r>
      <w:r>
        <w:t xml:space="preserve">plutôt qu’en cycles bruts</w:t>
      </w:r>
    </w:p>
    <w:p>
      <w:r>
        <w:pict>
          <v:rect style="width:0;height:1.5pt" o:hralign="center" o:hrstd="t" o:hr="t"/>
        </w:pict>
      </w:r>
    </w:p>
    <w:bookmarkEnd w:id="48"/>
    <w:bookmarkEnd w:id="49"/>
    <w:bookmarkStart w:id="51" w:name="X2ad94a23617e9a11dfff80e55f7194283d900be"/>
    <w:p>
      <w:pPr>
        <w:pStyle w:val="2"/>
      </w:pPr>
      <w:r>
        <w:t xml:space="preserve">5. Synthèse chiffrée : surdimensionnement nécessaire</w:t>
      </w:r>
    </w:p>
    <w:p>
      <w:pPr>
        <w:pStyle w:val="FirstParagraph"/>
      </w:pPr>
      <w:r>
        <w:t xml:space="preserve">Pour obtenir la même durée de vie qu’un lithium de 100 Ah utilisé à 80 % DOD :</w:t>
      </w:r>
    </w:p>
    <w:tbl>
      <w:tblPr>
        <w:tblStyle w:val="Table"/>
        <w:tblW w:type="pct" w:w="5000"/>
        <w:jc w:val="left"/>
        <w:tblLayout w:type="fixed"/>
        <w:tblLook w:firstRow="1" w:lastRow="0" w:firstColumn="0" w:lastColumn="0" w:noHBand="0" w:noVBand="0" w:val="0020"/>
      </w:tblPr>
      <w:tblGrid>
        <w:gridCol w:w="660"/>
        <w:gridCol w:w="4290"/>
        <w:gridCol w:w="2970"/>
      </w:tblGrid>
      <w:tr>
        <w:trPr>
          <w:tblHeader w:val="on"/>
        </w:trPr>
        <w:tc>
          <w:tcPr/>
          <w:p>
            <w:pPr>
              <w:pStyle w:val="Compact"/>
            </w:pPr>
          </w:p>
        </w:tc>
        <w:tc>
          <w:tcPr/>
          <w:p>
            <w:pPr>
              <w:pStyle w:val="Compact"/>
              <w:jc w:val="left"/>
            </w:pPr>
            <w:r>
              <w:t xml:space="preserve">Plomb-acide</w:t>
            </w:r>
          </w:p>
        </w:tc>
        <w:tc>
          <w:tcPr/>
          <w:p>
            <w:pPr>
              <w:pStyle w:val="Compact"/>
              <w:jc w:val="left"/>
            </w:pPr>
            <w:r>
              <w:t xml:space="preserve">LiFePO₄</w:t>
            </w:r>
          </w:p>
        </w:tc>
      </w:tr>
      <w:tr>
        <w:tc>
          <w:tcPr/>
          <w:p>
            <w:pPr>
              <w:pStyle w:val="Compact"/>
              <w:jc w:val="left"/>
            </w:pPr>
            <w:r>
              <w:t xml:space="preserve">Capacité nominale nécessaire</w:t>
            </w:r>
          </w:p>
        </w:tc>
        <w:tc>
          <w:tcPr/>
          <w:p>
            <w:pPr>
              <w:pStyle w:val="Compact"/>
              <w:jc w:val="left"/>
            </w:pPr>
            <w:r>
              <w:rPr>
                <w:b/>
                <w:bCs/>
              </w:rPr>
              <w:t xml:space="preserve">~250 Ah</w:t>
            </w:r>
            <w:r>
              <w:t xml:space="preserve"> </w:t>
            </w:r>
            <w:r>
              <w:t xml:space="preserve">(pour ne décharger que 50 %)</w:t>
            </w:r>
          </w:p>
        </w:tc>
        <w:tc>
          <w:tcPr/>
          <w:p>
            <w:pPr>
              <w:pStyle w:val="Compact"/>
              <w:jc w:val="left"/>
            </w:pPr>
            <w:r>
              <w:t xml:space="preserve">100 Ah</w:t>
            </w:r>
          </w:p>
        </w:tc>
      </w:tr>
      <w:tr>
        <w:tc>
          <w:tcPr/>
          <w:p>
            <w:pPr>
              <w:pStyle w:val="Compact"/>
              <w:jc w:val="left"/>
            </w:pPr>
            <w:r>
              <w:t xml:space="preserve">Cycles @ DoD cible</w:t>
            </w:r>
          </w:p>
        </w:tc>
        <w:tc>
          <w:tcPr/>
          <w:p>
            <w:pPr>
              <w:pStyle w:val="Compact"/>
              <w:jc w:val="left"/>
            </w:pPr>
            <w:r>
              <w:t xml:space="preserve">~3 000</w:t>
            </w:r>
          </w:p>
        </w:tc>
        <w:tc>
          <w:tcPr/>
          <w:p>
            <w:pPr>
              <w:pStyle w:val="Compact"/>
              <w:jc w:val="left"/>
            </w:pPr>
            <w:r>
              <w:t xml:space="preserve">~6 000</w:t>
            </w:r>
          </w:p>
        </w:tc>
      </w:tr>
      <w:tr>
        <w:tc>
          <w:tcPr/>
          <w:p>
            <w:pPr>
              <w:pStyle w:val="Compact"/>
              <w:jc w:val="left"/>
            </w:pPr>
            <w:r>
              <w:t xml:space="preserve">Rendement énergétique</w:t>
            </w:r>
          </w:p>
        </w:tc>
        <w:tc>
          <w:tcPr/>
          <w:p>
            <w:pPr>
              <w:pStyle w:val="Compact"/>
              <w:jc w:val="left"/>
            </w:pPr>
            <w:r>
              <w:t xml:space="preserve">~70 %</w:t>
            </w:r>
          </w:p>
        </w:tc>
        <w:tc>
          <w:tcPr/>
          <w:p>
            <w:pPr>
              <w:pStyle w:val="Compact"/>
              <w:jc w:val="left"/>
            </w:pPr>
            <w:r>
              <w:t xml:space="preserve">~90–95 %</w:t>
            </w:r>
          </w:p>
        </w:tc>
      </w:tr>
      <w:tr>
        <w:tc>
          <w:tcPr/>
          <w:p>
            <w:pPr>
              <w:pStyle w:val="Compact"/>
              <w:jc w:val="left"/>
            </w:pPr>
            <w:r>
              <w:t xml:space="preserve">Coût initial</w:t>
            </w:r>
          </w:p>
        </w:tc>
        <w:tc>
          <w:tcPr/>
          <w:p>
            <w:pPr>
              <w:pStyle w:val="Compact"/>
              <w:jc w:val="left"/>
            </w:pPr>
            <w:r>
              <w:t xml:space="preserve">Bas</w:t>
            </w:r>
          </w:p>
        </w:tc>
        <w:tc>
          <w:tcPr/>
          <w:p>
            <w:pPr>
              <w:pStyle w:val="Compact"/>
              <w:jc w:val="left"/>
            </w:pPr>
            <w:r>
              <w:t xml:space="preserve">Élevé</w:t>
            </w:r>
          </w:p>
        </w:tc>
      </w:tr>
      <w:tr>
        <w:tc>
          <w:tcPr/>
          <w:p>
            <w:pPr>
              <w:pStyle w:val="Compact"/>
              <w:jc w:val="left"/>
            </w:pPr>
            <w:r>
              <w:t xml:space="preserve">Coût total de possession (TCO)</w:t>
            </w:r>
          </w:p>
        </w:tc>
        <w:tc>
          <w:tcPr/>
          <w:p>
            <w:pPr>
              <w:pStyle w:val="Compact"/>
              <w:jc w:val="left"/>
            </w:pPr>
            <w:r>
              <w:rPr>
                <w:b/>
                <w:bCs/>
              </w:rPr>
              <w:t xml:space="preserve">Élevé</w:t>
            </w:r>
            <w:r>
              <w:t xml:space="preserve"> </w:t>
            </w:r>
            <w:r>
              <w:t xml:space="preserve">(remplacement + entretien)</w:t>
            </w:r>
          </w:p>
        </w:tc>
        <w:tc>
          <w:tcPr/>
          <w:p>
            <w:pPr>
              <w:pStyle w:val="Compact"/>
              <w:jc w:val="left"/>
            </w:pPr>
            <w:r>
              <w:rPr>
                <w:b/>
                <w:bCs/>
              </w:rPr>
              <w:t xml:space="preserve">Bas</w:t>
            </w:r>
          </w:p>
        </w:tc>
      </w:tr>
    </w:tbl>
    <w:p>
      <w:pPr>
        <w:pStyle w:val="aa"/>
      </w:pPr>
      <w:r>
        <w:t xml:space="preserve">Pour un stockage stationnaire en climat chaud, le lithium est</w:t>
      </w:r>
      <w:r>
        <w:t xml:space="preserve"> </w:t>
      </w:r>
      <w:r>
        <w:rPr>
          <w:b/>
          <w:bCs/>
        </w:rPr>
        <w:t xml:space="preserve">2,5 à 3 fois plus compact</w:t>
      </w:r>
      <w:r>
        <w:t xml:space="preserve"> </w:t>
      </w:r>
      <w:r>
        <w:t xml:space="preserve">et</w:t>
      </w:r>
      <w:r>
        <w:t xml:space="preserve"> </w:t>
      </w:r>
      <w:r>
        <w:rPr>
          <w:b/>
          <w:bCs/>
        </w:rPr>
        <w:t xml:space="preserve">2 à 4 fois plus durable</w:t>
      </w:r>
      <w:r>
        <w:t xml:space="preserve"> </w:t>
      </w:r>
      <w:r>
        <w:t xml:space="preserve">que le plomb à cycle de vie équivalent.</w:t>
      </w:r>
    </w:p>
    <w:p>
      <w:pPr>
        <w:pStyle w:val="FirstParagraph"/>
      </w:pPr>
      <w:r>
        <w:t xml:space="preserve">Souhaitez-vous que je développe un</w:t>
      </w:r>
      <w:r>
        <w:t xml:space="preserve"> </w:t>
      </w:r>
      <w:r>
        <w:rPr>
          <w:b/>
          <w:bCs/>
        </w:rPr>
        <w:t xml:space="preserve">modèle de prédiction de vie résiduelle spécifique au plomb</w:t>
      </w:r>
      <w:r>
        <w:t xml:space="preserve"> </w:t>
      </w:r>
      <w:r>
        <w:t xml:space="preserve">intégrant la sulfatation et la température, ou un</w:t>
      </w:r>
      <w:r>
        <w:t xml:space="preserve"> </w:t>
      </w:r>
      <w:r>
        <w:rPr>
          <w:b/>
          <w:bCs/>
        </w:rPr>
        <w:t xml:space="preserve">comparatif de TCO</w:t>
      </w:r>
      <w:r>
        <w:t xml:space="preserve"> </w:t>
      </w:r>
      <w:r>
        <w:t xml:space="preserve">sur 15 ans pour une installation PV donnée ?</w:t>
      </w:r>
    </w:p>
    <w:p>
      <w:r>
        <w:pict>
          <v:rect style="width:0;height:1.5pt" o:hralign="center" o:hrstd="t" o:hr="t"/>
        </w:pict>
      </w:r>
    </w:p>
    <w:p>
      <w:pPr>
        <w:pStyle w:val="FirstParagraph"/>
      </w:pPr>
      <w:r>
        <w:rPr>
          <w:b/>
          <w:bCs/>
        </w:rPr>
        <w:t xml:space="preserve">User:</w:t>
      </w:r>
    </w:p>
    <w:p>
      <w:pPr>
        <w:pStyle w:val="a0"/>
      </w:pPr>
      <w:r>
        <w:t xml:space="preserve">génère moi un fichier de documentation_IEC_61427.md très précis avec tout les détails explications et formules (pour le plombs, lithium,… et autre technologies des différent type de batteries)</w:t>
      </w:r>
    </w:p>
    <w:p>
      <w:r>
        <w:pict>
          <v:rect style="width:0;height:1.5pt" o:hralign="center" o:hrstd="t" o:hr="t"/>
        </w:pict>
      </w:r>
    </w:p>
    <w:p>
      <w:pPr>
        <w:pStyle w:val="FirstParagraph"/>
      </w:pPr>
      <w:r>
        <w:rPr>
          <w:b/>
          <w:bCs/>
        </w:rPr>
        <w:t xml:space="preserve">Kimi:</w:t>
      </w:r>
    </w:p>
    <w:p>
      <w:pPr>
        <w:pStyle w:val="a0"/>
      </w:pPr>
      <w:r>
        <w:t xml:space="preserve">Le fichier de documentation est prêt. Voici un résumé de son contenu :</w:t>
      </w:r>
    </w:p>
    <w:p>
      <w:pPr>
        <w:pStyle w:val="a0"/>
      </w:pPr>
      <w:r>
        <w:rPr>
          <w:b/>
          <w:bCs/>
        </w:rPr>
        <w:t xml:space="preserve">9 sections principales</w:t>
      </w:r>
      <w:r>
        <w:t xml:space="preserve"> </w:t>
      </w:r>
      <w:r>
        <w:t xml:space="preserve">couvrant :</w:t>
      </w:r>
      <w:r>
        <w:t xml:space="preserve"> </w:t>
      </w:r>
      <w:r>
        <w:t xml:space="preserve">- La structure complète de la norme</w:t>
      </w:r>
      <w:r>
        <w:t xml:space="preserve"> </w:t>
      </w:r>
      <w:r>
        <w:rPr>
          <w:b/>
          <w:bCs/>
        </w:rPr>
        <w:t xml:space="preserve">IEC 61427-1</w:t>
      </w:r>
      <w:r>
        <w:t xml:space="preserve"> </w:t>
      </w:r>
      <w:r>
        <w:t xml:space="preserve">(autonome) et</w:t>
      </w:r>
      <w:r>
        <w:t xml:space="preserve"> </w:t>
      </w:r>
      <w:r>
        <w:rPr>
          <w:b/>
          <w:bCs/>
        </w:rPr>
        <w:t xml:space="preserve">61427-2</w:t>
      </w:r>
      <w:r>
        <w:t xml:space="preserve"> </w:t>
      </w:r>
      <w:r>
        <w:t xml:space="preserve">(réseau)</w:t>
      </w:r>
      <w:r>
        <w:t xml:space="preserve"> </w:t>
      </w:r>
      <w:r>
        <w:t xml:space="preserve">- Les protocoles d’essai détaillés (macro-cycles, micro-cycles, préconditionnement)</w:t>
      </w:r>
      <w:r>
        <w:t xml:space="preserve"> </w:t>
      </w:r>
      <w:r>
        <w:t xml:space="preserve">- Les</w:t>
      </w:r>
      <w:r>
        <w:t xml:space="preserve"> </w:t>
      </w:r>
      <w:r>
        <w:rPr>
          <w:b/>
          <w:bCs/>
        </w:rPr>
        <w:t xml:space="preserve">3 méthodes de comptage</w:t>
      </w:r>
      <w:r>
        <w:t xml:space="preserve"> </w:t>
      </w:r>
      <w:r>
        <w:t xml:space="preserve">: EFC, Rainflow et règle de Miner avec formules</w:t>
      </w:r>
      <w:r>
        <w:t xml:space="preserve"> </w:t>
      </w:r>
      <w:r>
        <w:t xml:space="preserve">- Les</w:t>
      </w:r>
      <w:r>
        <w:t xml:space="preserve"> </w:t>
      </w:r>
      <w:r>
        <w:rPr>
          <w:b/>
          <w:bCs/>
        </w:rPr>
        <w:t xml:space="preserve">9 technologies de batteries</w:t>
      </w:r>
      <w:r>
        <w:t xml:space="preserve"> </w:t>
      </w:r>
      <w:r>
        <w:t xml:space="preserve">: Plomb (VRLA, AGM, Gel, OPzS, OPzV), LiFePO₄, NMC, NCA, LTO, NiMH, NiCd, NaS, Redox Flow</w:t>
      </w:r>
      <w:r>
        <w:t xml:space="preserve"> </w:t>
      </w:r>
      <w:r>
        <w:t xml:space="preserve">- Les modèles mathématiques de dégradation (Arrhenius, sulfatation, SEI)</w:t>
      </w:r>
      <w:r>
        <w:t xml:space="preserve"> </w:t>
      </w:r>
      <w:r>
        <w:t xml:space="preserve">- Des</w:t>
      </w:r>
      <w:r>
        <w:t xml:space="preserve"> </w:t>
      </w:r>
      <w:r>
        <w:rPr>
          <w:b/>
          <w:bCs/>
        </w:rPr>
        <w:t xml:space="preserve">exemples de dimensionnement</w:t>
      </w:r>
      <w:r>
        <w:t xml:space="preserve"> </w:t>
      </w:r>
      <w:r>
        <w:t xml:space="preserve">chiffrés (plomb vs lithium)</w:t>
      </w:r>
      <w:r>
        <w:t xml:space="preserve"> </w:t>
      </w:r>
      <w:r>
        <w:t xml:space="preserve">- Glossaire, tableaux de conversion et checklist de validation</w:t>
      </w:r>
    </w:p>
    <w:p>
      <w:pPr>
        <w:pStyle w:val="a0"/>
      </w:pPr>
      <w:r>
        <w:t xml:space="preserve">Téléchargez le fichier ici :</w:t>
      </w:r>
    </w:p>
    <w:p>
      <w:pPr>
        <w:pStyle w:val="a0"/>
      </w:pPr>
      <w:hyperlink r:id="rId50">
        <w:r>
          <w:rPr>
            <w:rStyle w:val="af"/>
          </w:rPr>
          <w:t xml:space="preserve">documentation_IEC_61427.md</w:t>
        </w:r>
      </w:hyperlink>
    </w:p>
    <w:p>
      <w:r>
        <w:pict>
          <v:rect style="width:0;height:1.5pt" o:hralign="center" o:hrstd="t" o:hr="t"/>
        </w:pict>
      </w:r>
    </w:p>
    <w:p>
      <w:pPr>
        <w:pStyle w:val="FirstParagraph"/>
      </w:pPr>
      <w:r>
        <w:rPr>
          <w:b/>
          <w:bCs/>
        </w:rPr>
        <w:t xml:space="preserve">User:</w:t>
      </w:r>
    </w:p>
    <w:p>
      <w:pPr>
        <w:pStyle w:val="a0"/>
      </w:pPr>
      <w:r>
        <w:t xml:space="preserve">je veux bien Souhaitez-vous que je développe un modèle de prédiction de vie résiduelle spécifique au plomb intégrant la sulfatation et la température, ou un comparatif de TCO sur 15 ans pour une installation PV donnée</w:t>
      </w:r>
    </w:p>
    <w:p>
      <w:r>
        <w:pict>
          <v:rect style="width:0;height:1.5pt" o:hralign="center" o:hrstd="t" o:hr="t"/>
        </w:pict>
      </w:r>
    </w:p>
    <w:p>
      <w:pPr>
        <w:pStyle w:val="FirstParagraph"/>
      </w:pPr>
      <w:r>
        <w:rPr>
          <w:b/>
          <w:bCs/>
        </w:rPr>
        <w:t xml:space="preserve">Kimi:</w:t>
      </w:r>
    </w:p>
    <w:p>
      <w:pPr>
        <w:pStyle w:val="a0"/>
      </w:pPr>
      <w:r>
        <w:t xml:space="preserve">Voici les deux modèles en détail — le widget ci-dessus vous permet de les explorer interactivement, voici les équations et les hypothèses qui les sous-tendent.</w:t>
      </w:r>
    </w:p>
    <w:p>
      <w:r>
        <w:pict>
          <v:rect style="width:0;height:1.5pt" o:hralign="center" o:hrstd="t" o:hr="t"/>
        </w:pict>
      </w:r>
    </w:p>
    <w:bookmarkEnd w:id="51"/>
    <w:bookmarkStart w:id="56" w:name="X08f6bfc1540d718e580d0c7d46546003598dea1"/>
    <w:p>
      <w:pPr>
        <w:pStyle w:val="2"/>
      </w:pPr>
      <w:r>
        <w:t xml:space="preserve">1. Modèle de prédiction de vie résiduelle — Plomb-acide</w:t>
      </w:r>
    </w:p>
    <w:bookmarkStart w:id="52" w:name="base-dégradation-par-cycles"/>
    <w:p>
      <w:pPr>
        <w:pStyle w:val="3"/>
      </w:pPr>
      <w:r>
        <w:t xml:space="preserve">1.1 Base : dégradation par cycles</w:t>
      </w:r>
    </w:p>
    <w:p>
      <w:pPr>
        <w:pStyle w:val="FirstParagraph"/>
      </w:pPr>
      <w:r>
        <w:t xml:space="preserve">La durée de vie en cycles du plomb suit une loi exponentielle dépendante du DOD :</w:t>
      </w:r>
    </w:p>
    <w:p>
      <w:pPr>
        <w:pStyle w:val="a0"/>
      </w:pPr>
      <m:oMathPara>
        <m:oMathParaPr>
          <m:jc m:val="center"/>
        </m:oMathParaPr>
        <m:oMath>
          <m:sSub>
            <m:e>
              <m:r>
                <m:t>N</m:t>
              </m:r>
            </m:e>
            <m:sub>
              <m:r>
                <m:rPr>
                  <m:nor/>
                  <m:sty m:val="p"/>
                </m:rPr>
                <m:t>Pb</m:t>
              </m:r>
            </m:sub>
          </m:sSub>
          <m:d>
            <m:dPr>
              <m:begChr m:val="("/>
              <m:endChr m:val=")"/>
              <m:sepChr m:val=""/>
              <m:grow/>
            </m:dPr>
            <m:e>
              <m:r>
                <m:rPr>
                  <m:nor/>
                  <m:sty m:val="p"/>
                </m:rPr>
                <m:t>DOD</m:t>
              </m:r>
            </m:e>
          </m:d>
          <m:r>
            <m:rPr>
              <m:sty m:val="p"/>
            </m:rPr>
            <m:t>=</m:t>
          </m:r>
          <m:sSub>
            <m:e>
              <m:r>
                <m:t>N</m:t>
              </m:r>
            </m:e>
            <m:sub>
              <m:r>
                <m:t>0</m:t>
              </m:r>
            </m:sub>
          </m:sSub>
          <m:r>
            <m:rPr>
              <m:sty m:val="p"/>
            </m:rPr>
            <m:t>⋅</m:t>
          </m:r>
          <m:sSup>
            <m:e>
              <m:r>
                <m:t>e</m:t>
              </m:r>
            </m:e>
            <m:sup>
              <m:r>
                <m:rPr>
                  <m:sty m:val="p"/>
                </m:rPr>
                <m:t>−</m:t>
              </m:r>
              <m:sSub>
                <m:e>
                  <m:r>
                    <m:t>k</m:t>
                  </m:r>
                </m:e>
                <m:sub>
                  <m:r>
                    <m:rPr>
                      <m:nor/>
                      <m:sty m:val="p"/>
                    </m:rPr>
                    <m:t>Pb</m:t>
                  </m:r>
                </m:sub>
              </m:sSub>
              <m:r>
                <m:rPr>
                  <m:sty m:val="p"/>
                </m:rPr>
                <m:t>⋅</m:t>
              </m:r>
              <m:r>
                <m:rPr>
                  <m:nor/>
                  <m:sty m:val="p"/>
                </m:rPr>
                <m:t>DOD</m:t>
              </m:r>
            </m:sup>
          </m:sSup>
        </m:oMath>
      </m:oMathPara>
    </w:p>
    <w:p>
      <w:pPr>
        <w:pStyle w:val="FirstParagraph"/>
      </w:pPr>
      <w:r>
        <w:t xml:space="preserve">Avec</w:t>
      </w:r>
      <w:r>
        <w:t xml:space="preserve"> </w:t>
      </w:r>
      <m:oMath>
        <m:sSub>
          <m:e>
            <m:r>
              <m:t>N</m:t>
            </m:r>
          </m:e>
          <m:sub>
            <m:r>
              <m:t>0</m:t>
            </m:r>
          </m:sub>
        </m:sSub>
        <m:r>
          <m:rPr>
            <m:sty m:val="p"/>
          </m:rPr>
          <m:t>≈</m:t>
        </m:r>
        <m:r>
          <m:t>6</m:t>
        </m:r>
        <m:r>
          <m:t> </m:t>
        </m:r>
        <m:r>
          <m:t>000</m:t>
        </m:r>
      </m:oMath>
      <w:r>
        <w:t xml:space="preserve"> </w:t>
      </w:r>
      <w:r>
        <w:t xml:space="preserve">cycles et</w:t>
      </w:r>
      <w:r>
        <w:t xml:space="preserve"> </w:t>
      </w:r>
      <m:oMath>
        <m:sSub>
          <m:e>
            <m:r>
              <m:t>k</m:t>
            </m:r>
          </m:e>
          <m:sub>
            <m:r>
              <m:rPr>
                <m:nor/>
                <m:sty m:val="p"/>
              </m:rPr>
              <m:t>Pb</m:t>
            </m:r>
          </m:sub>
        </m:sSub>
        <m:r>
          <m:rPr>
            <m:sty m:val="p"/>
          </m:rPr>
          <m:t>≈</m:t>
        </m:r>
        <m:r>
          <m:t>0</m:t>
        </m:r>
        <m:r>
          <m:rPr>
            <m:sty m:val="p"/>
          </m:rPr>
          <m:t>,</m:t>
        </m:r>
        <m:r>
          <m:t>022</m:t>
        </m:r>
      </m:oMath>
      <w:r>
        <w:t xml:space="preserve">.</w:t>
      </w:r>
    </w:p>
    <w:bookmarkEnd w:id="52"/>
    <w:bookmarkStart w:id="53" w:name="X4f618ae8f9beea7b62ee0c7a68ec52b7d8f7e04"/>
    <w:p>
      <w:pPr>
        <w:pStyle w:val="3"/>
      </w:pPr>
      <w:r>
        <w:t xml:space="preserve">1.2 Correction température — Règle de Van’t Hoff</w:t>
      </w:r>
    </w:p>
    <w:p>
      <w:pPr>
        <w:pStyle w:val="FirstParagraph"/>
      </w:pPr>
      <w:r>
        <w:t xml:space="preserve">Chaque augmentation de 15 °C au-dessus de 25 °C divise la durée de vie par 2 :</w:t>
      </w:r>
    </w:p>
    <w:p>
      <w:pPr>
        <w:pStyle w:val="a0"/>
      </w:pPr>
      <m:oMathPara>
        <m:oMathParaPr>
          <m:jc m:val="center"/>
        </m:oMathParaPr>
        <m:oMath>
          <m:f>
            <m:fPr>
              <m:type m:val="bar"/>
            </m:fPr>
            <m:num>
              <m:r>
                <m:t>N</m:t>
              </m:r>
              <m:d>
                <m:dPr>
                  <m:begChr m:val="("/>
                  <m:endChr m:val=")"/>
                  <m:sepChr m:val=""/>
                  <m:grow/>
                </m:dPr>
                <m:e>
                  <m:r>
                    <m:t>T</m:t>
                  </m:r>
                </m:e>
              </m:d>
            </m:num>
            <m:den>
              <m:r>
                <m:t>N</m:t>
              </m:r>
              <m:d>
                <m:dPr>
                  <m:begChr m:val="("/>
                  <m:endChr m:val=")"/>
                  <m:sepChr m:val=""/>
                  <m:grow/>
                </m:dPr>
                <m:e>
                  <m:r>
                    <m:t>25</m:t>
                  </m:r>
                  <m:r>
                    <m:rPr>
                      <m:sty m:val="p"/>
                    </m:rPr>
                    <m:t>°</m:t>
                  </m:r>
                  <m:r>
                    <m:t>C</m:t>
                  </m:r>
                </m:e>
              </m:d>
            </m:den>
          </m:f>
          <m:r>
            <m:rPr>
              <m:sty m:val="p"/>
            </m:rPr>
            <m:t>=</m:t>
          </m:r>
          <m:sSup>
            <m:e>
              <m:r>
                <m:t>2</m:t>
              </m:r>
            </m:e>
            <m:sup>
              <m:r>
                <m:rPr>
                  <m:sty m:val="p"/>
                </m:rPr>
                <m:t>−</m:t>
              </m:r>
              <m:d>
                <m:dPr>
                  <m:begChr m:val="("/>
                  <m:endChr m:val=")"/>
                  <m:sepChr m:val=""/>
                  <m:grow/>
                </m:dPr>
                <m:e>
                  <m:r>
                    <m:t>T</m:t>
                  </m:r>
                  <m:r>
                    <m:rPr>
                      <m:sty m:val="p"/>
                    </m:rPr>
                    <m:t>−</m:t>
                  </m:r>
                  <m:r>
                    <m:t>25</m:t>
                  </m:r>
                </m:e>
              </m:d>
              <m:r>
                <m:rPr>
                  <m:sty m:val="p"/>
                </m:rPr>
                <m:t>/</m:t>
              </m:r>
              <m:r>
                <m:t>15</m:t>
              </m:r>
            </m:sup>
          </m:sSup>
        </m:oMath>
      </m:oMathPara>
    </w:p>
    <w:bookmarkEnd w:id="53"/>
    <w:bookmarkStart w:id="54" w:name="Xb2beb3b8c1fec723eb6e3a83900d7477e49c65a"/>
    <w:p>
      <w:pPr>
        <w:pStyle w:val="3"/>
      </w:pPr>
      <w:r>
        <w:t xml:space="preserve">1.3 Terme de sulfatation (innovation du modèle)</w:t>
      </w:r>
    </w:p>
    <w:p>
      <w:pPr>
        <w:pStyle w:val="FirstParagraph"/>
      </w:pPr>
      <w:r>
        <w:t xml:space="preserve">Contrairement au lithium, le plomb subit une</w:t>
      </w:r>
      <w:r>
        <w:t xml:space="preserve"> </w:t>
      </w:r>
      <w:r>
        <w:rPr>
          <w:b/>
          <w:bCs/>
        </w:rPr>
        <w:t xml:space="preserve">sulfatation irréversible</w:t>
      </w:r>
      <w:r>
        <w:t xml:space="preserve"> </w:t>
      </w:r>
      <w:r>
        <w:t xml:space="preserve">lorsqu’il reste en PSOC (Partial State of Charge). Ce phénomène n’est pas capturé par les modèles classiques. Le modèle intègre un facteur de pénalité :</w:t>
      </w:r>
    </w:p>
    <w:p>
      <w:pPr>
        <w:pStyle w:val="a0"/>
      </w:pPr>
      <m:oMathPara>
        <m:oMathParaPr>
          <m:jc m:val="center"/>
        </m:oMathParaPr>
        <m:oMath>
          <m:sSub>
            <m:e>
              <m:r>
                <m:t>f</m:t>
              </m:r>
            </m:e>
            <m:sub>
              <m:r>
                <m:rPr>
                  <m:nor/>
                  <m:sty m:val="p"/>
                </m:rPr>
                <m:t>sulf</m:t>
              </m:r>
            </m:sub>
          </m:sSub>
          <m:r>
            <m:rPr>
              <m:sty m:val="p"/>
            </m:rPr>
            <m:t>=</m:t>
          </m:r>
          <m:r>
            <m:t>1</m:t>
          </m:r>
          <m:r>
            <m:rPr>
              <m:sty m:val="p"/>
            </m:rPr>
            <m:t>+</m:t>
          </m:r>
          <m:f>
            <m:fPr>
              <m:type m:val="bar"/>
            </m:fPr>
            <m:num>
              <m:sSub>
                <m:e>
                  <m:r>
                    <m:t>t</m:t>
                  </m:r>
                </m:e>
                <m:sub>
                  <m:r>
                    <m:rPr>
                      <m:nor/>
                      <m:sty m:val="p"/>
                    </m:rPr>
                    <m:t>PSOC</m:t>
                  </m:r>
                </m:sub>
              </m:sSub>
            </m:num>
            <m:den>
              <m:r>
                <m:t>24</m:t>
              </m:r>
            </m:den>
          </m:f>
          <m:r>
            <m:rPr>
              <m:sty m:val="p"/>
            </m:rPr>
            <m:t>⋅</m:t>
          </m:r>
          <m:r>
            <m:t>0</m:t>
          </m:r>
          <m:r>
            <m:rPr>
              <m:sty m:val="p"/>
            </m:rPr>
            <m:t>,</m:t>
          </m:r>
          <m:r>
            <m:t>30</m:t>
          </m:r>
          <m:r>
            <m:t> </m:t>
          </m:r>
          <m:r>
            <m:rPr>
              <m:sty m:val="p"/>
            </m:rPr>
            <m:t>×</m:t>
          </m:r>
          <m:r>
            <m:t> </m:t>
          </m:r>
          <m:r>
            <m:rPr>
              <m:sty m:val="p"/>
            </m:rPr>
            <m:t>max</m:t>
          </m:r>
          <m:d>
            <m:dPr>
              <m:begChr m:val="("/>
              <m:endChr m:val=")"/>
              <m:sepChr m:val=""/>
              <m:grow/>
            </m:dPr>
            <m:e>
              <m:r>
                <m:t>0</m:t>
              </m:r>
              <m:r>
                <m:rPr>
                  <m:sty m:val="p"/>
                </m:rPr>
                <m:t>,</m:t>
              </m:r>
              <m:r>
                <m:t>5</m:t>
              </m:r>
              <m:r>
                <m:rPr>
                  <m:sty m:val="p"/>
                </m:rPr>
                <m:t>,</m:t>
              </m:r>
              <m:r>
                <m:t> </m:t>
              </m:r>
              <m:r>
                <m:t>1</m:t>
              </m:r>
              <m:r>
                <m:rPr>
                  <m:sty m:val="p"/>
                </m:rPr>
                <m:t>−</m:t>
              </m:r>
              <m:f>
                <m:fPr>
                  <m:type m:val="bar"/>
                </m:fPr>
                <m:num>
                  <m:r>
                    <m:t>30</m:t>
                  </m:r>
                </m:num>
                <m:den>
                  <m:sSub>
                    <m:e>
                      <m:r>
                        <m:t>T</m:t>
                      </m:r>
                    </m:e>
                    <m:sub>
                      <m:r>
                        <m:rPr>
                          <m:nor/>
                          <m:sty m:val="p"/>
                        </m:rPr>
                        <m:t>eq</m:t>
                      </m:r>
                    </m:sub>
                  </m:sSub>
                </m:den>
              </m:f>
              <m:r>
                <m:rPr>
                  <m:sty m:val="p"/>
                </m:rPr>
                <m:t>⋅</m:t>
              </m:r>
              <m:r>
                <m:t>0</m:t>
              </m:r>
              <m:r>
                <m:rPr>
                  <m:sty m:val="p"/>
                </m:rPr>
                <m:t>,</m:t>
              </m:r>
              <m:r>
                <m:t>30</m:t>
              </m:r>
            </m:e>
          </m:d>
        </m:oMath>
      </m:oMathPara>
    </w:p>
    <w:p>
      <w:pPr>
        <w:pStyle w:val="FirstParagraph"/>
      </w:pPr>
      <w:r>
        <w:t xml:space="preserve">Où :</w:t>
      </w:r>
      <w:r>
        <w:t xml:space="preserve"> </w:t>
      </w:r>
      <w:r>
        <w:t xml:space="preserve">-</w:t>
      </w:r>
      <w:r>
        <w:t xml:space="preserve"> </w:t>
      </w:r>
      <m:oMath>
        <m:sSub>
          <m:e>
            <m:r>
              <m:t>t</m:t>
            </m:r>
          </m:e>
          <m:sub>
            <m:r>
              <m:rPr>
                <m:nor/>
                <m:sty m:val="p"/>
              </m:rPr>
              <m:t>PSOC</m:t>
            </m:r>
          </m:sub>
        </m:sSub>
      </m:oMath>
      <w:r>
        <w:t xml:space="preserve"> </w:t>
      </w:r>
      <w:r>
        <w:t xml:space="preserve">= heures quotidiennes passées sous 80 % SOC</w:t>
      </w:r>
      <w:r>
        <w:t xml:space="preserve"> </w:t>
      </w:r>
      <w:r>
        <w:t xml:space="preserve">-</w:t>
      </w:r>
      <w:r>
        <w:t xml:space="preserve"> </w:t>
      </w:r>
      <m:oMath>
        <m:sSub>
          <m:e>
            <m:r>
              <m:t>T</m:t>
            </m:r>
          </m:e>
          <m:sub>
            <m:r>
              <m:rPr>
                <m:nor/>
                <m:sty m:val="p"/>
              </m:rPr>
              <m:t>eq</m:t>
            </m:r>
          </m:sub>
        </m:sSub>
      </m:oMath>
      <w:r>
        <w:t xml:space="preserve"> </w:t>
      </w:r>
      <w:r>
        <w:t xml:space="preserve">= intervalle entre égalisations (en jours)</w:t>
      </w:r>
    </w:p>
    <w:p>
      <w:pPr>
        <w:pStyle w:val="a0"/>
      </w:pPr>
      <w:r>
        <w:rPr>
          <w:b/>
          <w:bCs/>
        </w:rPr>
        <w:t xml:space="preserve">Interprétation :</w:t>
      </w:r>
      <w:r>
        <w:t xml:space="preserve"> </w:t>
      </w:r>
      <w:r>
        <w:t xml:space="preserve">-</w:t>
      </w:r>
      <w:r>
        <w:t xml:space="preserve"> </w:t>
      </w:r>
      <w:r>
        <w:rPr>
          <w:b/>
          <w:bCs/>
        </w:rPr>
        <w:t xml:space="preserve">24 h/jour en PSOC</w:t>
      </w:r>
      <w:r>
        <w:t xml:space="preserve"> </w:t>
      </w:r>
      <w:r>
        <w:t xml:space="preserve">→ pénalité maximale de +30 % sur la dégradation</w:t>
      </w:r>
      <w:r>
        <w:t xml:space="preserve"> </w:t>
      </w:r>
      <w:r>
        <w:t xml:space="preserve">-</w:t>
      </w:r>
      <w:r>
        <w:t xml:space="preserve"> </w:t>
      </w:r>
      <w:r>
        <w:rPr>
          <w:b/>
          <w:bCs/>
        </w:rPr>
        <w:t xml:space="preserve">Égalisation tous les 7 jours</w:t>
      </w:r>
      <w:r>
        <w:t xml:space="preserve"> </w:t>
      </w:r>
      <w:r>
        <w:t xml:space="preserve">→ bonus de -30 % (réduit la sulfatation)</w:t>
      </w:r>
      <w:r>
        <w:t xml:space="preserve"> </w:t>
      </w:r>
      <w:r>
        <w:t xml:space="preserve">-</w:t>
      </w:r>
      <w:r>
        <w:t xml:space="preserve"> </w:t>
      </w:r>
      <w:r>
        <w:rPr>
          <w:b/>
          <w:bCs/>
        </w:rPr>
        <w:t xml:space="preserve">Égalisation tous les 90 jours</w:t>
      </w:r>
      <w:r>
        <w:t xml:space="preserve"> </w:t>
      </w:r>
      <w:r>
        <w:t xml:space="preserve">→ bonus nul (sulfatation non contrôlée)</w:t>
      </w:r>
    </w:p>
    <w:bookmarkEnd w:id="54"/>
    <w:bookmarkStart w:id="55" w:name="formule-complète"/>
    <w:p>
      <w:pPr>
        <w:pStyle w:val="3"/>
      </w:pPr>
      <w:r>
        <w:t xml:space="preserve">1.4 Formule complète</w:t>
      </w:r>
    </w:p>
    <w:p>
      <w:pPr>
        <w:pStyle w:val="FirstParagraph"/>
      </w:pPr>
      <m:oMathPara>
        <m:oMathParaPr>
          <m:jc m:val="center"/>
        </m:oMathParaPr>
        <m:oMath>
          <m:sSub>
            <m:e>
              <m:r>
                <m:t>N</m:t>
              </m:r>
            </m:e>
            <m:sub>
              <m:r>
                <m:rPr>
                  <m:nor/>
                  <m:sty m:val="p"/>
                </m:rPr>
                <m:t>Pb, réel</m:t>
              </m:r>
            </m:sub>
          </m:sSub>
          <m:r>
            <m:rPr>
              <m:sty m:val="p"/>
            </m:rPr>
            <m:t>=</m:t>
          </m:r>
          <m:f>
            <m:fPr>
              <m:type m:val="bar"/>
            </m:fPr>
            <m:num>
              <m:sSub>
                <m:e>
                  <m:r>
                    <m:t>N</m:t>
                  </m:r>
                </m:e>
                <m:sub>
                  <m:r>
                    <m:rPr>
                      <m:nor/>
                      <m:sty m:val="p"/>
                    </m:rPr>
                    <m:t>Pb</m:t>
                  </m:r>
                </m:sub>
              </m:sSub>
              <m:d>
                <m:dPr>
                  <m:begChr m:val="("/>
                  <m:endChr m:val=")"/>
                  <m:sepChr m:val=""/>
                  <m:grow/>
                </m:dPr>
                <m:e>
                  <m:r>
                    <m:rPr>
                      <m:nor/>
                      <m:sty m:val="p"/>
                    </m:rPr>
                    <m:t>DOD</m:t>
                  </m:r>
                </m:e>
              </m:d>
              <m:r>
                <m:rPr>
                  <m:sty m:val="p"/>
                </m:rPr>
                <m:t>⋅</m:t>
              </m:r>
              <m:sSup>
                <m:e>
                  <m:r>
                    <m:t>2</m:t>
                  </m:r>
                </m:e>
                <m:sup>
                  <m:r>
                    <m:rPr>
                      <m:sty m:val="p"/>
                    </m:rPr>
                    <m:t>−</m:t>
                  </m:r>
                  <m:d>
                    <m:dPr>
                      <m:begChr m:val="("/>
                      <m:endChr m:val=")"/>
                      <m:sepChr m:val=""/>
                      <m:grow/>
                    </m:dPr>
                    <m:e>
                      <m:r>
                        <m:t>T</m:t>
                      </m:r>
                      <m:r>
                        <m:rPr>
                          <m:sty m:val="p"/>
                        </m:rPr>
                        <m:t>−</m:t>
                      </m:r>
                      <m:r>
                        <m:t>25</m:t>
                      </m:r>
                    </m:e>
                  </m:d>
                  <m:r>
                    <m:rPr>
                      <m:sty m:val="p"/>
                    </m:rPr>
                    <m:t>/</m:t>
                  </m:r>
                  <m:r>
                    <m:t>15</m:t>
                  </m:r>
                </m:sup>
              </m:sSup>
            </m:num>
            <m:den>
              <m:sSub>
                <m:e>
                  <m:r>
                    <m:t>f</m:t>
                  </m:r>
                </m:e>
                <m:sub>
                  <m:r>
                    <m:rPr>
                      <m:nor/>
                      <m:sty m:val="p"/>
                    </m:rPr>
                    <m:t>sulf</m:t>
                  </m:r>
                </m:sub>
              </m:sSub>
            </m:den>
          </m:f>
        </m:oMath>
      </m:oMathPara>
    </w:p>
    <w:p>
      <w:pPr>
        <w:pStyle w:val="FirstParagraph"/>
      </w:pPr>
      <w:r>
        <w:rPr>
          <w:b/>
          <w:bCs/>
        </w:rPr>
        <w:t xml:space="preserve">Exemple numérique</w:t>
      </w:r>
      <w:r>
        <w:t xml:space="preserve"> </w:t>
      </w:r>
      <w:r>
        <w:t xml:space="preserve">(DOD 50 %, 35 °C, 12 h/jour PSOC, égalisation 30 j) :</w:t>
      </w:r>
    </w:p>
    <w:p>
      <w:pPr>
        <w:pStyle w:val="a0"/>
      </w:pPr>
      <m:oMathPara>
        <m:oMathParaPr>
          <m:jc m:val="center"/>
        </m:oMathParaPr>
        <m:oMath>
          <m:sSub>
            <m:e>
              <m:r>
                <m:t>N</m:t>
              </m:r>
            </m:e>
            <m:sub>
              <m:r>
                <m:rPr>
                  <m:nor/>
                  <m:sty m:val="p"/>
                </m:rPr>
                <m:t>Pb</m:t>
              </m:r>
            </m:sub>
          </m:sSub>
          <m:d>
            <m:dPr>
              <m:begChr m:val="("/>
              <m:endChr m:val=")"/>
              <m:sepChr m:val=""/>
              <m:grow/>
            </m:dPr>
            <m:e>
              <m:r>
                <m:t>50</m:t>
              </m:r>
              <m:r>
                <m:rPr>
                  <m:sty m:val="p"/>
                </m:rPr>
                <m:t>%</m:t>
              </m:r>
            </m:e>
          </m:d>
          <m:r>
            <m:rPr>
              <m:sty m:val="p"/>
            </m:rPr>
            <m:t>=</m:t>
          </m:r>
          <m:r>
            <m:t>6</m:t>
          </m:r>
          <m:r>
            <m:t> </m:t>
          </m:r>
          <m:r>
            <m:t>000</m:t>
          </m:r>
          <m:r>
            <m:rPr>
              <m:sty m:val="p"/>
            </m:rPr>
            <m:t>⋅</m:t>
          </m:r>
          <m:sSup>
            <m:e>
              <m:r>
                <m:t>e</m:t>
              </m:r>
            </m:e>
            <m:sup>
              <m:r>
                <m:rPr>
                  <m:sty m:val="p"/>
                </m:rPr>
                <m:t>−</m:t>
              </m:r>
              <m:r>
                <m:t>0</m:t>
              </m:r>
              <m:r>
                <m:rPr>
                  <m:sty m:val="p"/>
                </m:rPr>
                <m:t>,</m:t>
              </m:r>
              <m:r>
                <m:t>022</m:t>
              </m:r>
              <m:r>
                <m:rPr>
                  <m:sty m:val="p"/>
                </m:rPr>
                <m:t>×</m:t>
              </m:r>
              <m:r>
                <m:t>50</m:t>
              </m:r>
            </m:sup>
          </m:sSup>
          <m:r>
            <m:rPr>
              <m:sty m:val="p"/>
            </m:rPr>
            <m:t>≈</m:t>
          </m:r>
          <m:r>
            <m:t>2</m:t>
          </m:r>
          <m:r>
            <m:t> </m:t>
          </m:r>
          <m:r>
            <m:t>100</m:t>
          </m:r>
        </m:oMath>
      </m:oMathPara>
    </w:p>
    <w:p>
      <w:pPr>
        <w:pStyle w:val="FirstParagraph"/>
      </w:pPr>
      <m:oMathPara>
        <m:oMathParaPr>
          <m:jc m:val="center"/>
        </m:oMathParaPr>
        <m:oMath>
          <m:r>
            <m:t>N</m:t>
          </m:r>
          <m:d>
            <m:dPr>
              <m:begChr m:val="("/>
              <m:endChr m:val=")"/>
              <m:sepChr m:val=""/>
              <m:grow/>
            </m:dPr>
            <m:e>
              <m:r>
                <m:t>35</m:t>
              </m:r>
              <m:r>
                <m:rPr>
                  <m:sty m:val="p"/>
                </m:rPr>
                <m:t>°</m:t>
              </m:r>
              <m:r>
                <m:t>C</m:t>
              </m:r>
            </m:e>
          </m:d>
          <m:r>
            <m:rPr>
              <m:sty m:val="p"/>
            </m:rPr>
            <m:t>=</m:t>
          </m:r>
          <m:r>
            <m:t>2</m:t>
          </m:r>
          <m:r>
            <m:t> </m:t>
          </m:r>
          <m:r>
            <m:t>100</m:t>
          </m:r>
          <m:r>
            <m:rPr>
              <m:sty m:val="p"/>
            </m:rPr>
            <m:t>×</m:t>
          </m:r>
          <m:sSup>
            <m:e>
              <m:r>
                <m:t>2</m:t>
              </m:r>
            </m:e>
            <m:sup>
              <m:r>
                <m:rPr>
                  <m:sty m:val="p"/>
                </m:rPr>
                <m:t>−</m:t>
              </m:r>
              <m:r>
                <m:t>10</m:t>
              </m:r>
              <m:r>
                <m:rPr>
                  <m:sty m:val="p"/>
                </m:rPr>
                <m:t>/</m:t>
              </m:r>
              <m:r>
                <m:t>15</m:t>
              </m:r>
            </m:sup>
          </m:sSup>
          <m:r>
            <m:rPr>
              <m:sty m:val="p"/>
            </m:rPr>
            <m:t>≈</m:t>
          </m:r>
          <m:r>
            <m:t>2</m:t>
          </m:r>
          <m:r>
            <m:t> </m:t>
          </m:r>
          <m:r>
            <m:t>100</m:t>
          </m:r>
          <m:r>
            <m:rPr>
              <m:sty m:val="p"/>
            </m:rPr>
            <m:t>×</m:t>
          </m:r>
          <m:r>
            <m:t>0</m:t>
          </m:r>
          <m:r>
            <m:rPr>
              <m:sty m:val="p"/>
            </m:rPr>
            <m:t>,</m:t>
          </m:r>
          <m:r>
            <m:t>63</m:t>
          </m:r>
          <m:r>
            <m:rPr>
              <m:sty m:val="p"/>
            </m:rPr>
            <m:t>≈</m:t>
          </m:r>
          <m:r>
            <m:t>1</m:t>
          </m:r>
          <m:r>
            <m:t> </m:t>
          </m:r>
          <m:r>
            <m:t>323</m:t>
          </m:r>
        </m:oMath>
      </m:oMathPara>
    </w:p>
    <w:p>
      <w:pPr>
        <w:pStyle w:val="FirstParagraph"/>
      </w:pPr>
      <m:oMathPara>
        <m:oMathParaPr>
          <m:jc m:val="center"/>
        </m:oMathParaPr>
        <m:oMath>
          <m:sSub>
            <m:e>
              <m:r>
                <m:t>f</m:t>
              </m:r>
            </m:e>
            <m:sub>
              <m:r>
                <m:rPr>
                  <m:nor/>
                  <m:sty m:val="p"/>
                </m:rPr>
                <m:t>sulf</m:t>
              </m:r>
            </m:sub>
          </m:sSub>
          <m:r>
            <m:rPr>
              <m:sty m:val="p"/>
            </m:rPr>
            <m:t>=</m:t>
          </m:r>
          <m:d>
            <m:dPr>
              <m:begChr m:val="("/>
              <m:endChr m:val=")"/>
              <m:sepChr m:val=""/>
              <m:grow/>
            </m:dPr>
            <m:e>
              <m:r>
                <m:t>1</m:t>
              </m:r>
              <m:r>
                <m:rPr>
                  <m:sty m:val="p"/>
                </m:rPr>
                <m:t>+</m:t>
              </m:r>
              <m:f>
                <m:fPr>
                  <m:type m:val="bar"/>
                </m:fPr>
                <m:num>
                  <m:r>
                    <m:t>12</m:t>
                  </m:r>
                </m:num>
                <m:den>
                  <m:r>
                    <m:t>24</m:t>
                  </m:r>
                </m:den>
              </m:f>
              <m:r>
                <m:rPr>
                  <m:sty m:val="p"/>
                </m:rPr>
                <m:t>×</m:t>
              </m:r>
              <m:r>
                <m:t>0</m:t>
              </m:r>
              <m:r>
                <m:rPr>
                  <m:sty m:val="p"/>
                </m:rPr>
                <m:t>,</m:t>
              </m:r>
              <m:r>
                <m:t>30</m:t>
              </m:r>
            </m:e>
          </m:d>
          <m:r>
            <m:rPr>
              <m:sty m:val="p"/>
            </m:rPr>
            <m:t>×</m:t>
          </m:r>
          <m:d>
            <m:dPr>
              <m:begChr m:val="("/>
              <m:endChr m:val=")"/>
              <m:sepChr m:val=""/>
              <m:grow/>
            </m:dPr>
            <m:e>
              <m:r>
                <m:t>1</m:t>
              </m:r>
              <m:r>
                <m:rPr>
                  <m:sty m:val="p"/>
                </m:rPr>
                <m:t>−</m:t>
              </m:r>
              <m:f>
                <m:fPr>
                  <m:type m:val="bar"/>
                </m:fPr>
                <m:num>
                  <m:r>
                    <m:t>30</m:t>
                  </m:r>
                </m:num>
                <m:den>
                  <m:r>
                    <m:t>30</m:t>
                  </m:r>
                </m:den>
              </m:f>
              <m:r>
                <m:rPr>
                  <m:sty m:val="p"/>
                </m:rPr>
                <m:t>×</m:t>
              </m:r>
              <m:r>
                <m:t>0</m:t>
              </m:r>
              <m:r>
                <m:rPr>
                  <m:sty m:val="p"/>
                </m:rPr>
                <m:t>,</m:t>
              </m:r>
              <m:r>
                <m:t>30</m:t>
              </m:r>
            </m:e>
          </m:d>
          <m:r>
            <m:rPr>
              <m:sty m:val="p"/>
            </m:rPr>
            <m:t>=</m:t>
          </m:r>
          <m:r>
            <m:t>1</m:t>
          </m:r>
          <m:r>
            <m:rPr>
              <m:sty m:val="p"/>
            </m:rPr>
            <m:t>,</m:t>
          </m:r>
          <m:r>
            <m:t>15</m:t>
          </m:r>
          <m:r>
            <m:rPr>
              <m:sty m:val="p"/>
            </m:rPr>
            <m:t>×</m:t>
          </m:r>
          <m:r>
            <m:t>0</m:t>
          </m:r>
          <m:r>
            <m:rPr>
              <m:sty m:val="p"/>
            </m:rPr>
            <m:t>,</m:t>
          </m:r>
          <m:r>
            <m:t>70</m:t>
          </m:r>
          <m:r>
            <m:rPr>
              <m:sty m:val="p"/>
            </m:rPr>
            <m:t>=</m:t>
          </m:r>
          <m:r>
            <m:t>0</m:t>
          </m:r>
          <m:r>
            <m:rPr>
              <m:sty m:val="p"/>
            </m:rPr>
            <m:t>,</m:t>
          </m:r>
          <m:r>
            <m:t>805</m:t>
          </m:r>
        </m:oMath>
      </m:oMathPara>
    </w:p>
    <w:p>
      <w:pPr>
        <w:pStyle w:val="FirstParagraph"/>
      </w:pPr>
      <m:oMathPara>
        <m:oMathParaPr>
          <m:jc m:val="center"/>
        </m:oMathParaPr>
        <m:oMath>
          <m:sSub>
            <m:e>
              <m:r>
                <m:t>N</m:t>
              </m:r>
            </m:e>
            <m:sub>
              <m:r>
                <m:rPr>
                  <m:nor/>
                  <m:sty m:val="p"/>
                </m:rPr>
                <m:t>Pb, réel</m:t>
              </m:r>
            </m:sub>
          </m:sSub>
          <m:r>
            <m:rPr>
              <m:sty m:val="p"/>
            </m:rPr>
            <m:t>=</m:t>
          </m:r>
          <m:f>
            <m:fPr>
              <m:type m:val="bar"/>
            </m:fPr>
            <m:num>
              <m:r>
                <m:t>1</m:t>
              </m:r>
              <m:r>
                <m:t> </m:t>
              </m:r>
              <m:r>
                <m:t>323</m:t>
              </m:r>
            </m:num>
            <m:den>
              <m:r>
                <m:t>0</m:t>
              </m:r>
              <m:r>
                <m:rPr>
                  <m:sty m:val="p"/>
                </m:rPr>
                <m:t>,</m:t>
              </m:r>
              <m:r>
                <m:t>805</m:t>
              </m:r>
            </m:den>
          </m:f>
          <m:r>
            <m:rPr>
              <m:sty m:val="p"/>
            </m:rPr>
            <m:t>≈</m:t>
          </m:r>
          <m:r>
            <m:t>1</m:t>
          </m:r>
          <m:r>
            <m:t> </m:t>
          </m:r>
          <m:r>
            <m:t>643</m:t>
          </m:r>
          <m:r>
            <m:rPr>
              <m:nor/>
              <m:sty m:val="p"/>
            </m:rPr>
            <m:t> cycles</m:t>
          </m:r>
          <m:r>
            <m:rPr>
              <m:sty m:val="p"/>
            </m:rPr>
            <m:t>≈</m:t>
          </m:r>
          <m:r>
            <m:t>4</m:t>
          </m:r>
          <m:r>
            <m:rPr>
              <m:sty m:val="p"/>
            </m:rPr>
            <m:t>,</m:t>
          </m:r>
          <m:r>
            <m:t>5</m:t>
          </m:r>
          <m:r>
            <m:rPr>
              <m:nor/>
              <m:sty m:val="p"/>
            </m:rPr>
            <m:t> ans</m:t>
          </m:r>
        </m:oMath>
      </m:oMathPara>
    </w:p>
    <w:p>
      <w:pPr>
        <w:pStyle w:val="aa"/>
      </w:pPr>
      <w:r>
        <w:t xml:space="preserve">Sans le terme de sulfatation, on aurait prédit 3,6 ans. Avec sulfatation mais sans égalisation fréquente, on tombe à 3,2 ans. Le modèle montre que l’égalisation est un levier puissant.</w:t>
      </w:r>
    </w:p>
    <w:p>
      <w:r>
        <w:pict>
          <v:rect style="width:0;height:1.5pt" o:hralign="center" o:hrstd="t" o:hr="t"/>
        </w:pict>
      </w:r>
    </w:p>
    <w:bookmarkEnd w:id="55"/>
    <w:bookmarkEnd w:id="56"/>
    <w:bookmarkStart w:id="61" w:name="comparatif-tco-sur-15-ans"/>
    <w:p>
      <w:pPr>
        <w:pStyle w:val="2"/>
      </w:pPr>
      <w:r>
        <w:t xml:space="preserve">2. Comparatif TCO sur 15 ans</w:t>
      </w:r>
    </w:p>
    <w:bookmarkStart w:id="57" w:name="méthodologie"/>
    <w:p>
      <w:pPr>
        <w:pStyle w:val="3"/>
      </w:pPr>
      <w:r>
        <w:t xml:space="preserve">2.1 Méthodologie</w:t>
      </w:r>
    </w:p>
    <w:p>
      <w:pPr>
        <w:pStyle w:val="FirstParagraph"/>
      </w:pPr>
      <w:r>
        <w:t xml:space="preserve">Le TCO (Total Cost of Ownership) intègre 4 postes :</w:t>
      </w:r>
    </w:p>
    <w:tbl>
      <w:tblPr>
        <w:tblStyle w:val="Table"/>
        <w:tblW w:type="pct" w:w="5000"/>
        <w:jc w:val="left"/>
        <w:tblLayout w:type="fixed"/>
        <w:tblLook w:firstRow="1" w:lastRow="0" w:firstColumn="0" w:lastColumn="0" w:noHBand="0" w:noVBand="0" w:val="0020"/>
      </w:tblPr>
      <w:tblGrid>
        <w:gridCol w:w="2410"/>
        <w:gridCol w:w="2410"/>
        <w:gridCol w:w="3099"/>
      </w:tblGrid>
      <w:tr>
        <w:trPr>
          <w:tblHeader w:val="on"/>
        </w:trPr>
        <w:tc>
          <w:tcPr/>
          <w:p>
            <w:pPr>
              <w:pStyle w:val="Compact"/>
              <w:jc w:val="left"/>
            </w:pPr>
            <w:r>
              <w:t xml:space="preserve">Poste</w:t>
            </w:r>
          </w:p>
        </w:tc>
        <w:tc>
          <w:tcPr/>
          <w:p>
            <w:pPr>
              <w:pStyle w:val="Compact"/>
              <w:jc w:val="left"/>
            </w:pPr>
            <w:r>
              <w:t xml:space="preserve">Plomb</w:t>
            </w:r>
          </w:p>
        </w:tc>
        <w:tc>
          <w:tcPr/>
          <w:p>
            <w:pPr>
              <w:pStyle w:val="Compact"/>
              <w:jc w:val="left"/>
            </w:pPr>
            <w:r>
              <w:t xml:space="preserve">Lithium</w:t>
            </w:r>
          </w:p>
        </w:tc>
      </w:tr>
      <w:tr>
        <w:tc>
          <w:tcPr/>
          <w:p>
            <w:pPr>
              <w:pStyle w:val="Compact"/>
              <w:jc w:val="left"/>
            </w:pPr>
            <w:r>
              <w:rPr>
                <w:b/>
                <w:bCs/>
              </w:rPr>
              <w:t xml:space="preserve">Investissement initial</w:t>
            </w:r>
          </w:p>
        </w:tc>
        <w:tc>
          <w:tcPr/>
          <w:p>
            <w:pPr>
              <w:pStyle w:val="Compact"/>
              <w:jc w:val="left"/>
            </w:pPr>
            <m:oMath>
              <m:sSub>
                <m:e>
                  <m:r>
                    <m:t>E</m:t>
                  </m:r>
                </m:e>
                <m:sub>
                  <m:r>
                    <m:rPr>
                      <m:nor/>
                      <m:sty m:val="p"/>
                    </m:rPr>
                    <m:t>stock</m:t>
                  </m:r>
                </m:sub>
              </m:sSub>
              <m:r>
                <m:rPr>
                  <m:sty m:val="p"/>
                </m:rPr>
                <m:t>×</m:t>
              </m:r>
              <m:r>
                <m:rPr>
                  <m:nor/>
                  <m:sty m:val="p"/>
                </m:rPr>
                <m:t>€/kWh</m:t>
              </m:r>
            </m:oMath>
          </w:p>
        </w:tc>
        <w:tc>
          <w:tcPr/>
          <w:p>
            <w:pPr>
              <w:pStyle w:val="Compact"/>
              <w:jc w:val="left"/>
            </w:pPr>
            <m:oMath>
              <m:sSub>
                <m:e>
                  <m:r>
                    <m:t>E</m:t>
                  </m:r>
                </m:e>
                <m:sub>
                  <m:r>
                    <m:rPr>
                      <m:nor/>
                      <m:sty m:val="p"/>
                    </m:rPr>
                    <m:t>stock</m:t>
                  </m:r>
                </m:sub>
              </m:sSub>
              <m:r>
                <m:rPr>
                  <m:sty m:val="p"/>
                </m:rPr>
                <m:t>×</m:t>
              </m:r>
              <m:r>
                <m:rPr>
                  <m:nor/>
                  <m:sty m:val="p"/>
                </m:rPr>
                <m:t>€/kWh</m:t>
              </m:r>
            </m:oMath>
          </w:p>
        </w:tc>
      </w:tr>
      <w:tr>
        <w:tc>
          <w:tcPr/>
          <w:p>
            <w:pPr>
              <w:pStyle w:val="Compact"/>
              <w:jc w:val="left"/>
            </w:pPr>
            <w:r>
              <w:rPr>
                <w:b/>
                <w:bCs/>
              </w:rPr>
              <w:t xml:space="preserve">Surdimensionnement PV</w:t>
            </w:r>
          </w:p>
        </w:tc>
        <w:tc>
          <w:tcPr/>
          <w:p>
            <w:pPr>
              <w:pStyle w:val="Compact"/>
              <w:jc w:val="left"/>
            </w:pPr>
            <m:oMath>
              <m:sSub>
                <m:e>
                  <m:r>
                    <m:t>E</m:t>
                  </m:r>
                </m:e>
                <m:sub>
                  <m:r>
                    <m:rPr>
                      <m:nor/>
                      <m:sty m:val="p"/>
                    </m:rPr>
                    <m:t>stock</m:t>
                  </m:r>
                </m:sub>
              </m:sSub>
              <m:r>
                <m:rPr>
                  <m:sty m:val="p"/>
                </m:rPr>
                <m:t>×</m:t>
              </m:r>
              <m:d>
                <m:dPr>
                  <m:begChr m:val="("/>
                  <m:endChr m:val=")"/>
                  <m:sepChr m:val=""/>
                  <m:grow/>
                </m:dPr>
                <m:e>
                  <m:f>
                    <m:fPr>
                      <m:type m:val="bar"/>
                    </m:fPr>
                    <m:num>
                      <m:r>
                        <m:t>1</m:t>
                      </m:r>
                    </m:num>
                    <m:den>
                      <m:sSub>
                        <m:e>
                          <m:r>
                            <m:t>η</m:t>
                          </m:r>
                        </m:e>
                        <m:sub>
                          <m:r>
                            <m:rPr>
                              <m:nor/>
                              <m:sty m:val="p"/>
                            </m:rPr>
                            <m:t>Pb</m:t>
                          </m:r>
                        </m:sub>
                      </m:sSub>
                    </m:den>
                  </m:f>
                  <m:r>
                    <m:rPr>
                      <m:sty m:val="p"/>
                    </m:rPr>
                    <m:t>−</m:t>
                  </m:r>
                  <m:r>
                    <m:t>1</m:t>
                  </m:r>
                </m:e>
              </m:d>
              <m:r>
                <m:rPr>
                  <m:sty m:val="p"/>
                </m:rPr>
                <m:t>×</m:t>
              </m:r>
              <m:sSub>
                <m:e>
                  <m:r>
                    <m:rPr>
                      <m:nor/>
                      <m:sty m:val="p"/>
                    </m:rPr>
                    <m:t>€/kWh</m:t>
                  </m:r>
                </m:e>
                <m:sub>
                  <m:r>
                    <m:rPr>
                      <m:nor/>
                      <m:sty m:val="p"/>
                    </m:rPr>
                    <m:t>PV</m:t>
                  </m:r>
                </m:sub>
              </m:sSub>
            </m:oMath>
          </w:p>
        </w:tc>
        <w:tc>
          <w:tcPr/>
          <w:p>
            <w:pPr>
              <w:pStyle w:val="Compact"/>
              <w:jc w:val="left"/>
            </w:pPr>
            <w:r>
              <w:t xml:space="preserve">Même formule avec</w:t>
            </w:r>
            <w:r>
              <w:t xml:space="preserve"> </w:t>
            </w:r>
            <m:oMath>
              <m:sSub>
                <m:e>
                  <m:r>
                    <m:t>η</m:t>
                  </m:r>
                </m:e>
                <m:sub>
                  <m:r>
                    <m:rPr>
                      <m:nor/>
                      <m:sty m:val="p"/>
                    </m:rPr>
                    <m:t>Li</m:t>
                  </m:r>
                </m:sub>
              </m:sSub>
            </m:oMath>
          </w:p>
        </w:tc>
      </w:tr>
      <w:tr>
        <w:tc>
          <w:tcPr/>
          <w:p>
            <w:pPr>
              <w:pStyle w:val="Compact"/>
              <w:jc w:val="left"/>
            </w:pPr>
            <w:r>
              <w:rPr>
                <w:b/>
                <w:bCs/>
              </w:rPr>
              <w:t xml:space="preserve">Entretien</w:t>
            </w:r>
          </w:p>
        </w:tc>
        <w:tc>
          <w:tcPr/>
          <w:p>
            <w:pPr>
              <w:pStyle w:val="Compact"/>
              <w:jc w:val="left"/>
            </w:pPr>
            <w:r>
              <w:t xml:space="preserve">Annuel × 15</w:t>
            </w:r>
          </w:p>
        </w:tc>
        <w:tc>
          <w:tcPr/>
          <w:p>
            <w:pPr>
              <w:pStyle w:val="Compact"/>
              <w:jc w:val="left"/>
            </w:pPr>
            <w:r>
              <w:t xml:space="preserve">Négligeable</w:t>
            </w:r>
          </w:p>
        </w:tc>
      </w:tr>
      <w:tr>
        <w:tc>
          <w:tcPr/>
          <w:p>
            <w:pPr>
              <w:pStyle w:val="Compact"/>
              <w:jc w:val="left"/>
            </w:pPr>
            <w:r>
              <w:rPr>
                <w:b/>
                <w:bCs/>
              </w:rPr>
              <w:t xml:space="preserve">Remplacements</w:t>
            </w:r>
          </w:p>
        </w:tc>
        <w:tc>
          <w:tcPr/>
          <w:p>
            <w:pPr>
              <w:pStyle w:val="Compact"/>
              <w:jc w:val="left"/>
            </w:pPr>
            <m:oMath>
              <m:d>
                <m:dPr>
                  <m:begChr m:val="⌈"/>
                  <m:endChr m:val="⌉"/>
                  <m:sepChr m:val=""/>
                  <m:grow/>
                </m:dPr>
                <m:e>
                  <m:f>
                    <m:fPr>
                      <m:type m:val="bar"/>
                    </m:fPr>
                    <m:num>
                      <m:r>
                        <m:t>15</m:t>
                      </m:r>
                    </m:num>
                    <m:den>
                      <m:r>
                        <m:rPr>
                          <m:nor/>
                          <m:sty m:val="p"/>
                        </m:rPr>
                        <m:t>vie</m:t>
                      </m:r>
                    </m:den>
                  </m:f>
                </m:e>
              </m:d>
              <m:r>
                <m:rPr>
                  <m:sty m:val="p"/>
                </m:rPr>
                <m:t>−</m:t>
              </m:r>
              <m:r>
                <m:t>1</m:t>
              </m:r>
            </m:oMath>
            <w:r>
              <w:t xml:space="preserve"> </w:t>
            </w:r>
            <w:r>
              <w:t xml:space="preserve">× investissement initial</w:t>
            </w:r>
          </w:p>
        </w:tc>
        <w:tc>
          <w:tcPr/>
          <w:p>
            <w:pPr>
              <w:pStyle w:val="Compact"/>
              <w:jc w:val="left"/>
            </w:pPr>
            <w:r>
              <w:t xml:space="preserve">Même formule</w:t>
            </w:r>
          </w:p>
        </w:tc>
      </w:tr>
    </w:tbl>
    <w:bookmarkEnd w:id="57"/>
    <w:bookmarkStart w:id="58" w:name="impact-du-rendement-énergétique"/>
    <w:p>
      <w:pPr>
        <w:pStyle w:val="3"/>
      </w:pPr>
      <w:r>
        <w:t xml:space="preserve">2.2 Impact du rendement énergétique</w:t>
      </w:r>
    </w:p>
    <w:p>
      <w:pPr>
        <w:pStyle w:val="FirstParagraph"/>
      </w:pPr>
      <w:r>
        <w:t xml:space="preserve">Le rendement du plomb (~70 %) signifie que pour chaque kWh stocké et restitué, il faut</w:t>
      </w:r>
      <w:r>
        <w:t xml:space="preserve"> </w:t>
      </w:r>
      <w:r>
        <w:rPr>
          <w:b/>
          <w:bCs/>
        </w:rPr>
        <w:t xml:space="preserve">1,43 kWh en entrée</w:t>
      </w:r>
      <w:r>
        <w:t xml:space="preserve">. Le lithium (~93 %) ne demande que</w:t>
      </w:r>
      <w:r>
        <w:t xml:space="preserve"> </w:t>
      </w:r>
      <w:r>
        <w:rPr>
          <w:b/>
          <w:bCs/>
        </w:rPr>
        <w:t xml:space="preserve">1,08 kWh</w:t>
      </w:r>
      <w:r>
        <w:t xml:space="preserve">. Sur 15 ans, cette différence se traduit par :</w:t>
      </w:r>
    </w:p>
    <w:p>
      <w:pPr>
        <w:pStyle w:val="Compact"/>
        <w:numPr>
          <w:ilvl w:val="0"/>
          <w:numId w:val="1010"/>
        </w:numPr>
      </w:pPr>
      <w:r>
        <w:rPr>
          <w:b/>
          <w:bCs/>
        </w:rPr>
        <w:t xml:space="preserve">Plus de panneaux PV</w:t>
      </w:r>
      <w:r>
        <w:t xml:space="preserve"> </w:t>
      </w:r>
      <w:r>
        <w:t xml:space="preserve">à installer</w:t>
      </w:r>
    </w:p>
    <w:p>
      <w:pPr>
        <w:pStyle w:val="Compact"/>
        <w:numPr>
          <w:ilvl w:val="0"/>
          <w:numId w:val="1010"/>
        </w:numPr>
      </w:pPr>
      <w:r>
        <w:rPr>
          <w:b/>
          <w:bCs/>
        </w:rPr>
        <w:t xml:space="preserve">Plus de pertes thermiques</w:t>
      </w:r>
      <w:r>
        <w:t xml:space="preserve"> </w:t>
      </w:r>
      <w:r>
        <w:t xml:space="preserve">dans les convertisseurs</w:t>
      </w:r>
    </w:p>
    <w:p>
      <w:pPr>
        <w:pStyle w:val="Compact"/>
        <w:numPr>
          <w:ilvl w:val="0"/>
          <w:numId w:val="1010"/>
        </w:numPr>
      </w:pPr>
      <w:r>
        <w:rPr>
          <w:b/>
          <w:bCs/>
        </w:rPr>
        <w:t xml:space="preserve">Plus d’usure</w:t>
      </w:r>
      <w:r>
        <w:t xml:space="preserve"> </w:t>
      </w:r>
      <w:r>
        <w:t xml:space="preserve">sur le reste du système</w:t>
      </w:r>
    </w:p>
    <w:bookmarkEnd w:id="58"/>
    <w:bookmarkStart w:id="59" w:name="X4cabd5c3e49f1c431662effb54455eada05d74d"/>
    <w:p>
      <w:pPr>
        <w:pStyle w:val="3"/>
      </w:pPr>
      <w:r>
        <w:t xml:space="preserve">2.3 Scénario type (installation 5 kWh/jour, 3 jours autonomie, 25 °C)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Poste</w:t>
            </w:r>
          </w:p>
        </w:tc>
        <w:tc>
          <w:tcPr/>
          <w:p>
            <w:pPr>
              <w:pStyle w:val="Compact"/>
              <w:jc w:val="left"/>
            </w:pPr>
            <w:r>
              <w:t xml:space="preserve">Plomb (150 €/kWh)</w:t>
            </w:r>
          </w:p>
        </w:tc>
        <w:tc>
          <w:tcPr/>
          <w:p>
            <w:pPr>
              <w:pStyle w:val="Compact"/>
              <w:jc w:val="left"/>
            </w:pPr>
            <w:r>
              <w:t xml:space="preserve">Lithium (350 €/kWh)</w:t>
            </w:r>
          </w:p>
        </w:tc>
      </w:tr>
      <w:tr>
        <w:tc>
          <w:tcPr/>
          <w:p>
            <w:pPr>
              <w:pStyle w:val="Compact"/>
              <w:jc w:val="left"/>
            </w:pPr>
            <w:r>
              <w:t xml:space="preserve">Capacité installée</w:t>
            </w:r>
          </w:p>
        </w:tc>
        <w:tc>
          <w:tcPr/>
          <w:p>
            <w:pPr>
              <w:pStyle w:val="Compact"/>
              <w:jc w:val="left"/>
            </w:pPr>
            <w:r>
              <w:t xml:space="preserve">30 kWh</w:t>
            </w:r>
          </w:p>
        </w:tc>
        <w:tc>
          <w:tcPr/>
          <w:p>
            <w:pPr>
              <w:pStyle w:val="Compact"/>
              <w:jc w:val="left"/>
            </w:pPr>
            <w:r>
              <w:t xml:space="preserve">18,8 kWh</w:t>
            </w:r>
          </w:p>
        </w:tc>
      </w:tr>
      <w:tr>
        <w:tc>
          <w:tcPr/>
          <w:p>
            <w:pPr>
              <w:pStyle w:val="Compact"/>
              <w:jc w:val="left"/>
            </w:pPr>
            <w:r>
              <w:t xml:space="preserve">Investissement initial</w:t>
            </w:r>
          </w:p>
        </w:tc>
        <w:tc>
          <w:tcPr/>
          <w:p>
            <w:pPr>
              <w:pStyle w:val="Compact"/>
              <w:jc w:val="left"/>
            </w:pPr>
            <w:r>
              <w:t xml:space="preserve">4 500 €</w:t>
            </w:r>
          </w:p>
        </w:tc>
        <w:tc>
          <w:tcPr/>
          <w:p>
            <w:pPr>
              <w:pStyle w:val="Compact"/>
              <w:jc w:val="left"/>
            </w:pPr>
            <w:r>
              <w:t xml:space="preserve">6 563 €</w:t>
            </w:r>
          </w:p>
        </w:tc>
      </w:tr>
      <w:tr>
        <w:tc>
          <w:tcPr/>
          <w:p>
            <w:pPr>
              <w:pStyle w:val="Compact"/>
              <w:jc w:val="left"/>
            </w:pPr>
            <w:r>
              <w:t xml:space="preserve">Surdimensionnement PV</w:t>
            </w:r>
          </w:p>
        </w:tc>
        <w:tc>
          <w:tcPr/>
          <w:p>
            <w:pPr>
              <w:pStyle w:val="Compact"/>
              <w:jc w:val="left"/>
            </w:pPr>
            <w:r>
              <w:t xml:space="preserve">~1 500 €</w:t>
            </w:r>
          </w:p>
        </w:tc>
        <w:tc>
          <w:tcPr/>
          <w:p>
            <w:pPr>
              <w:pStyle w:val="Compact"/>
              <w:jc w:val="left"/>
            </w:pPr>
            <w:r>
              <w:t xml:space="preserve">~400 €</w:t>
            </w:r>
          </w:p>
        </w:tc>
      </w:tr>
      <w:tr>
        <w:tc>
          <w:tcPr/>
          <w:p>
            <w:pPr>
              <w:pStyle w:val="Compact"/>
              <w:jc w:val="left"/>
            </w:pPr>
            <w:r>
              <w:t xml:space="preserve">Entretien 15 ans</w:t>
            </w:r>
          </w:p>
        </w:tc>
        <w:tc>
          <w:tcPr/>
          <w:p>
            <w:pPr>
              <w:pStyle w:val="Compact"/>
              <w:jc w:val="left"/>
            </w:pPr>
            <w:r>
              <w:t xml:space="preserve">1 500 €</w:t>
            </w:r>
          </w:p>
        </w:tc>
        <w:tc>
          <w:tcPr/>
          <w:p>
            <w:pPr>
              <w:pStyle w:val="Compact"/>
              <w:jc w:val="left"/>
            </w:pPr>
            <w:r>
              <w:t xml:space="preserve">0 €</w:t>
            </w:r>
          </w:p>
        </w:tc>
      </w:tr>
      <w:tr>
        <w:tc>
          <w:tcPr/>
          <w:p>
            <w:pPr>
              <w:pStyle w:val="Compact"/>
              <w:jc w:val="left"/>
            </w:pPr>
            <w:r>
              <w:t xml:space="preserve">Remplacements batteries</w:t>
            </w:r>
          </w:p>
        </w:tc>
        <w:tc>
          <w:tcPr/>
          <w:p>
            <w:pPr>
              <w:pStyle w:val="Compact"/>
              <w:jc w:val="left"/>
            </w:pPr>
            <w:r>
              <w:t xml:space="preserve">4 500 € (1×)</w:t>
            </w:r>
          </w:p>
        </w:tc>
        <w:tc>
          <w:tcPr/>
          <w:p>
            <w:pPr>
              <w:pStyle w:val="Compact"/>
              <w:jc w:val="left"/>
            </w:pPr>
            <w:r>
              <w:t xml:space="preserve">0 €</w:t>
            </w:r>
          </w:p>
        </w:tc>
      </w:tr>
      <w:tr>
        <w:tc>
          <w:tcPr/>
          <w:p>
            <w:pPr>
              <w:pStyle w:val="Compact"/>
              <w:jc w:val="left"/>
            </w:pPr>
            <w:r>
              <w:rPr>
                <w:b/>
                <w:bCs/>
              </w:rPr>
              <w:t xml:space="preserve">TCO 15 ans</w:t>
            </w:r>
          </w:p>
        </w:tc>
        <w:tc>
          <w:tcPr/>
          <w:p>
            <w:pPr>
              <w:pStyle w:val="Compact"/>
              <w:jc w:val="left"/>
            </w:pPr>
            <w:r>
              <w:rPr>
                <w:b/>
                <w:bCs/>
              </w:rPr>
              <w:t xml:space="preserve">~12 000 €</w:t>
            </w:r>
          </w:p>
        </w:tc>
        <w:tc>
          <w:tcPr/>
          <w:p>
            <w:pPr>
              <w:pStyle w:val="Compact"/>
              <w:jc w:val="left"/>
            </w:pPr>
            <w:r>
              <w:rPr>
                <w:b/>
                <w:bCs/>
              </w:rPr>
              <w:t xml:space="preserve">~7 000 €</w:t>
            </w:r>
          </w:p>
        </w:tc>
      </w:tr>
    </w:tbl>
    <w:p>
      <w:pPr>
        <w:pStyle w:val="aa"/>
      </w:pPr>
      <w:r>
        <w:t xml:space="preserve">Le lithium coûte</w:t>
      </w:r>
      <w:r>
        <w:t xml:space="preserve"> </w:t>
      </w:r>
      <w:r>
        <w:rPr>
          <w:b/>
          <w:bCs/>
        </w:rPr>
        <w:t xml:space="preserve">45 % moins cher</w:t>
      </w:r>
      <w:r>
        <w:t xml:space="preserve"> </w:t>
      </w:r>
      <w:r>
        <w:t xml:space="preserve">sur 15 ans malgré un prix initial supérieur, grâce à la durée de vie 3× supérieure et l’absence d’entretien.</w:t>
      </w:r>
    </w:p>
    <w:bookmarkEnd w:id="59"/>
    <w:bookmarkStart w:id="60" w:name="seuil-dinversion"/>
    <w:p>
      <w:pPr>
        <w:pStyle w:val="3"/>
      </w:pPr>
      <w:r>
        <w:t xml:space="preserve">2.4 Seuil d’inversion</w:t>
      </w:r>
    </w:p>
    <w:p>
      <w:pPr>
        <w:pStyle w:val="FirstParagraph"/>
      </w:pPr>
      <w:r>
        <w:t xml:space="preserve">Le plomb devient compétitif sur 15 ans uniquement si :</w:t>
      </w:r>
      <w:r>
        <w:t xml:space="preserve"> </w:t>
      </w:r>
      <w:r>
        <w:t xml:space="preserve">- Le coût du lithium dépasse</w:t>
      </w:r>
      <w:r>
        <w:t xml:space="preserve"> </w:t>
      </w:r>
      <w:r>
        <w:rPr>
          <w:b/>
          <w:bCs/>
        </w:rPr>
        <w:t xml:space="preserve">550 €/kWh installé</w:t>
      </w:r>
      <w:r>
        <w:t xml:space="preserve">,</w:t>
      </w:r>
      <w:r>
        <w:t xml:space="preserve"> </w:t>
      </w:r>
      <w:r>
        <w:rPr>
          <w:b/>
          <w:bCs/>
        </w:rPr>
        <w:t xml:space="preserve">OU</w:t>
      </w:r>
      <w:r>
        <w:t xml:space="preserve"> </w:t>
      </w:r>
      <w:r>
        <w:t xml:space="preserve">- La température reste sous</w:t>
      </w:r>
      <w:r>
        <w:t xml:space="preserve"> </w:t>
      </w:r>
      <w:r>
        <w:rPr>
          <w:b/>
          <w:bCs/>
        </w:rPr>
        <w:t xml:space="preserve">20 °C</w:t>
      </w:r>
      <w:r>
        <w:t xml:space="preserve"> </w:t>
      </w:r>
      <w:r>
        <w:t xml:space="preserve">(pas de pénalité thermique),</w:t>
      </w:r>
      <w:r>
        <w:t xml:space="preserve"> </w:t>
      </w:r>
      <w:r>
        <w:rPr>
          <w:b/>
          <w:bCs/>
        </w:rPr>
        <w:t xml:space="preserve">OU</w:t>
      </w:r>
      <w:r>
        <w:t xml:space="preserve"> </w:t>
      </w:r>
      <w:r>
        <w:t xml:space="preserve">- La durée de vie visée est</w:t>
      </w:r>
      <w:r>
        <w:t xml:space="preserve"> </w:t>
      </w:r>
      <w:r>
        <w:rPr>
          <w:b/>
          <w:bCs/>
        </w:rPr>
        <w:t xml:space="preserve">&lt; 5 ans</w:t>
      </w:r>
      <w:r>
        <w:t xml:space="preserve"> </w:t>
      </w:r>
      <w:r>
        <w:t xml:space="preserve">(pas de remplacement)</w:t>
      </w:r>
    </w:p>
    <w:p>
      <w:r>
        <w:pict>
          <v:rect style="width:0;height:1.5pt" o:hralign="center" o:hrstd="t" o:hr="t"/>
        </w:pict>
      </w:r>
    </w:p>
    <w:bookmarkEnd w:id="60"/>
    <w:bookmarkEnd w:id="61"/>
    <w:bookmarkStart w:id="64" w:name="recommandations-opérationnelles"/>
    <w:p>
      <w:pPr>
        <w:pStyle w:val="2"/>
      </w:pPr>
      <w:r>
        <w:t xml:space="preserve">3. Recommandations opérationnelles</w:t>
      </w:r>
    </w:p>
    <w:bookmarkStart w:id="62" w:name="pour-le-plomb"/>
    <w:p>
      <w:pPr>
        <w:pStyle w:val="3"/>
      </w:pPr>
      <w:r>
        <w:t xml:space="preserve">Pour le plomb</w:t>
      </w:r>
    </w:p>
    <w:p>
      <w:pPr>
        <w:pStyle w:val="Compact"/>
        <w:numPr>
          <w:ilvl w:val="0"/>
          <w:numId w:val="1011"/>
        </w:numPr>
      </w:pPr>
      <w:r>
        <w:rPr>
          <w:b/>
          <w:bCs/>
        </w:rPr>
        <w:t xml:space="preserve">Limiter le DOD quotidien à 40–50 %</w:t>
      </w:r>
      <w:r>
        <w:t xml:space="preserve"> </w:t>
      </w:r>
      <w:r>
        <w:t xml:space="preserve">— chaque % au-delà coûte cher en cycles</w:t>
      </w:r>
    </w:p>
    <w:p>
      <w:pPr>
        <w:pStyle w:val="Compact"/>
        <w:numPr>
          <w:ilvl w:val="0"/>
          <w:numId w:val="1011"/>
        </w:numPr>
      </w:pPr>
      <w:r>
        <w:rPr>
          <w:b/>
          <w:bCs/>
        </w:rPr>
        <w:t xml:space="preserve">Forcer une charge complète quotidienne</w:t>
      </w:r>
      <w:r>
        <w:t xml:space="preserve"> </w:t>
      </w:r>
      <w:r>
        <w:t xml:space="preserve">— même courte, elle réinitialise le SOC</w:t>
      </w:r>
    </w:p>
    <w:p>
      <w:pPr>
        <w:pStyle w:val="Compact"/>
        <w:numPr>
          <w:ilvl w:val="0"/>
          <w:numId w:val="1011"/>
        </w:numPr>
      </w:pPr>
      <w:r>
        <w:rPr>
          <w:b/>
          <w:bCs/>
        </w:rPr>
        <w:t xml:space="preserve">Égaliser tous les 14–21 jours</w:t>
      </w:r>
      <w:r>
        <w:t xml:space="preserve"> </w:t>
      </w:r>
      <w:r>
        <w:t xml:space="preserve">— c’est le seul remède contre la stratification</w:t>
      </w:r>
    </w:p>
    <w:p>
      <w:pPr>
        <w:pStyle w:val="Compact"/>
        <w:numPr>
          <w:ilvl w:val="0"/>
          <w:numId w:val="1011"/>
        </w:numPr>
      </w:pPr>
      <w:r>
        <w:rPr>
          <w:b/>
          <w:bCs/>
        </w:rPr>
        <w:t xml:space="preserve">Surveiller la température</w:t>
      </w:r>
      <w:r>
        <w:t xml:space="preserve"> </w:t>
      </w:r>
      <w:r>
        <w:t xml:space="preserve">— un abri ventilé à l’ombre vaut un remplacement différé de 2 ans</w:t>
      </w:r>
    </w:p>
    <w:p>
      <w:pPr>
        <w:pStyle w:val="Compact"/>
        <w:numPr>
          <w:ilvl w:val="0"/>
          <w:numId w:val="1011"/>
        </w:numPr>
      </w:pPr>
      <w:r>
        <w:rPr>
          <w:b/>
          <w:bCs/>
        </w:rPr>
        <w:t xml:space="preserve">Compter en années de service IEC 61427</w:t>
      </w:r>
      <w:r>
        <w:t xml:space="preserve">, pas en cycles bruts</w:t>
      </w:r>
    </w:p>
    <w:bookmarkEnd w:id="62"/>
    <w:bookmarkStart w:id="63" w:name="pour-le-lithium"/>
    <w:p>
      <w:pPr>
        <w:pStyle w:val="3"/>
      </w:pPr>
      <w:r>
        <w:t xml:space="preserve">Pour le lithium</w:t>
      </w:r>
    </w:p>
    <w:p>
      <w:pPr>
        <w:pStyle w:val="Compact"/>
        <w:numPr>
          <w:ilvl w:val="0"/>
          <w:numId w:val="1012"/>
        </w:numPr>
      </w:pPr>
      <w:r>
        <w:rPr>
          <w:b/>
          <w:bCs/>
        </w:rPr>
        <w:t xml:space="preserve">Utiliser le DOD à 80–90 %</w:t>
      </w:r>
      <w:r>
        <w:t xml:space="preserve"> </w:t>
      </w:r>
      <w:r>
        <w:t xml:space="preserve">— la pénalité est faible et le surdimensionnement inutile</w:t>
      </w:r>
    </w:p>
    <w:p>
      <w:pPr>
        <w:pStyle w:val="Compact"/>
        <w:numPr>
          <w:ilvl w:val="0"/>
          <w:numId w:val="1012"/>
        </w:numPr>
      </w:pPr>
      <w:r>
        <w:rPr>
          <w:b/>
          <w:bCs/>
        </w:rPr>
        <w:t xml:space="preserve">Éviter les charges &gt; 45 °C</w:t>
      </w:r>
      <w:r>
        <w:t xml:space="preserve"> </w:t>
      </w:r>
      <w:r>
        <w:t xml:space="preserve">— c’est le seul vrai facteur de dégradation</w:t>
      </w:r>
    </w:p>
    <w:p>
      <w:pPr>
        <w:pStyle w:val="Compact"/>
        <w:numPr>
          <w:ilvl w:val="0"/>
          <w:numId w:val="1012"/>
        </w:numPr>
      </w:pPr>
      <w:r>
        <w:rPr>
          <w:b/>
          <w:bCs/>
        </w:rPr>
        <w:t xml:space="preserve">Pas besoin de charge complète</w:t>
      </w:r>
      <w:r>
        <w:t xml:space="preserve"> </w:t>
      </w:r>
      <w:r>
        <w:t xml:space="preserve">— le PSOC est sans danger</w:t>
      </w:r>
    </w:p>
    <w:p>
      <w:pPr>
        <w:pStyle w:val="Compact"/>
        <w:numPr>
          <w:ilvl w:val="0"/>
          <w:numId w:val="1012"/>
        </w:numPr>
      </w:pPr>
      <w:r>
        <w:rPr>
          <w:b/>
          <w:bCs/>
        </w:rPr>
        <w:t xml:space="preserve">Le BMS suffit</w:t>
      </w:r>
      <w:r>
        <w:t xml:space="preserve"> </w:t>
      </w:r>
      <w:r>
        <w:t xml:space="preserve">— pas d’entretien, pas d’égalisation</w:t>
      </w:r>
    </w:p>
    <w:p>
      <w:pPr>
        <w:pStyle w:val="FirstParagraph"/>
      </w:pPr>
      <w:r>
        <w:t xml:space="preserve">Souhaitez-vous que j’exporte ces modèles dans un</w:t>
      </w:r>
      <w:r>
        <w:t xml:space="preserve"> </w:t>
      </w:r>
      <w:r>
        <w:rPr>
          <w:b/>
          <w:bCs/>
        </w:rPr>
        <w:t xml:space="preserve">fichier Python</w:t>
      </w:r>
      <w:r>
        <w:t xml:space="preserve"> </w:t>
      </w:r>
      <w:r>
        <w:t xml:space="preserve">(pour simulation Monte Carlo avec distributions de température et de DOD), ou que je génère un</w:t>
      </w:r>
      <w:r>
        <w:t xml:space="preserve"> </w:t>
      </w:r>
      <w:r>
        <w:rPr>
          <w:b/>
          <w:bCs/>
        </w:rPr>
        <w:t xml:space="preserve">rapport PDF</w:t>
      </w:r>
      <w:r>
        <w:t xml:space="preserve"> </w:t>
      </w:r>
      <w:r>
        <w:t xml:space="preserve">avec les courbes de sensibilité ?</w:t>
      </w:r>
    </w:p>
    <w:p>
      <w:r>
        <w:pict>
          <v:rect style="width:0;height:1.5pt" o:hralign="center" o:hrstd="t" o:hr="t"/>
        </w:pict>
      </w:r>
    </w:p>
    <w:p>
      <w:pPr>
        <w:pStyle w:val="FirstParagraph"/>
      </w:pPr>
      <w:r>
        <w:rPr>
          <w:b/>
          <w:bCs/>
        </w:rPr>
        <w:t xml:space="preserve">User:</w:t>
      </w:r>
    </w:p>
    <w:p>
      <w:pPr>
        <w:pStyle w:val="a0"/>
      </w:pPr>
      <w:r>
        <w:t xml:space="preserve">oui</w:t>
      </w:r>
    </w:p>
    <w:p>
      <w:r>
        <w:pict>
          <v:rect style="width:0;height:1.5pt" o:hralign="center" o:hrstd="t" o:hr="t"/>
        </w:pict>
      </w:r>
    </w:p>
    <w:p>
      <w:pPr>
        <w:pStyle w:val="FirstParagraph"/>
      </w:pPr>
      <w:r>
        <w:rPr>
          <w:b/>
          <w:bCs/>
        </w:rPr>
        <w:t xml:space="preserve">Kimi:</w:t>
      </w:r>
    </w:p>
    <w:p>
      <w:pPr>
        <w:pStyle w:val="a0"/>
      </w:pPr>
      <w:r>
        <w:t xml:space="preserve">Tous les fichiers sont prêts. Voici le récapitulatif complet de ce qui a été produit :</w:t>
      </w:r>
    </w:p>
    <w:p>
      <w:r>
        <w:pict>
          <v:rect style="width:0;height:1.5pt" o:hralign="center" o:hrstd="t" o:hr="t"/>
        </w:pict>
      </w:r>
    </w:p>
    <w:bookmarkEnd w:id="63"/>
    <w:bookmarkEnd w:id="64"/>
    <w:bookmarkStart w:id="67" w:name="X9d7768064bbe0b32f5765e9705cb8958a91e9cc"/>
    <w:p>
      <w:pPr>
        <w:pStyle w:val="2"/>
      </w:pPr>
      <w:r>
        <w:t xml:space="preserve">Résultats de la simulation Monte Carlo (n = 10 000 tirages)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Technologie</w:t>
            </w:r>
          </w:p>
        </w:tc>
        <w:tc>
          <w:tcPr/>
          <w:p>
            <w:pPr>
              <w:pStyle w:val="Compact"/>
              <w:jc w:val="left"/>
            </w:pPr>
            <w:r>
              <w:t xml:space="preserve">Moyenne</w:t>
            </w:r>
          </w:p>
        </w:tc>
        <w:tc>
          <w:tcPr/>
          <w:p>
            <w:pPr>
              <w:pStyle w:val="Compact"/>
              <w:jc w:val="left"/>
            </w:pPr>
            <w:r>
              <w:t xml:space="preserve">Médiane</w:t>
            </w:r>
          </w:p>
        </w:tc>
        <w:tc>
          <w:tcPr/>
          <w:p>
            <w:pPr>
              <w:pStyle w:val="Compact"/>
              <w:jc w:val="left"/>
            </w:pPr>
            <w:r>
              <w:t xml:space="preserve">P5</w:t>
            </w:r>
          </w:p>
        </w:tc>
        <w:tc>
          <w:tcPr/>
          <w:p>
            <w:pPr>
              <w:pStyle w:val="Compact"/>
              <w:jc w:val="left"/>
            </w:pPr>
            <w:r>
              <w:t xml:space="preserve">P95</w:t>
            </w:r>
          </w:p>
        </w:tc>
        <w:tc>
          <w:tcPr/>
          <w:p>
            <w:pPr>
              <w:pStyle w:val="Compact"/>
              <w:jc w:val="left"/>
            </w:pPr>
            <w:r>
              <w:t xml:space="preserve">Écart-type</w:t>
            </w:r>
          </w:p>
        </w:tc>
      </w:tr>
      <w:tr>
        <w:tc>
          <w:tcPr/>
          <w:p>
            <w:pPr>
              <w:pStyle w:val="Compact"/>
              <w:jc w:val="left"/>
            </w:pPr>
            <w:r>
              <w:rPr>
                <w:b/>
                <w:bCs/>
              </w:rPr>
              <w:t xml:space="preserve">Plomb-acide</w:t>
            </w:r>
          </w:p>
        </w:tc>
        <w:tc>
          <w:tcPr/>
          <w:p>
            <w:pPr>
              <w:pStyle w:val="Compact"/>
              <w:jc w:val="left"/>
            </w:pPr>
            <w:r>
              <w:t xml:space="preserve">8,5 ans</w:t>
            </w:r>
          </w:p>
        </w:tc>
        <w:tc>
          <w:tcPr/>
          <w:p>
            <w:pPr>
              <w:pStyle w:val="Compact"/>
              <w:jc w:val="left"/>
            </w:pPr>
            <w:r>
              <w:t xml:space="preserve">7,5 ans</w:t>
            </w:r>
          </w:p>
        </w:tc>
        <w:tc>
          <w:tcPr/>
          <w:p>
            <w:pPr>
              <w:pStyle w:val="Compact"/>
              <w:jc w:val="left"/>
            </w:pPr>
            <w:r>
              <w:t xml:space="preserve">3,2 ans</w:t>
            </w:r>
          </w:p>
        </w:tc>
        <w:tc>
          <w:tcPr/>
          <w:p>
            <w:pPr>
              <w:pStyle w:val="Compact"/>
              <w:jc w:val="left"/>
            </w:pPr>
            <w:r>
              <w:t xml:space="preserve">17,5 ans</w:t>
            </w:r>
          </w:p>
        </w:tc>
        <w:tc>
          <w:tcPr/>
          <w:p>
            <w:pPr>
              <w:pStyle w:val="Compact"/>
              <w:jc w:val="left"/>
            </w:pPr>
            <w:r>
              <w:t xml:space="preserve">4,77</w:t>
            </w:r>
          </w:p>
        </w:tc>
      </w:tr>
      <w:tr>
        <w:tc>
          <w:tcPr/>
          <w:p>
            <w:pPr>
              <w:pStyle w:val="Compact"/>
              <w:jc w:val="left"/>
            </w:pPr>
            <w:r>
              <w:rPr>
                <w:b/>
                <w:bCs/>
              </w:rPr>
              <w:t xml:space="preserve">LiFePO₄</w:t>
            </w:r>
          </w:p>
        </w:tc>
        <w:tc>
          <w:tcPr/>
          <w:p>
            <w:pPr>
              <w:pStyle w:val="Compact"/>
              <w:jc w:val="left"/>
            </w:pPr>
            <w:r>
              <w:t xml:space="preserve">12,9 ans</w:t>
            </w:r>
          </w:p>
        </w:tc>
        <w:tc>
          <w:tcPr/>
          <w:p>
            <w:pPr>
              <w:pStyle w:val="Compact"/>
              <w:jc w:val="left"/>
            </w:pPr>
            <w:r>
              <w:t xml:space="preserve">12,1 ans</w:t>
            </w:r>
          </w:p>
        </w:tc>
        <w:tc>
          <w:tcPr/>
          <w:p>
            <w:pPr>
              <w:pStyle w:val="Compact"/>
              <w:jc w:val="left"/>
            </w:pPr>
            <w:r>
              <w:t xml:space="preserve">6,3 ans</w:t>
            </w:r>
          </w:p>
        </w:tc>
        <w:tc>
          <w:tcPr/>
          <w:p>
            <w:pPr>
              <w:pStyle w:val="Compact"/>
              <w:jc w:val="left"/>
            </w:pPr>
            <w:r>
              <w:t xml:space="preserve">22,6 ans</w:t>
            </w:r>
          </w:p>
        </w:tc>
        <w:tc>
          <w:tcPr/>
          <w:p>
            <w:pPr>
              <w:pStyle w:val="Compact"/>
              <w:jc w:val="left"/>
            </w:pPr>
            <w:r>
              <w:t xml:space="preserve">5,10</w:t>
            </w:r>
          </w:p>
        </w:tc>
      </w:tr>
      <w:tr>
        <w:tc>
          <w:tcPr/>
          <w:p>
            <w:pPr>
              <w:pStyle w:val="Compact"/>
              <w:jc w:val="left"/>
            </w:pPr>
            <w:r>
              <w:rPr>
                <w:b/>
                <w:bCs/>
              </w:rPr>
              <w:t xml:space="preserve">NMC 532</w:t>
            </w:r>
          </w:p>
        </w:tc>
        <w:tc>
          <w:tcPr/>
          <w:p>
            <w:pPr>
              <w:pStyle w:val="Compact"/>
              <w:jc w:val="left"/>
            </w:pPr>
            <w:r>
              <w:t xml:space="preserve">6,2 ans</w:t>
            </w:r>
          </w:p>
        </w:tc>
        <w:tc>
          <w:tcPr/>
          <w:p>
            <w:pPr>
              <w:pStyle w:val="Compact"/>
              <w:jc w:val="left"/>
            </w:pPr>
            <w:r>
              <w:t xml:space="preserve">5,6 ans</w:t>
            </w:r>
          </w:p>
        </w:tc>
        <w:tc>
          <w:tcPr/>
          <w:p>
            <w:pPr>
              <w:pStyle w:val="Compact"/>
              <w:jc w:val="left"/>
            </w:pPr>
            <w:r>
              <w:t xml:space="preserve">2,6 ans</w:t>
            </w:r>
          </w:p>
        </w:tc>
        <w:tc>
          <w:tcPr/>
          <w:p>
            <w:pPr>
              <w:pStyle w:val="Compact"/>
              <w:jc w:val="left"/>
            </w:pPr>
            <w:r>
              <w:t xml:space="preserve">11,8 ans</w:t>
            </w:r>
          </w:p>
        </w:tc>
        <w:tc>
          <w:tcPr/>
          <w:p>
            <w:pPr>
              <w:pStyle w:val="Compact"/>
              <w:jc w:val="left"/>
            </w:pPr>
            <w:r>
              <w:t xml:space="preserve">2,98</w:t>
            </w:r>
          </w:p>
        </w:tc>
      </w:tr>
      <w:tr>
        <w:tc>
          <w:tcPr/>
          <w:p>
            <w:pPr>
              <w:pStyle w:val="Compact"/>
              <w:jc w:val="left"/>
            </w:pPr>
            <w:r>
              <w:rPr>
                <w:b/>
                <w:bCs/>
              </w:rPr>
              <w:t xml:space="preserve">LTO</w:t>
            </w:r>
          </w:p>
        </w:tc>
        <w:tc>
          <w:tcPr/>
          <w:p>
            <w:pPr>
              <w:pStyle w:val="Compact"/>
              <w:jc w:val="left"/>
            </w:pPr>
            <w:r>
              <w:t xml:space="preserve">38,7 ans</w:t>
            </w:r>
          </w:p>
        </w:tc>
        <w:tc>
          <w:tcPr/>
          <w:p>
            <w:pPr>
              <w:pStyle w:val="Compact"/>
              <w:jc w:val="left"/>
            </w:pPr>
            <w:r>
              <w:t xml:space="preserve">36,8 ans</w:t>
            </w:r>
          </w:p>
        </w:tc>
        <w:tc>
          <w:tcPr/>
          <w:p>
            <w:pPr>
              <w:pStyle w:val="Compact"/>
              <w:jc w:val="left"/>
            </w:pPr>
            <w:r>
              <w:t xml:space="preserve">21,2 ans</w:t>
            </w:r>
          </w:p>
        </w:tc>
        <w:tc>
          <w:tcPr/>
          <w:p>
            <w:pPr>
              <w:pStyle w:val="Compact"/>
              <w:jc w:val="left"/>
            </w:pPr>
            <w:r>
              <w:t xml:space="preserve">62,8 ans</w:t>
            </w:r>
          </w:p>
        </w:tc>
        <w:tc>
          <w:tcPr/>
          <w:p>
            <w:pPr>
              <w:pStyle w:val="Compact"/>
              <w:jc w:val="left"/>
            </w:pPr>
            <w:r>
              <w:t xml:space="preserve">12,90</w:t>
            </w:r>
          </w:p>
        </w:tc>
      </w:tr>
    </w:tbl>
    <w:bookmarkStart w:id="65" w:name="insights-clés"/>
    <w:p>
      <w:pPr>
        <w:pStyle w:val="3"/>
      </w:pPr>
      <w:r>
        <w:t xml:space="preserve">Insights clés</w:t>
      </w:r>
    </w:p>
    <w:p>
      <w:pPr>
        <w:pStyle w:val="Compact"/>
        <w:numPr>
          <w:ilvl w:val="0"/>
          <w:numId w:val="1013"/>
        </w:numPr>
      </w:pPr>
      <w:r>
        <w:rPr>
          <w:b/>
          <w:bCs/>
        </w:rPr>
        <w:t xml:space="preserve">Plomb</w:t>
      </w:r>
      <w:r>
        <w:t xml:space="preserve"> </w:t>
      </w:r>
      <w:r>
        <w:t xml:space="preserve">: distribution asymétrique à droite (queue longue) — la sulfatation pénalise fortement les cas défavorables</w:t>
      </w:r>
    </w:p>
    <w:p>
      <w:pPr>
        <w:pStyle w:val="Compact"/>
        <w:numPr>
          <w:ilvl w:val="0"/>
          <w:numId w:val="1013"/>
        </w:numPr>
      </w:pPr>
      <w:r>
        <w:rPr>
          <w:b/>
          <w:bCs/>
        </w:rPr>
        <w:t xml:space="preserve">LiFePO₄</w:t>
      </w:r>
      <w:r>
        <w:t xml:space="preserve"> </w:t>
      </w:r>
      <w:r>
        <w:t xml:space="preserve">: distribution quasi-normale, prévisible et robuste</w:t>
      </w:r>
    </w:p>
    <w:p>
      <w:pPr>
        <w:pStyle w:val="Compact"/>
        <w:numPr>
          <w:ilvl w:val="0"/>
          <w:numId w:val="1013"/>
        </w:numPr>
      </w:pPr>
      <w:r>
        <w:rPr>
          <w:b/>
          <w:bCs/>
        </w:rPr>
        <w:t xml:space="preserve">NMC</w:t>
      </w:r>
      <w:r>
        <w:t xml:space="preserve"> </w:t>
      </w:r>
      <w:r>
        <w:t xml:space="preserve">: la plus courte durée de vie, très sensible au DOD élevé</w:t>
      </w:r>
    </w:p>
    <w:p>
      <w:pPr>
        <w:pStyle w:val="Compact"/>
        <w:numPr>
          <w:ilvl w:val="0"/>
          <w:numId w:val="1013"/>
        </w:numPr>
      </w:pPr>
      <w:r>
        <w:rPr>
          <w:b/>
          <w:bCs/>
        </w:rPr>
        <w:t xml:space="preserve">LTO</w:t>
      </w:r>
      <w:r>
        <w:t xml:space="preserve"> </w:t>
      </w:r>
      <w:r>
        <w:t xml:space="preserve">: extrêmement durable mais coût initial prohibitif pour le PV résidentiel</w:t>
      </w:r>
    </w:p>
    <w:bookmarkEnd w:id="65"/>
    <w:bookmarkStart w:id="66" w:name="seuils-dinversion-tco"/>
    <w:p>
      <w:pPr>
        <w:pStyle w:val="3"/>
      </w:pPr>
      <w:r>
        <w:t xml:space="preserve">Seuils d’inversion TCO</w:t>
      </w:r>
    </w:p>
    <w:p>
      <w:pPr>
        <w:pStyle w:val="Compact"/>
        <w:numPr>
          <w:ilvl w:val="0"/>
          <w:numId w:val="1014"/>
        </w:numPr>
      </w:pPr>
      <w:r>
        <w:rPr>
          <w:b/>
          <w:bCs/>
        </w:rPr>
        <w:t xml:space="preserve">Prix lithium</w:t>
      </w:r>
      <w:r>
        <w:t xml:space="preserve"> </w:t>
      </w:r>
      <w:r>
        <w:t xml:space="preserve">: le plomb ne devient compétitif que si le lithium dépasse</w:t>
      </w:r>
      <w:r>
        <w:t xml:space="preserve"> </w:t>
      </w:r>
      <w:r>
        <w:rPr>
          <w:b/>
          <w:bCs/>
        </w:rPr>
        <w:t xml:space="preserve">800 €/kWh</w:t>
      </w:r>
      <w:r>
        <w:t xml:space="preserve"> </w:t>
      </w:r>
      <w:r>
        <w:t xml:space="preserve">installé</w:t>
      </w:r>
    </w:p>
    <w:p>
      <w:pPr>
        <w:pStyle w:val="Compact"/>
        <w:numPr>
          <w:ilvl w:val="0"/>
          <w:numId w:val="1014"/>
        </w:numPr>
      </w:pPr>
      <w:r>
        <w:rPr>
          <w:b/>
          <w:bCs/>
        </w:rPr>
        <w:t xml:space="preserve">Horizon temporel</w:t>
      </w:r>
      <w:r>
        <w:t xml:space="preserve"> </w:t>
      </w:r>
      <w:r>
        <w:t xml:space="preserve">: le lithium est avantageux dès</w:t>
      </w:r>
      <w:r>
        <w:t xml:space="preserve"> </w:t>
      </w:r>
      <w:r>
        <w:rPr>
          <w:b/>
          <w:bCs/>
        </w:rPr>
        <w:t xml:space="preserve">5 ans</w:t>
      </w:r>
      <w:r>
        <w:t xml:space="preserve"> </w:t>
      </w:r>
      <w:r>
        <w:t xml:space="preserve">et reste dominant jusqu’à 25 ans</w:t>
      </w:r>
    </w:p>
    <w:p>
      <w:r>
        <w:pict>
          <v:rect style="width:0;height:1.5pt" o:hralign="center" o:hrstd="t" o:hr="t"/>
        </w:pict>
      </w:r>
    </w:p>
    <w:bookmarkEnd w:id="66"/>
    <w:bookmarkEnd w:id="67"/>
    <w:bookmarkStart w:id="72" w:name="fichiers-téléchargeables"/>
    <w:p>
      <w:pPr>
        <w:pStyle w:val="2"/>
      </w:pPr>
      <w:r>
        <w:t xml:space="preserve">Fichiers téléchargeables</w:t>
      </w:r>
    </w:p>
    <w:p>
      <w:pPr>
        <w:pStyle w:val="FirstParagraph"/>
      </w:pPr>
      <w:r>
        <w:rPr>
          <w:b/>
          <w:bCs/>
        </w:rPr>
        <w:t xml:space="preserve">Script Python complet</w:t>
      </w:r>
      <w:r>
        <w:t xml:space="preserve"> </w:t>
      </w:r>
      <w:r>
        <w:t xml:space="preserve">(modifiable, extensible) :</w:t>
      </w:r>
      <w:r>
        <w:t xml:space="preserve"> </w:t>
      </w:r>
      <w:hyperlink r:id="rId68">
        <w:r>
          <w:rPr>
            <w:rStyle w:val="af"/>
          </w:rPr>
          <w:t xml:space="preserve">simulation_monte_carlo_batteries.py</w:t>
        </w:r>
      </w:hyperlink>
    </w:p>
    <w:p>
      <w:pPr>
        <w:pStyle w:val="a0"/>
      </w:pPr>
      <w:r>
        <w:rPr>
          <w:b/>
          <w:bCs/>
        </w:rPr>
        <w:t xml:space="preserve">Documentation normative</w:t>
      </w:r>
      <w:r>
        <w:t xml:space="preserve"> </w:t>
      </w:r>
      <w:r>
        <w:t xml:space="preserve">:</w:t>
      </w:r>
      <w:r>
        <w:t xml:space="preserve"> </w:t>
      </w:r>
      <w:hyperlink r:id="rId50">
        <w:r>
          <w:rPr>
            <w:rStyle w:val="af"/>
          </w:rPr>
          <w:t xml:space="preserve">documentation_IEC_61427.md</w:t>
        </w:r>
      </w:hyperlink>
    </w:p>
    <w:p>
      <w:pPr>
        <w:pStyle w:val="a0"/>
      </w:pPr>
      <w:r>
        <w:rPr>
          <w:b/>
          <w:bCs/>
        </w:rPr>
        <w:t xml:space="preserve">Graphiques générés</w:t>
      </w:r>
      <w:r>
        <w:t xml:space="preserve"> </w:t>
      </w:r>
      <w:r>
        <w:t xml:space="preserve">:</w:t>
      </w:r>
    </w:p>
    <w:p>
      <w:pPr>
        <w:pStyle w:val="Compact"/>
        <w:numPr>
          <w:ilvl w:val="0"/>
          <w:numId w:val="1015"/>
        </w:numPr>
      </w:pPr>
      <w:hyperlink r:id="rId69">
        <w:r>
          <w:rPr>
            <w:rStyle w:val="af"/>
          </w:rPr>
          <w:t xml:space="preserve">Histogrammes Monte Carlo — 4 technologies</w:t>
        </w:r>
      </w:hyperlink>
    </w:p>
    <w:p>
      <w:pPr>
        <w:pStyle w:val="Compact"/>
        <w:numPr>
          <w:ilvl w:val="0"/>
          <w:numId w:val="1015"/>
        </w:numPr>
      </w:pPr>
      <w:hyperlink r:id="rId70">
        <w:r>
          <w:rPr>
            <w:rStyle w:val="af"/>
          </w:rPr>
          <w:t xml:space="preserve">Courbes de sensibilité DOD &amp; température</w:t>
        </w:r>
      </w:hyperlink>
    </w:p>
    <w:p>
      <w:pPr>
        <w:pStyle w:val="Compact"/>
        <w:numPr>
          <w:ilvl w:val="0"/>
          <w:numId w:val="1015"/>
        </w:numPr>
      </w:pPr>
      <w:hyperlink r:id="rId71">
        <w:r>
          <w:rPr>
            <w:rStyle w:val="af"/>
          </w:rPr>
          <w:t xml:space="preserve">Analyse TCO — seuils d’inversion</w:t>
        </w:r>
      </w:hyperlink>
    </w:p>
    <w:p>
      <w:pPr>
        <w:pStyle w:val="FirstParagraph"/>
      </w:pPr>
      <w:r>
        <w:t xml:space="preserve">Le script Python contient les classes</w:t>
      </w:r>
      <w:r>
        <w:t xml:space="preserve"> </w:t>
      </w:r>
      <w:r>
        <w:rPr>
          <w:rStyle w:val="VerbatimChar"/>
        </w:rPr>
        <w:t xml:space="preserve">BatteryParams</w:t>
      </w:r>
      <w:r>
        <w:t xml:space="preserve">, les fonctions</w:t>
      </w:r>
      <w:r>
        <w:t xml:space="preserve"> </w:t>
      </w:r>
      <w:r>
        <w:rPr>
          <w:rStyle w:val="VerbatimChar"/>
        </w:rPr>
        <w:t xml:space="preserve">predict_lifetime_pb()</w:t>
      </w:r>
      <w:r>
        <w:t xml:space="preserve"> </w:t>
      </w:r>
      <w:r>
        <w:t xml:space="preserve">(avec terme de sulfatation),</w:t>
      </w:r>
      <w:r>
        <w:t xml:space="preserve"> </w:t>
      </w:r>
      <w:r>
        <w:rPr>
          <w:rStyle w:val="VerbatimChar"/>
        </w:rPr>
        <w:t xml:space="preserve">predict_lifetime_li()</w:t>
      </w:r>
      <w:r>
        <w:t xml:space="preserve"> </w:t>
      </w:r>
      <w:r>
        <w:t xml:space="preserve">(modèle Arrhenius),</w:t>
      </w:r>
      <w:r>
        <w:t xml:space="preserve"> </w:t>
      </w:r>
      <w:r>
        <w:rPr>
          <w:rStyle w:val="VerbatimChar"/>
        </w:rPr>
        <w:t xml:space="preserve">monte_carlo_lifetime()</w:t>
      </w:r>
      <w:r>
        <w:t xml:space="preserve"> </w:t>
      </w:r>
      <w:r>
        <w:t xml:space="preserve">et les routines de tracé. Vous pouvez l’exécuter localement pour faire varier les distributions, ajouter d’autres technologies (NaS, Redox Flow), ou intégrer des données réelles de terrain.</w:t>
      </w:r>
    </w:p>
    <w:p>
      <w:r>
        <w:pict>
          <v:rect style="width:0;height:1.5pt" o:hralign="center" o:hrstd="t" o:hr="t"/>
        </w:pict>
      </w:r>
    </w:p>
    <w:bookmarkEnd w:id="7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0" Target="sandbox:///mnt/agents/output/documentation_IEC_61427.md" TargetMode="External" /><Relationship Type="http://schemas.openxmlformats.org/officeDocument/2006/relationships/hyperlink" Id="rId69" Target="sandbox:///mnt/agents/output/monte_carlo_lifetime.png" TargetMode="External" /><Relationship Type="http://schemas.openxmlformats.org/officeDocument/2006/relationships/hyperlink" Id="rId70" Target="sandbox:///mnt/agents/output/sensitivity_curves.png" TargetMode="External" /><Relationship Type="http://schemas.openxmlformats.org/officeDocument/2006/relationships/hyperlink" Id="rId68" Target="sandbox:///mnt/agents/output/simulation_monte_carlo_batteries.py" TargetMode="External" /><Relationship Type="http://schemas.openxmlformats.org/officeDocument/2006/relationships/hyperlink" Id="rId71" Target="sandbox:///mnt/agents/output/tco_sensitivity.png" TargetMode="External" /></Relationships>
</file>

<file path=word/_rels/footnotes.xml.rels><?xml version="1.0" encoding="UTF-8"?><Relationships xmlns="http://schemas.openxmlformats.org/package/2006/relationships"><Relationship Type="http://schemas.openxmlformats.org/officeDocument/2006/relationships/hyperlink" Id="rId50" Target="sandbox:///mnt/agents/output/documentation_IEC_61427.md" TargetMode="External" /><Relationship Type="http://schemas.openxmlformats.org/officeDocument/2006/relationships/hyperlink" Id="rId69" Target="sandbox:///mnt/agents/output/monte_carlo_lifetime.png" TargetMode="External" /><Relationship Type="http://schemas.openxmlformats.org/officeDocument/2006/relationships/hyperlink" Id="rId70" Target="sandbox:///mnt/agents/output/sensitivity_curves.png" TargetMode="External" /><Relationship Type="http://schemas.openxmlformats.org/officeDocument/2006/relationships/hyperlink" Id="rId68" Target="sandbox:///mnt/agents/output/simulation_monte_carlo_batteries.py" TargetMode="External" /><Relationship Type="http://schemas.openxmlformats.org/officeDocument/2006/relationships/hyperlink" Id="rId71" Target="sandbox:///mnt/agents/output/tco_sensitivity.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2026-08-08T19:41:59Z</dcterms:created>
  <dcterms:modified xsi:type="dcterms:W3CDTF">2026-08-08T19:41:59Z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42idfcbcdrssrvtb2qg-19fe2be3-d632-8f78-8000-09d43c3f8f55-20260808194159","ReservedCode1":"","ContentPropagator":"001191110108MACG2KBH8F20000","PropagateID":"d42idfcbcdrssrvtb2qg-19fe2be3-d632-8f78-8000-09d43c3f8f55-20260808194159","ReservedCode2":""}</vt:lpwstr>
  </property>
</Properties>
</file>