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华文中宋" w:hAnsi="华文中宋" w:eastAsia="华文中宋"/>
          <w:b/>
          <w:color w:val="000000"/>
          <w:sz w:val="56"/>
        </w:rPr>
        <w:t>鸿蒙物联网综合实训室</w:t>
        <w:br/>
        <w:t>建设方案</w:t>
      </w:r>
    </w:p>
    <w:p>
      <w:pPr>
        <w:spacing w:after="640"/>
        <w:jc w:val="center"/>
      </w:pPr>
      <w:r>
        <w:rPr>
          <w:rFonts w:ascii="仿宋" w:hAnsi="仿宋" w:eastAsia="仿宋"/>
          <w:b w:val="0"/>
          <w:color w:val="000000"/>
          <w:sz w:val="30"/>
        </w:rPr>
        <w:t>面向 AIoT 项目化教学、虚实结合实训与行业场景应用</w:t>
      </w:r>
    </w:p>
    <w:p>
      <w:pPr>
        <w:spacing w:before="240" w:after="1600"/>
        <w:jc w:val="center"/>
      </w:pPr>
      <w:r>
        <w:rPr>
          <w:rFonts w:ascii="仿宋" w:hAnsi="仿宋" w:eastAsia="仿宋"/>
          <w:b w:val="0"/>
          <w:color w:val="000000"/>
          <w:sz w:val="26"/>
        </w:rPr>
        <w:t>项目名称：信息工程系物联网综合实训室建设项目</w:t>
        <w:br/>
        <w:t>建设面积：约 120 ㎡    同步容量：50 人（25 组）</w:t>
        <w:br/>
        <w:t>方案版本：V2.0    文件属性：建设解决方案</w:t>
      </w:r>
    </w:p>
    <w:p>
      <w:pPr>
        <w:jc w:val="center"/>
      </w:pPr>
      <w:r>
        <w:drawing>
          <wp:inline xmlns:a="http://schemas.openxmlformats.org/drawingml/2006/main" xmlns:pic="http://schemas.openxmlformats.org/drawingml/2006/picture">
            <wp:extent cx="3420000" cy="1641600"/>
            <wp:docPr id="1" name="Picture 1"/>
            <wp:cNvGraphicFramePr>
              <a:graphicFrameLocks noChangeAspect="1"/>
            </wp:cNvGraphicFramePr>
            <a:graphic>
              <a:graphicData uri="http://schemas.openxmlformats.org/drawingml/2006/picture">
                <pic:pic>
                  <pic:nvPicPr>
                    <pic:cNvPr id="0" name="logo_doc.png"/>
                    <pic:cNvPicPr/>
                  </pic:nvPicPr>
                  <pic:blipFill>
                    <a:blip r:embed="rId11"/>
                    <a:stretch>
                      <a:fillRect/>
                    </a:stretch>
                  </pic:blipFill>
                  <pic:spPr>
                    <a:xfrm>
                      <a:off x="0" y="0"/>
                      <a:ext cx="3420000" cy="1641600"/>
                    </a:xfrm>
                    <a:prstGeom prst="rect"/>
                  </pic:spPr>
                </pic:pic>
              </a:graphicData>
            </a:graphic>
          </wp:inline>
        </w:drawing>
      </w:r>
    </w:p>
    <w:p>
      <w:r>
        <w:br w:type="page"/>
      </w:r>
    </w:p>
    <w:p>
      <w:pPr>
        <w:pStyle w:val="Heading1"/>
        <w:spacing w:before="280" w:after="160" w:line="300" w:lineRule="auto"/>
      </w:pPr>
      <w:r>
        <w:rPr>
          <w:rFonts w:ascii="黑体" w:hAnsi="黑体" w:eastAsia="黑体"/>
          <w:b/>
          <w:color w:val="000000"/>
          <w:sz w:val="32"/>
        </w:rPr>
        <w:t>目录</w:t>
      </w:r>
    </w:p>
    <w:p>
      <w:pPr>
        <w:spacing w:before="0" w:after="80" w:line="324" w:lineRule="auto"/>
      </w:pPr>
      <w:r>
        <w:rPr>
          <w:rFonts w:ascii="仿宋" w:hAnsi="仿宋" w:eastAsia="仿宋"/>
          <w:b w:val="0"/>
          <w:color w:val="000000"/>
          <w:sz w:val="25"/>
        </w:rPr>
        <w:t>一、项目概述</w:t>
      </w:r>
    </w:p>
    <w:p>
      <w:pPr>
        <w:spacing w:before="0" w:after="80" w:line="324" w:lineRule="auto"/>
      </w:pPr>
      <w:r>
        <w:rPr>
          <w:rFonts w:ascii="仿宋" w:hAnsi="仿宋" w:eastAsia="仿宋"/>
          <w:b w:val="0"/>
          <w:color w:val="000000"/>
          <w:sz w:val="25"/>
        </w:rPr>
        <w:t>二、教学实验总体设计</w:t>
      </w:r>
    </w:p>
    <w:p>
      <w:pPr>
        <w:spacing w:before="0" w:after="80" w:line="324" w:lineRule="auto"/>
      </w:pPr>
      <w:r>
        <w:rPr>
          <w:rFonts w:ascii="仿宋" w:hAnsi="仿宋" w:eastAsia="仿宋"/>
          <w:b w:val="0"/>
          <w:color w:val="000000"/>
          <w:sz w:val="25"/>
        </w:rPr>
        <w:t>三、鸿蒙物联网综合实训室建设内容</w:t>
      </w:r>
    </w:p>
    <w:p>
      <w:pPr>
        <w:spacing w:before="0" w:after="80" w:line="324" w:lineRule="auto"/>
      </w:pPr>
      <w:r>
        <w:rPr>
          <w:rFonts w:ascii="仿宋" w:hAnsi="仿宋" w:eastAsia="仿宋"/>
          <w:b w:val="0"/>
          <w:color w:val="000000"/>
          <w:sz w:val="25"/>
        </w:rPr>
        <w:t>四、拓展应用与前瞻发展</w:t>
      </w:r>
    </w:p>
    <w:p>
      <w:pPr>
        <w:spacing w:before="0" w:after="80" w:line="324" w:lineRule="auto"/>
      </w:pPr>
      <w:r>
        <w:rPr>
          <w:rFonts w:ascii="仿宋" w:hAnsi="仿宋" w:eastAsia="仿宋"/>
          <w:b w:val="0"/>
          <w:color w:val="000000"/>
          <w:sz w:val="25"/>
        </w:rPr>
        <w:t>五、竞赛训练与能力提升展望</w:t>
      </w:r>
    </w:p>
    <w:p>
      <w:pPr>
        <w:spacing w:before="0" w:after="80" w:line="324" w:lineRule="auto"/>
      </w:pPr>
      <w:r>
        <w:rPr>
          <w:rFonts w:ascii="仿宋" w:hAnsi="仿宋" w:eastAsia="仿宋"/>
          <w:b w:val="0"/>
          <w:color w:val="000000"/>
          <w:sz w:val="25"/>
        </w:rPr>
        <w:t>六、实施计划、培训运维与验收</w:t>
      </w:r>
    </w:p>
    <w:p>
      <w:pPr>
        <w:spacing w:before="0" w:after="80" w:line="324" w:lineRule="auto"/>
      </w:pPr>
      <w:r>
        <w:rPr>
          <w:rFonts w:ascii="仿宋" w:hAnsi="仿宋" w:eastAsia="仿宋"/>
          <w:b w:val="0"/>
          <w:color w:val="000000"/>
          <w:sz w:val="25"/>
        </w:rPr>
        <w:t>七、资料依据</w:t>
      </w:r>
    </w:p>
    <w:p>
      <w:r>
        <w:br w:type="page"/>
      </w:r>
    </w:p>
    <w:p>
      <w:pPr>
        <w:pStyle w:val="Heading1"/>
        <w:spacing w:before="280" w:after="160" w:line="300" w:lineRule="auto"/>
      </w:pPr>
      <w:r>
        <w:rPr>
          <w:rFonts w:ascii="黑体" w:hAnsi="黑体" w:eastAsia="黑体"/>
          <w:b/>
          <w:color w:val="000000"/>
          <w:sz w:val="32"/>
        </w:rPr>
        <w:t>一、项目概述</w:t>
      </w:r>
    </w:p>
    <w:p>
      <w:pPr>
        <w:pStyle w:val="Heading2"/>
        <w:spacing w:before="160" w:after="100" w:line="300" w:lineRule="auto"/>
      </w:pPr>
      <w:r>
        <w:rPr>
          <w:rFonts w:ascii="黑体" w:hAnsi="黑体" w:eastAsia="黑体"/>
          <w:b/>
          <w:color w:val="000000"/>
          <w:sz w:val="28"/>
        </w:rPr>
        <w:t>1.1 建设背景</w:t>
      </w:r>
    </w:p>
    <w:p>
      <w:pPr>
        <w:spacing w:before="0" w:after="120" w:line="324" w:lineRule="auto"/>
        <w:ind w:firstLine="480"/>
      </w:pPr>
      <w:r>
        <w:rPr>
          <w:rFonts w:ascii="仿宋" w:hAnsi="仿宋" w:eastAsia="仿宋"/>
          <w:b w:val="0"/>
          <w:color w:val="000000"/>
          <w:sz w:val="24"/>
        </w:rPr>
        <w:t>信息工程系物联网综合实训室建设项目以职业教育数字化转型、现代职业教育体系建设和物联网应用技术专业人才培养为牵引，面向课程教学、实验实训、技能训练和创新项目研发等多类任务，建设一间可支撑50人同步实训的综合性实训空间。</w:t>
      </w:r>
    </w:p>
    <w:p>
      <w:pPr>
        <w:spacing w:before="0" w:after="120" w:line="324" w:lineRule="auto"/>
        <w:ind w:firstLine="480"/>
      </w:pPr>
      <w:r>
        <w:rPr>
          <w:rFonts w:ascii="仿宋" w:hAnsi="仿宋" w:eastAsia="仿宋"/>
          <w:b w:val="0"/>
          <w:color w:val="000000"/>
          <w:sz w:val="24"/>
        </w:rPr>
        <w:t>从专业建设角度看，物联网应用技术已从单一传感器采集、单片机验证，逐步发展为端侧设备开发、边缘网关集成、云端平台管理、数据分析展示和行业场景应用的完整工程链路。实训室建设应形成设备、平台、课程、项目、评价、运维一体化条件。</w:t>
      </w:r>
    </w:p>
    <w:p>
      <w:pPr>
        <w:spacing w:after="40"/>
        <w:jc w:val="center"/>
      </w:pPr>
      <w:r>
        <w:drawing>
          <wp:inline xmlns:a="http://schemas.openxmlformats.org/drawingml/2006/main" xmlns:pic="http://schemas.openxmlformats.org/drawingml/2006/picture">
            <wp:extent cx="5472000" cy="3214800"/>
            <wp:docPr id="2" name="Picture 2"/>
            <wp:cNvGraphicFramePr>
              <a:graphicFrameLocks noChangeAspect="1"/>
            </wp:cNvGraphicFramePr>
            <a:graphic>
              <a:graphicData uri="http://schemas.openxmlformats.org/drawingml/2006/picture">
                <pic:pic>
                  <pic:nvPicPr>
                    <pic:cNvPr id="0" name="01_policy_logic.png"/>
                    <pic:cNvPicPr/>
                  </pic:nvPicPr>
                  <pic:blipFill>
                    <a:blip r:embed="rId12"/>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1-1 政策、产业与专业建设逻辑图</w:t>
      </w:r>
    </w:p>
    <w:p>
      <w:pPr>
        <w:spacing w:before="40" w:after="160"/>
        <w:jc w:val="center"/>
      </w:pPr>
      <w:r>
        <w:rPr>
          <w:rFonts w:ascii="仿宋" w:hAnsi="仿宋" w:eastAsia="仿宋"/>
          <w:b w:val="0"/>
          <w:color w:val="666666"/>
          <w:sz w:val="20"/>
        </w:rPr>
        <w:t>表 1-1 项目约束与建设定位</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项目维度</w:t>
            </w:r>
          </w:p>
        </w:tc>
        <w:tc>
          <w:tcPr>
            <w:tcW w:type="dxa" w:w="289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建设口径</w:t>
            </w:r>
          </w:p>
        </w:tc>
        <w:tc>
          <w:tcPr>
            <w:tcW w:type="dxa" w:w="425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方案响应</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建设面积</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规划建设面积约120㎡</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按教师演示区、25组学生工位、网络服务器区、设备收纳区、文化展示区组织空间。</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同步容量</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可容纳50人同时练习和教学实训</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采用25组分组工位，建议2人一组，每组可开展设备接入、数据采集、平台联调和项目报告。</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建设内容</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课程教学实训平台、物联网云平台、物联网应用实训设备套件、课程资源、应用套件和耗材</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以鸿蒙物联网实验箱和AIoT教学云平台为核心，配套主控、通信、传感、RFID、执行器及行业场景。</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建设风格</w:t>
            </w:r>
          </w:p>
        </w:tc>
        <w:tc>
          <w:tcPr>
            <w:tcW w:type="dxa" w:w="289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完整、详尽、可行的实施方案</w:t>
            </w:r>
          </w:p>
        </w:tc>
        <w:tc>
          <w:tcPr>
            <w:tcW w:type="dxa" w:w="425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图文并茂呈现总体架构、空间布局、网络拓扑、设备组成、课程体系、实施进度和验收指标。</w:t>
            </w:r>
          </w:p>
        </w:tc>
      </w:tr>
    </w:tbl>
    <w:p/>
    <w:p>
      <w:pPr>
        <w:pStyle w:val="Heading2"/>
        <w:spacing w:before="160" w:after="100" w:line="300" w:lineRule="auto"/>
      </w:pPr>
      <w:r>
        <w:rPr>
          <w:rFonts w:ascii="黑体" w:hAnsi="黑体" w:eastAsia="黑体"/>
          <w:b/>
          <w:color w:val="000000"/>
          <w:sz w:val="28"/>
        </w:rPr>
        <w:t>1.2 专业背景与人才需求</w:t>
      </w:r>
    </w:p>
    <w:p>
      <w:pPr>
        <w:spacing w:before="0" w:after="120" w:line="324" w:lineRule="auto"/>
        <w:ind w:firstLine="480"/>
      </w:pPr>
      <w:r>
        <w:rPr>
          <w:rFonts w:ascii="仿宋" w:hAnsi="仿宋" w:eastAsia="仿宋"/>
          <w:b w:val="0"/>
          <w:color w:val="000000"/>
          <w:sz w:val="24"/>
        </w:rPr>
        <w:t>物联网相关岗位对学生的要求正在从会接线、会烧录、会读数，转向能接入、会建模、能联调、懂数据、会交付。建设鸿蒙物联网综合实训室，可以面向物联网设备开发、系统集成与运维、AIoT平台应用、行业场景项目实施等能力开展递进式训练。</w:t>
      </w:r>
    </w:p>
    <w:p>
      <w:pPr>
        <w:spacing w:before="40" w:after="160"/>
        <w:jc w:val="center"/>
      </w:pPr>
      <w:r>
        <w:rPr>
          <w:rFonts w:ascii="仿宋" w:hAnsi="仿宋" w:eastAsia="仿宋"/>
          <w:b w:val="0"/>
          <w:color w:val="666666"/>
          <w:sz w:val="20"/>
        </w:rPr>
        <w:t>表 1-2 鸿蒙物联网实训室知识体系</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知识模块</w:t>
            </w:r>
          </w:p>
        </w:tc>
        <w:tc>
          <w:tcPr>
            <w:tcW w:type="dxa" w:w="362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核心内容</w:t>
            </w:r>
          </w:p>
        </w:tc>
        <w:tc>
          <w:tcPr>
            <w:tcW w:type="dxa" w:w="351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对应能力</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基础理论</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传感器原理、嵌入式系统、计算机网络、数据库基础、信息安全基础</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理解设备采集、边缘处理和数据传输的基础逻辑。</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端侧开发</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OpenHarmony工程创建、GPIO/UART/I2C/SPI/ADC/PWM、STM32外设、ZigBee节点</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完成终端驱动、数据采集、设备控制和本地调试。</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通信协议</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WiFi、ZigBee、BLE、LoRa、4G、NB-IoT/Cat.1、MQTT、HTTP、Modbus</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完成多协议接入、网关汇聚和云端数据上报。</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平台应用</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设备建模、命令下发、规则联动、报警记录、数据大屏、过程评价</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完成平台侧配置、课堂任务发布、数据沉淀和实验报告。</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行业项目</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智慧农业、智慧养殖、微生物发酵、环境监测、智能家居、资产识别</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形成跨专业项目开发、展示答辩和持续迭代能力。</w:t>
            </w:r>
          </w:p>
        </w:tc>
      </w:tr>
    </w:tbl>
    <w:p/>
    <w:p>
      <w:pPr>
        <w:pStyle w:val="Heading1"/>
        <w:spacing w:before="280" w:after="160" w:line="300" w:lineRule="auto"/>
      </w:pPr>
      <w:r>
        <w:rPr>
          <w:rFonts w:ascii="黑体" w:hAnsi="黑体" w:eastAsia="黑体"/>
          <w:b/>
          <w:color w:val="000000"/>
          <w:sz w:val="32"/>
        </w:rPr>
        <w:t>二、教学实验总体设计</w:t>
      </w:r>
    </w:p>
    <w:p>
      <w:pPr>
        <w:pStyle w:val="Heading2"/>
        <w:spacing w:before="160" w:after="100" w:line="300" w:lineRule="auto"/>
      </w:pPr>
      <w:r>
        <w:rPr>
          <w:rFonts w:ascii="黑体" w:hAnsi="黑体" w:eastAsia="黑体"/>
          <w:b/>
          <w:color w:val="000000"/>
          <w:sz w:val="28"/>
        </w:rPr>
        <w:t>2.1 建设目标</w:t>
      </w:r>
    </w:p>
    <w:p>
      <w:pPr>
        <w:spacing w:before="0" w:after="120" w:line="324" w:lineRule="auto"/>
        <w:ind w:firstLine="480"/>
      </w:pPr>
      <w:r>
        <w:rPr>
          <w:rFonts w:ascii="仿宋" w:hAnsi="仿宋" w:eastAsia="仿宋"/>
          <w:b w:val="0"/>
          <w:color w:val="000000"/>
          <w:sz w:val="24"/>
        </w:rPr>
        <w:t>本项目建设目标是形成一套面向真实工程链路的鸿蒙物联网综合实训环境。实训室建成后，应能够支撑课堂演示、学生分组训练、虚拟仿真预习、真实设备联调、平台过程评价、行业场景项目和后续能力拓展。</w:t>
      </w:r>
    </w:p>
    <w:p>
      <w:pPr>
        <w:spacing w:after="40"/>
        <w:jc w:val="center"/>
      </w:pPr>
      <w:r>
        <w:drawing>
          <wp:inline xmlns:a="http://schemas.openxmlformats.org/drawingml/2006/main" xmlns:pic="http://schemas.openxmlformats.org/drawingml/2006/picture">
            <wp:extent cx="5472000" cy="3214800"/>
            <wp:docPr id="3" name="Picture 3"/>
            <wp:cNvGraphicFramePr>
              <a:graphicFrameLocks noChangeAspect="1"/>
            </wp:cNvGraphicFramePr>
            <a:graphic>
              <a:graphicData uri="http://schemas.openxmlformats.org/drawingml/2006/picture">
                <pic:pic>
                  <pic:nvPicPr>
                    <pic:cNvPr id="0" name="02_teaching_loop.png"/>
                    <pic:cNvPicPr/>
                  </pic:nvPicPr>
                  <pic:blipFill>
                    <a:blip r:embed="rId13"/>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2-1 教学做一体化闭环图</w:t>
      </w:r>
    </w:p>
    <w:p>
      <w:pPr>
        <w:spacing w:after="40"/>
        <w:jc w:val="center"/>
      </w:pPr>
      <w:r>
        <w:drawing>
          <wp:inline xmlns:a="http://schemas.openxmlformats.org/drawingml/2006/main" xmlns:pic="http://schemas.openxmlformats.org/drawingml/2006/picture">
            <wp:extent cx="5472000" cy="3214800"/>
            <wp:docPr id="4" name="Picture 4"/>
            <wp:cNvGraphicFramePr>
              <a:graphicFrameLocks noChangeAspect="1"/>
            </wp:cNvGraphicFramePr>
            <a:graphic>
              <a:graphicData uri="http://schemas.openxmlformats.org/drawingml/2006/picture">
                <pic:pic>
                  <pic:nvPicPr>
                    <pic:cNvPr id="0" name="03_ability_route.png"/>
                    <pic:cNvPicPr/>
                  </pic:nvPicPr>
                  <pic:blipFill>
                    <a:blip r:embed="rId14"/>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2-2 学生能力递进路线图</w:t>
      </w:r>
    </w:p>
    <w:p>
      <w:pPr>
        <w:spacing w:before="40" w:after="160"/>
        <w:jc w:val="center"/>
      </w:pPr>
      <w:r>
        <w:rPr>
          <w:rFonts w:ascii="仿宋" w:hAnsi="仿宋" w:eastAsia="仿宋"/>
          <w:b w:val="0"/>
          <w:color w:val="666666"/>
          <w:sz w:val="20"/>
        </w:rPr>
        <w:t>表 2-1 实训体系规划</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53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层级</w:t>
            </w:r>
          </w:p>
        </w:tc>
        <w:tc>
          <w:tcPr>
            <w:tcW w:type="dxa" w:w="391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典型内容</w:t>
            </w:r>
          </w:p>
        </w:tc>
        <w:tc>
          <w:tcPr>
            <w:tcW w:type="dxa" w:w="340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能力目标</w:t>
            </w:r>
          </w:p>
        </w:tc>
      </w:tr>
      <w:t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基础验证</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GPIO、UART、I2C、SPI、ADC、PWM、定时器、中断、OpenHarmony工程创建</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验证硬件驱动、接口调用和基础调试能力。</w:t>
            </w:r>
          </w:p>
        </w:tc>
      </w:tr>
      <w:t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模块组合</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温湿度采集、光照采集、继电器控制、ZigBee组网、WiFi联网</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完成多模块协同和数据上报。</w:t>
            </w:r>
          </w:p>
        </w:tc>
      </w:tr>
      <w:t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综合项目</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网关协议转换、MQTT主题设计、规则引擎、平台大屏、本地触控看板</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形成端、边、云、控闭环项目。</w:t>
            </w:r>
          </w:p>
        </w:tc>
      </w:tr>
      <w:tr>
        <w:tc>
          <w:tcPr>
            <w:tcW w:type="dxa" w:w="153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行业创新</w:t>
            </w:r>
          </w:p>
        </w:tc>
        <w:tc>
          <w:tcPr>
            <w:tcW w:type="dxa" w:w="391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发酵监测、智慧养殖、智慧农业、资产识别、数字孪生、AI问答</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支撑跨专业项目、毕业设计和后续训练。</w:t>
            </w:r>
          </w:p>
        </w:tc>
      </w:tr>
    </w:tbl>
    <w:p/>
    <w:p>
      <w:pPr>
        <w:pStyle w:val="Heading1"/>
        <w:spacing w:before="280" w:after="160" w:line="300" w:lineRule="auto"/>
      </w:pPr>
      <w:r>
        <w:rPr>
          <w:rFonts w:ascii="黑体" w:hAnsi="黑体" w:eastAsia="黑体"/>
          <w:b/>
          <w:color w:val="000000"/>
          <w:sz w:val="32"/>
        </w:rPr>
        <w:t>三、鸿蒙物联网综合实训室建设内容</w:t>
      </w:r>
    </w:p>
    <w:p>
      <w:pPr>
        <w:pStyle w:val="Heading2"/>
        <w:spacing w:before="160" w:after="100" w:line="300" w:lineRule="auto"/>
      </w:pPr>
      <w:r>
        <w:rPr>
          <w:rFonts w:ascii="黑体" w:hAnsi="黑体" w:eastAsia="黑体"/>
          <w:b/>
          <w:color w:val="000000"/>
          <w:sz w:val="28"/>
        </w:rPr>
        <w:t>3.1 空间与网络部署</w:t>
      </w:r>
    </w:p>
    <w:p>
      <w:pPr>
        <w:spacing w:before="0" w:after="120" w:line="324" w:lineRule="auto"/>
        <w:ind w:firstLine="480"/>
      </w:pPr>
      <w:r>
        <w:rPr>
          <w:rFonts w:ascii="仿宋" w:hAnsi="仿宋" w:eastAsia="仿宋"/>
          <w:b w:val="0"/>
          <w:color w:val="000000"/>
          <w:sz w:val="24"/>
        </w:rPr>
        <w:t>鸿蒙物联网综合实训室建议以120㎡空间为载体，设置教师演示区、25组学生实训工位、网络与服务器柜、设备收纳区和文化展示区。空间组织兼顾课堂讲授、分组实操、设备维护、成果展示与项目答辩。</w:t>
      </w:r>
    </w:p>
    <w:p>
      <w:pPr>
        <w:spacing w:after="40"/>
        <w:jc w:val="center"/>
      </w:pPr>
      <w:r>
        <w:drawing>
          <wp:inline xmlns:a="http://schemas.openxmlformats.org/drawingml/2006/main" xmlns:pic="http://schemas.openxmlformats.org/drawingml/2006/picture">
            <wp:extent cx="5472000" cy="3214800"/>
            <wp:docPr id="5" name="Picture 5"/>
            <wp:cNvGraphicFramePr>
              <a:graphicFrameLocks noChangeAspect="1"/>
            </wp:cNvGraphicFramePr>
            <a:graphic>
              <a:graphicData uri="http://schemas.openxmlformats.org/drawingml/2006/picture">
                <pic:pic>
                  <pic:nvPicPr>
                    <pic:cNvPr id="0" name="04_space_layout.png"/>
                    <pic:cNvPicPr/>
                  </pic:nvPicPr>
                  <pic:blipFill>
                    <a:blip r:embed="rId15"/>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3-1 120㎡空间布局示意图</w:t>
      </w:r>
    </w:p>
    <w:p>
      <w:pPr>
        <w:spacing w:after="40"/>
        <w:jc w:val="center"/>
      </w:pPr>
      <w:r>
        <w:drawing>
          <wp:inline xmlns:a="http://schemas.openxmlformats.org/drawingml/2006/main" xmlns:pic="http://schemas.openxmlformats.org/drawingml/2006/picture">
            <wp:extent cx="5472000" cy="3214800"/>
            <wp:docPr id="6" name="Picture 6"/>
            <wp:cNvGraphicFramePr>
              <a:graphicFrameLocks noChangeAspect="1"/>
            </wp:cNvGraphicFramePr>
            <a:graphic>
              <a:graphicData uri="http://schemas.openxmlformats.org/drawingml/2006/picture">
                <pic:pic>
                  <pic:nvPicPr>
                    <pic:cNvPr id="0" name="06_network.png"/>
                    <pic:cNvPicPr/>
                  </pic:nvPicPr>
                  <pic:blipFill>
                    <a:blip r:embed="rId16"/>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3-2 实训室网络拓扑图</w:t>
      </w:r>
    </w:p>
    <w:p>
      <w:pPr>
        <w:spacing w:before="40" w:after="160"/>
        <w:jc w:val="center"/>
      </w:pPr>
      <w:r>
        <w:rPr>
          <w:rFonts w:ascii="仿宋" w:hAnsi="仿宋" w:eastAsia="仿宋"/>
          <w:b w:val="0"/>
          <w:color w:val="666666"/>
          <w:sz w:val="20"/>
        </w:rPr>
        <w:t>表 3-1 基础设施建设内容</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建设项</w:t>
            </w:r>
          </w:p>
        </w:tc>
        <w:tc>
          <w:tcPr>
            <w:tcW w:type="dxa" w:w="374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建设内容</w:t>
            </w:r>
          </w:p>
        </w:tc>
        <w:tc>
          <w:tcPr>
            <w:tcW w:type="dxa" w:w="340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建设要求</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教师演示区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讲台、教师终端、大屏或投影、实物展示、平台管理入口</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满足教师发布任务、展示数据大屏、演示代码运行和组织答辩。</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学生工位区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25组双人工位、电脑端、实验箱、线材、低压电源、网口/无线覆盖</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支持50人同步实训，布线清晰，设备取放安全。</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网络服务器区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千兆交换机、路由器/防火墙、平台服务器或边缘计算设备、备份存储</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支持真实设备、仿真设备和平台稳定接入。</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收纳维护区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实验箱收纳、模块分类、耗材备件、充电维护、资产编号</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建立设备借还、损坏登记和备件替换流程。</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文化展示区</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专业建设展示、鸿蒙生态介绍、优秀作品、课程路径、实训安全规范</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体现物联网专业特色和实训室育人氛围。</w:t>
            </w:r>
          </w:p>
        </w:tc>
      </w:tr>
    </w:tbl>
    <w:p/>
    <w:p>
      <w:pPr>
        <w:pStyle w:val="Heading2"/>
        <w:spacing w:before="160" w:after="100" w:line="300" w:lineRule="auto"/>
      </w:pPr>
      <w:r>
        <w:rPr>
          <w:rFonts w:ascii="黑体" w:hAnsi="黑体" w:eastAsia="黑体"/>
          <w:b/>
          <w:color w:val="000000"/>
          <w:sz w:val="28"/>
        </w:rPr>
        <w:t>3.2 技术架构与设备体系</w:t>
      </w:r>
    </w:p>
    <w:p>
      <w:pPr>
        <w:spacing w:before="0" w:after="120" w:line="324" w:lineRule="auto"/>
        <w:ind w:firstLine="480"/>
      </w:pPr>
      <w:r>
        <w:rPr>
          <w:rFonts w:ascii="仿宋" w:hAnsi="仿宋" w:eastAsia="仿宋"/>
          <w:b w:val="0"/>
          <w:color w:val="000000"/>
          <w:sz w:val="24"/>
        </w:rPr>
        <w:t>核心设备以鸿蒙物联网实验箱为学生端实训终端，配套主控、通信、传感器、RFID识别、执行器开发包和AIoT教学云平台。设备体系覆盖嵌入式控制、鸿蒙开发、ZigBee无线传感网、中心网关多协议接入、环境采集、开关量输出和本地触控可视化等实验。</w:t>
      </w:r>
    </w:p>
    <w:p>
      <w:pPr>
        <w:spacing w:after="40"/>
        <w:jc w:val="center"/>
      </w:pPr>
      <w:r>
        <w:drawing>
          <wp:inline xmlns:a="http://schemas.openxmlformats.org/drawingml/2006/main" xmlns:pic="http://schemas.openxmlformats.org/drawingml/2006/picture">
            <wp:extent cx="5472000" cy="3214800"/>
            <wp:docPr id="7" name="Picture 7"/>
            <wp:cNvGraphicFramePr>
              <a:graphicFrameLocks noChangeAspect="1"/>
            </wp:cNvGraphicFramePr>
            <a:graphic>
              <a:graphicData uri="http://schemas.openxmlformats.org/drawingml/2006/picture">
                <pic:pic>
                  <pic:nvPicPr>
                    <pic:cNvPr id="0" name="05_architecture.png"/>
                    <pic:cNvPicPr/>
                  </pic:nvPicPr>
                  <pic:blipFill>
                    <a:blip r:embed="rId17"/>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3-3 端-边-云总体架构图</w:t>
      </w:r>
    </w:p>
    <w:p>
      <w:pPr>
        <w:spacing w:after="40"/>
        <w:jc w:val="center"/>
      </w:pPr>
      <w:r>
        <w:drawing>
          <wp:inline xmlns:a="http://schemas.openxmlformats.org/drawingml/2006/main" xmlns:pic="http://schemas.openxmlformats.org/drawingml/2006/picture">
            <wp:extent cx="5472000" cy="3214800"/>
            <wp:docPr id="8" name="Picture 8"/>
            <wp:cNvGraphicFramePr>
              <a:graphicFrameLocks noChangeAspect="1"/>
            </wp:cNvGraphicFramePr>
            <a:graphic>
              <a:graphicData uri="http://schemas.openxmlformats.org/drawingml/2006/picture">
                <pic:pic>
                  <pic:nvPicPr>
                    <pic:cNvPr id="0" name="07_equipment.png"/>
                    <pic:cNvPicPr/>
                  </pic:nvPicPr>
                  <pic:blipFill>
                    <a:blip r:embed="rId18"/>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3-4 核心设备组成图</w:t>
      </w:r>
    </w:p>
    <w:p>
      <w:pPr>
        <w:spacing w:before="40" w:after="160"/>
        <w:jc w:val="center"/>
      </w:pPr>
      <w:r>
        <w:rPr>
          <w:rFonts w:ascii="仿宋" w:hAnsi="仿宋" w:eastAsia="仿宋"/>
          <w:b w:val="0"/>
          <w:color w:val="666666"/>
          <w:sz w:val="20"/>
        </w:rPr>
        <w:t>表 3-2 核心设备配置表</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类别</w:t>
            </w:r>
          </w:p>
        </w:tc>
        <w:tc>
          <w:tcPr>
            <w:tcW w:type="dxa" w:w="340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主要配置</w:t>
            </w:r>
          </w:p>
        </w:tc>
        <w:tc>
          <w:tcPr>
            <w:tcW w:type="dxa" w:w="374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教学用途</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鸿蒙物联网实验箱</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通用实验平台本体、平台标配模块、电源适配器、USB连接线、配套线材和教学资源</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作为学生核心实训终端，承载鸿蒙、STM32、ZigBee、网关、传感与执行闭环实验。</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主控开发包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STM32扩展控制模块、鸿蒙扩展模块、ZigBee单片机模块、接口拓展板</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用于多控制器协同、接口扩展、程序下载、串口调试和创新项目开发。</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通信开发包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WiFi、ZigBee、4G、BLE、LoRa、NB-IoT/Cat.1等通信模块</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支撑局域网、广域网、低功耗和远距采集等多制式通信训练。</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传感器开发包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霍尔、人体红外、气体、红外对射、重量、火焰、PM2.5、土壤湿度、超声波、CO2等模块</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覆盖安防、环境、农业、仓储、气体和距离等典型感知对象。</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RFID识别开发包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HF高频、UHF超高频、NFC、条码/二维码识别模块</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面向门禁、考勤、资产盘点、仓储出入库和标签数据追踪实验。</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执行器开发包</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舵机、风扇、步进电机、LED灯光、水泵、喷雾器、窗帘执行器等</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支撑智能家居、灌溉、通风、告警和机械动作联动实验。</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AIoT教学云平台</w:t>
            </w:r>
          </w:p>
        </w:tc>
        <w:tc>
          <w:tcPr>
            <w:tcW w:type="dxa" w:w="340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B/S架构、设备接入、数据可视化、规则联动、硬件在线仿真、教学评价和AI辅助</w:t>
            </w:r>
          </w:p>
        </w:tc>
        <w:tc>
          <w:tcPr>
            <w:tcW w:type="dxa" w:w="374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作为教学组织中心、设备管理中心和数据沉淀中心。</w:t>
            </w:r>
          </w:p>
        </w:tc>
      </w:tr>
    </w:tbl>
    <w:p/>
    <w:p>
      <w:pPr>
        <w:pStyle w:val="Heading2"/>
        <w:spacing w:before="160" w:after="100" w:line="300" w:lineRule="auto"/>
      </w:pPr>
      <w:r>
        <w:rPr>
          <w:rFonts w:ascii="黑体" w:hAnsi="黑体" w:eastAsia="黑体"/>
          <w:b/>
          <w:color w:val="000000"/>
          <w:sz w:val="28"/>
        </w:rPr>
        <w:t>3.3 课程体系与实验项目</w:t>
      </w:r>
    </w:p>
    <w:p>
      <w:pPr>
        <w:spacing w:after="40"/>
        <w:jc w:val="center"/>
      </w:pPr>
      <w:r>
        <w:drawing>
          <wp:inline xmlns:a="http://schemas.openxmlformats.org/drawingml/2006/main" xmlns:pic="http://schemas.openxmlformats.org/drawingml/2006/picture">
            <wp:extent cx="5472000" cy="3214800"/>
            <wp:docPr id="9" name="Picture 9"/>
            <wp:cNvGraphicFramePr>
              <a:graphicFrameLocks noChangeAspect="1"/>
            </wp:cNvGraphicFramePr>
            <a:graphic>
              <a:graphicData uri="http://schemas.openxmlformats.org/drawingml/2006/picture">
                <pic:pic>
                  <pic:nvPicPr>
                    <pic:cNvPr id="0" name="08_course_system.png"/>
                    <pic:cNvPicPr/>
                  </pic:nvPicPr>
                  <pic:blipFill>
                    <a:blip r:embed="rId19"/>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3-5 课程体系设计图</w:t>
      </w:r>
    </w:p>
    <w:p>
      <w:pPr>
        <w:spacing w:before="40" w:after="160"/>
        <w:jc w:val="center"/>
      </w:pPr>
      <w:r>
        <w:rPr>
          <w:rFonts w:ascii="仿宋" w:hAnsi="仿宋" w:eastAsia="仿宋"/>
          <w:b w:val="0"/>
          <w:color w:val="666666"/>
          <w:sz w:val="20"/>
        </w:rPr>
        <w:t>表 3-3 课程资源配置建议</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课程模块</w:t>
            </w:r>
          </w:p>
        </w:tc>
        <w:tc>
          <w:tcPr>
            <w:tcW w:type="dxa" w:w="3969"/>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实验/项目内容</w:t>
            </w:r>
          </w:p>
        </w:tc>
        <w:tc>
          <w:tcPr>
            <w:tcW w:type="dxa" w:w="317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资源形态</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MCU与鸿蒙基础</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GPIO、UART、I2C、SPI、ADC、PWM、OpenHarmony工程创建、WiFi配网</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实验指导书、源码、接线图、运行截图、报告模板。</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无线通信与组网</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ZigBee协调器与节点、WiFi联网、BLE近场、4G/LoRa/NB-IoT数据上传</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通信案例、AT指令样例、平台配置截图、故障排查清单。</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传感与执行控制</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温湿度、光照、CO2、气体、重量、RFID、风扇、水泵、舵机、灯光联动</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模块说明、实验步骤、阈值策略、数据曲线样例。</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AIoT平台应用</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设备建模、MQTT主题、HTTP接口、Modbus接入、规则联动、报警记录、大屏配置</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平台账号、任务模板、评价量规、实验数据导出模板。</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行业综合项目</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智慧农业、智慧养殖、微生物发酵环境监测、智能家居、资产识别</w:t>
            </w:r>
          </w:p>
        </w:tc>
        <w:tc>
          <w:tcPr>
            <w:tcW w:type="dxa" w:w="317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项目任务书、答辩PPT模板、验收清单、优秀作品库。</w:t>
            </w:r>
          </w:p>
        </w:tc>
      </w:tr>
    </w:tbl>
    <w:p/>
    <w:p>
      <w:pPr>
        <w:spacing w:before="40" w:after="160"/>
        <w:jc w:val="center"/>
      </w:pPr>
      <w:r>
        <w:rPr>
          <w:rFonts w:ascii="仿宋" w:hAnsi="仿宋" w:eastAsia="仿宋"/>
          <w:b w:val="0"/>
          <w:color w:val="666666"/>
          <w:sz w:val="20"/>
        </w:rPr>
        <w:t>表 3-4 典型实验项目表</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项目类别</w:t>
            </w:r>
          </w:p>
        </w:tc>
        <w:tc>
          <w:tcPr>
            <w:tcW w:type="dxa" w:w="385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项目名称</w:t>
            </w:r>
          </w:p>
        </w:tc>
        <w:tc>
          <w:tcPr>
            <w:tcW w:type="dxa" w:w="328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项目成果</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基础实验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GPIO控制、串口通信、I2C传感器读取、PWM调光、ADC采集</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完成单点驱动、代码运行截图和实验报告。</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联网实验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WiFi配网、MQTT数据上报、HTTP接口调用、Modbus设备接入</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完成设备建模、数据上报和命令下发。</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组网实验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ZigBee协调器配置、节点入网退网、数据透传、多节点汇聚</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完成无线传感网络拓扑和网关汇聚。</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平台实验</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规则引擎、报警记录、历史曲线、项目大屏、虚拟设备接入</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完成可视化看板和平台配置文档。</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行业项目</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发酵监测、智慧养殖、智慧农业、智能家居、资产识别</w:t>
            </w:r>
          </w:p>
        </w:tc>
        <w:tc>
          <w:tcPr>
            <w:tcW w:type="dxa" w:w="328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完成需求分析、系统联调、项目展示和答辩。</w:t>
            </w:r>
          </w:p>
        </w:tc>
      </w:tr>
    </w:tbl>
    <w:p/>
    <w:p>
      <w:pPr>
        <w:pStyle w:val="Heading1"/>
        <w:spacing w:before="280" w:after="160" w:line="300" w:lineRule="auto"/>
      </w:pPr>
      <w:r>
        <w:rPr>
          <w:rFonts w:ascii="黑体" w:hAnsi="黑体" w:eastAsia="黑体"/>
          <w:b/>
          <w:color w:val="000000"/>
          <w:sz w:val="32"/>
        </w:rPr>
        <w:t>四、拓展应用与前瞻发展</w:t>
      </w:r>
    </w:p>
    <w:p>
      <w:pPr>
        <w:spacing w:before="0" w:after="120" w:line="324" w:lineRule="auto"/>
        <w:ind w:firstLine="480"/>
      </w:pPr>
      <w:r>
        <w:rPr>
          <w:rFonts w:ascii="仿宋" w:hAnsi="仿宋" w:eastAsia="仿宋"/>
          <w:b w:val="0"/>
          <w:color w:val="000000"/>
          <w:sz w:val="24"/>
        </w:rPr>
        <w:t>产教融合、科研创新和竞赛训练在本方案中定位为实训室建成后的拓展方向。通过平台接口、课程资源、项目案例和数据沉淀，后续可逐步支撑校企协同课程共建、教师教学研究、学生创新项目和行业应用样板。</w:t>
      </w:r>
    </w:p>
    <w:p>
      <w:pPr>
        <w:spacing w:after="40"/>
        <w:jc w:val="center"/>
      </w:pPr>
      <w:r>
        <w:drawing>
          <wp:inline xmlns:a="http://schemas.openxmlformats.org/drawingml/2006/main" xmlns:pic="http://schemas.openxmlformats.org/drawingml/2006/picture">
            <wp:extent cx="5472000" cy="3214800"/>
            <wp:docPr id="10" name="Picture 10"/>
            <wp:cNvGraphicFramePr>
              <a:graphicFrameLocks noChangeAspect="1"/>
            </wp:cNvGraphicFramePr>
            <a:graphic>
              <a:graphicData uri="http://schemas.openxmlformats.org/drawingml/2006/picture">
                <pic:pic>
                  <pic:nvPicPr>
                    <pic:cNvPr id="0" name="09_extension_route.png"/>
                    <pic:cNvPicPr/>
                  </pic:nvPicPr>
                  <pic:blipFill>
                    <a:blip r:embed="rId20"/>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4-1 拓展应用与前瞻发展路线图</w:t>
      </w:r>
    </w:p>
    <w:p>
      <w:pPr>
        <w:spacing w:before="40" w:after="160"/>
        <w:jc w:val="center"/>
      </w:pPr>
      <w:r>
        <w:rPr>
          <w:rFonts w:ascii="仿宋" w:hAnsi="仿宋" w:eastAsia="仿宋"/>
          <w:b w:val="0"/>
          <w:color w:val="666666"/>
          <w:sz w:val="20"/>
        </w:rPr>
        <w:t>表 4-1 前瞻拓展方向</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拓展方向</w:t>
            </w:r>
          </w:p>
        </w:tc>
        <w:tc>
          <w:tcPr>
            <w:tcW w:type="dxa" w:w="408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建议开展方式</w:t>
            </w:r>
          </w:p>
        </w:tc>
        <w:tc>
          <w:tcPr>
            <w:tcW w:type="dxa" w:w="306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预期价值</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校企协同课程共建</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围绕鸿蒙设备接入、AIoT平台运维、行业场景实施等模块共建任务书和案例库。</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使课程内容更贴近工程链路，便于后续持续更新。</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教师培训与教研</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开展平台使用、设备联调、课程组织、项目评价和故障排查培训。</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帮助教师独立完成任务发布、过程监控、报告批阅和课程迭代。</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学生创新项目</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基于开放接口和模块化设备，支持学生围绕智慧农业、养殖、发酵等场景进行项目开发。</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形成作品库、报告库、数据样例和展示素材。</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行业场景拓展</w:t>
            </w:r>
          </w:p>
        </w:tc>
        <w:tc>
          <w:tcPr>
            <w:tcW w:type="dxa" w:w="408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将环境监测、资产识别、仓储管理、智能家居等场景作为后续扩展包。</w:t>
            </w:r>
          </w:p>
        </w:tc>
        <w:tc>
          <w:tcPr>
            <w:tcW w:type="dxa" w:w="306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提升实训室跨专业服务和持续建设空间。</w:t>
            </w:r>
          </w:p>
        </w:tc>
      </w:tr>
    </w:tbl>
    <w:p/>
    <w:p>
      <w:pPr>
        <w:pStyle w:val="Heading1"/>
        <w:spacing w:before="280" w:after="160" w:line="300" w:lineRule="auto"/>
      </w:pPr>
      <w:r>
        <w:rPr>
          <w:rFonts w:ascii="黑体" w:hAnsi="黑体" w:eastAsia="黑体"/>
          <w:b/>
          <w:color w:val="000000"/>
          <w:sz w:val="32"/>
        </w:rPr>
        <w:t>五、竞赛训练与能力提升展望</w:t>
      </w:r>
    </w:p>
    <w:p>
      <w:pPr>
        <w:spacing w:before="0" w:after="120" w:line="324" w:lineRule="auto"/>
        <w:ind w:firstLine="480"/>
      </w:pPr>
      <w:r>
        <w:rPr>
          <w:rFonts w:ascii="仿宋" w:hAnsi="仿宋" w:eastAsia="仿宋"/>
          <w:b w:val="0"/>
          <w:color w:val="000000"/>
          <w:sz w:val="24"/>
        </w:rPr>
        <w:t>实训室建成后可面向物联网应用开发、嵌入式系统、人工智能应用、鸿蒙生态创新等方向预留训练条件。本方案不写现有参赛案例、相关成绩或合作院校案例，仅从课程和设备能力角度说明后续可支撑的训练方向。</w:t>
      </w:r>
    </w:p>
    <w:p>
      <w:pPr>
        <w:spacing w:after="40"/>
        <w:jc w:val="center"/>
      </w:pPr>
      <w:r>
        <w:drawing>
          <wp:inline xmlns:a="http://schemas.openxmlformats.org/drawingml/2006/main" xmlns:pic="http://schemas.openxmlformats.org/drawingml/2006/picture">
            <wp:extent cx="5472000" cy="3214800"/>
            <wp:docPr id="11" name="Picture 11"/>
            <wp:cNvGraphicFramePr>
              <a:graphicFrameLocks noChangeAspect="1"/>
            </wp:cNvGraphicFramePr>
            <a:graphic>
              <a:graphicData uri="http://schemas.openxmlformats.org/drawingml/2006/picture">
                <pic:pic>
                  <pic:nvPicPr>
                    <pic:cNvPr id="0" name="10_competition_map.png"/>
                    <pic:cNvPicPr/>
                  </pic:nvPicPr>
                  <pic:blipFill>
                    <a:blip r:embed="rId21"/>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5-1 竞赛训练能力映射图</w:t>
      </w:r>
    </w:p>
    <w:p>
      <w:pPr>
        <w:spacing w:before="40" w:after="160"/>
        <w:jc w:val="center"/>
      </w:pPr>
      <w:r>
        <w:rPr>
          <w:rFonts w:ascii="仿宋" w:hAnsi="仿宋" w:eastAsia="仿宋"/>
          <w:b w:val="0"/>
          <w:color w:val="666666"/>
          <w:sz w:val="20"/>
        </w:rPr>
        <w:t>表 5-1 竞赛训练能力映射表</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能力方向</w:t>
            </w:r>
          </w:p>
        </w:tc>
        <w:tc>
          <w:tcPr>
            <w:tcW w:type="dxa" w:w="351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可训练内容</w:t>
            </w:r>
          </w:p>
        </w:tc>
        <w:tc>
          <w:tcPr>
            <w:tcW w:type="dxa" w:w="362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实训室支撑条件</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物联网应用开发</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设备接入、协议通信、规则联动、数据看板、项目交付</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鸿蒙实验箱、通信开发包、AIoT平台、行业场景项目。</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嵌入式系统</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MCU外设、传感器驱动、串口调试、执行器控制、故障排查</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STM32模块、传感器开发包、执行器开发包、实验指导书。</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人工智能应用</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AI助教、语音/视觉接口、边缘AI探索、知识库答疑</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AIoT平台高级能力、开放接口、项目化课程资源。</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鸿蒙生态创新</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OpenHarmony轻量设备开发、WiFi配网、设备上云、鸿蒙节点联动</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鸿蒙物联网模块、DevEco开发流程、云平台联动案例。</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工程表达与答辩</w:t>
            </w:r>
          </w:p>
        </w:tc>
        <w:tc>
          <w:tcPr>
            <w:tcW w:type="dxa" w:w="351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需求分析、方案设计、联调记录、演示汇报、报告撰写</w:t>
            </w:r>
          </w:p>
        </w:tc>
        <w:tc>
          <w:tcPr>
            <w:tcW w:type="dxa" w:w="362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任务书、报告模板、过程数据、项目大屏和优秀作品库。</w:t>
            </w:r>
          </w:p>
        </w:tc>
      </w:tr>
    </w:tbl>
    <w:p/>
    <w:p>
      <w:pPr>
        <w:pStyle w:val="Heading1"/>
        <w:spacing w:before="280" w:after="160" w:line="300" w:lineRule="auto"/>
      </w:pPr>
      <w:r>
        <w:rPr>
          <w:rFonts w:ascii="黑体" w:hAnsi="黑体" w:eastAsia="黑体"/>
          <w:b/>
          <w:color w:val="000000"/>
          <w:sz w:val="32"/>
        </w:rPr>
        <w:t>六、实施计划、培训运维与验收</w:t>
      </w:r>
    </w:p>
    <w:p>
      <w:pPr>
        <w:pStyle w:val="Heading2"/>
        <w:spacing w:before="160" w:after="100" w:line="300" w:lineRule="auto"/>
      </w:pPr>
      <w:r>
        <w:rPr>
          <w:rFonts w:ascii="黑体" w:hAnsi="黑体" w:eastAsia="黑体"/>
          <w:b/>
          <w:color w:val="000000"/>
          <w:sz w:val="28"/>
        </w:rPr>
        <w:t>6.1 建设内容清单</w:t>
      </w:r>
    </w:p>
    <w:p>
      <w:pPr>
        <w:spacing w:before="40" w:after="160"/>
        <w:jc w:val="center"/>
      </w:pPr>
      <w:r>
        <w:rPr>
          <w:rFonts w:ascii="仿宋" w:hAnsi="仿宋" w:eastAsia="仿宋"/>
          <w:b w:val="0"/>
          <w:color w:val="666666"/>
          <w:sz w:val="20"/>
        </w:rPr>
        <w:t>表 6-1 建设内容清单</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79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序号</w:t>
            </w:r>
          </w:p>
        </w:tc>
        <w:tc>
          <w:tcPr>
            <w:tcW w:type="dxa" w:w="226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建设内容</w:t>
            </w:r>
          </w:p>
        </w:tc>
        <w:tc>
          <w:tcPr>
            <w:tcW w:type="dxa" w:w="283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建议配置</w:t>
            </w:r>
          </w:p>
        </w:tc>
        <w:tc>
          <w:tcPr>
            <w:tcW w:type="dxa" w:w="294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用途说明</w:t>
            </w:r>
          </w:p>
        </w:tc>
      </w:tr>
      <w:t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1</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鸿蒙物联网实验箱</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按25组学生工位配置，配套电源、线材和基础教学资源</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学生核心实训终端，支撑鸿蒙、STM32、ZigBee、网关、传感与执行实验。</w:t>
            </w:r>
          </w:p>
        </w:tc>
      </w:tr>
      <w:t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2</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主控/通信/传感/RFID/执行器开发包</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按课程需要配置到工位或共享轮换使用</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扩展实验边界，支撑多协议通信、资产识别、环境检测和执行联动。</w:t>
            </w:r>
          </w:p>
        </w:tc>
      </w:tr>
      <w:t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3</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AIoT教学云平台</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支持管理员、教师、学生角色</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承担设备接入、任务发布、数据可视化、规则联动、在线仿真和评价。</w:t>
            </w:r>
          </w:p>
        </w:tc>
      </w:tr>
      <w:t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4</w:t>
            </w:r>
          </w:p>
        </w:tc>
        <w:tc>
          <w:tcPr>
            <w:tcW w:type="dxa" w:w="2268"/>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课程教学包</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基础实验、综合项目、行业项目、源码、指导书、报告模板</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支撑课堂教学、课后练习、项目答辩和持续资源建设。</w:t>
            </w:r>
          </w:p>
        </w:tc>
      </w:tr>
      <w:t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5</w:t>
            </w:r>
          </w:p>
        </w:tc>
        <w:tc>
          <w:tcPr>
            <w:tcW w:type="dxa" w:w="2268"/>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行业场景系统</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智慧农业、智慧养殖、微生物发酵环境监测等按建设需求深化</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增强跨专业应用能力和项目化教学吸引力。</w:t>
            </w:r>
          </w:p>
        </w:tc>
      </w:tr>
      <w:t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6</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网络与基础设施</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交换机、路由器、服务器/边缘计算、收纳柜、教师演示设备</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保障平台稳定运行、设备接入和课堂展示。</w:t>
            </w:r>
          </w:p>
        </w:tc>
      </w:tr>
      <w:tr>
        <w:tc>
          <w:tcPr>
            <w:tcW w:type="dxa" w:w="79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7</w:t>
            </w:r>
          </w:p>
        </w:tc>
        <w:tc>
          <w:tcPr>
            <w:tcW w:type="dxa" w:w="226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文化建设与装修改造</w:t>
            </w:r>
          </w:p>
        </w:tc>
        <w:tc>
          <w:tcPr>
            <w:tcW w:type="dxa" w:w="283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文化墙、安全标识、布线整理、局部环境优化</w:t>
            </w:r>
          </w:p>
        </w:tc>
        <w:tc>
          <w:tcPr>
            <w:tcW w:type="dxa" w:w="294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营造物联网专业氛围并保障实训安全。</w:t>
            </w:r>
          </w:p>
        </w:tc>
      </w:tr>
    </w:tbl>
    <w:p/>
    <w:p>
      <w:pPr>
        <w:pStyle w:val="Heading2"/>
        <w:spacing w:before="160" w:after="100" w:line="300" w:lineRule="auto"/>
      </w:pPr>
      <w:r>
        <w:rPr>
          <w:rFonts w:ascii="黑体" w:hAnsi="黑体" w:eastAsia="黑体"/>
          <w:b/>
          <w:color w:val="000000"/>
          <w:sz w:val="28"/>
        </w:rPr>
        <w:t>6.2 实施进度</w:t>
      </w:r>
    </w:p>
    <w:p>
      <w:pPr>
        <w:spacing w:after="40"/>
        <w:jc w:val="center"/>
      </w:pPr>
      <w:r>
        <w:drawing>
          <wp:inline xmlns:a="http://schemas.openxmlformats.org/drawingml/2006/main" xmlns:pic="http://schemas.openxmlformats.org/drawingml/2006/picture">
            <wp:extent cx="5472000" cy="3214800"/>
            <wp:docPr id="12" name="Picture 12"/>
            <wp:cNvGraphicFramePr>
              <a:graphicFrameLocks noChangeAspect="1"/>
            </wp:cNvGraphicFramePr>
            <a:graphic>
              <a:graphicData uri="http://schemas.openxmlformats.org/drawingml/2006/picture">
                <pic:pic>
                  <pic:nvPicPr>
                    <pic:cNvPr id="0" name="11_implementation.png"/>
                    <pic:cNvPicPr/>
                  </pic:nvPicPr>
                  <pic:blipFill>
                    <a:blip r:embed="rId22"/>
                    <a:stretch>
                      <a:fillRect/>
                    </a:stretch>
                  </pic:blipFill>
                  <pic:spPr>
                    <a:xfrm>
                      <a:off x="0" y="0"/>
                      <a:ext cx="5472000" cy="3214800"/>
                    </a:xfrm>
                    <a:prstGeom prst="rect"/>
                  </pic:spPr>
                </pic:pic>
              </a:graphicData>
            </a:graphic>
          </wp:inline>
        </w:drawing>
      </w:r>
    </w:p>
    <w:p>
      <w:pPr>
        <w:spacing w:before="40" w:after="160"/>
        <w:jc w:val="center"/>
      </w:pPr>
      <w:r>
        <w:rPr>
          <w:rFonts w:ascii="仿宋" w:hAnsi="仿宋" w:eastAsia="仿宋"/>
          <w:b w:val="0"/>
          <w:color w:val="666666"/>
          <w:sz w:val="20"/>
        </w:rPr>
        <w:t>图 6-1 实施进度流程图</w:t>
      </w:r>
    </w:p>
    <w:p>
      <w:pPr>
        <w:spacing w:before="40" w:after="160"/>
        <w:jc w:val="center"/>
      </w:pPr>
      <w:r>
        <w:rPr>
          <w:rFonts w:ascii="仿宋" w:hAnsi="仿宋" w:eastAsia="仿宋"/>
          <w:b w:val="0"/>
          <w:color w:val="666666"/>
          <w:sz w:val="20"/>
        </w:rPr>
        <w:t>表 6-2 实施阶段与交付物</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1134"/>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阶段</w:t>
            </w:r>
          </w:p>
        </w:tc>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工作项</w:t>
            </w:r>
          </w:p>
        </w:tc>
        <w:tc>
          <w:tcPr>
            <w:tcW w:type="dxa" w:w="3572"/>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主要内容</w:t>
            </w:r>
          </w:p>
        </w:tc>
        <w:tc>
          <w:tcPr>
            <w:tcW w:type="dxa" w:w="243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交付物</w:t>
            </w:r>
          </w:p>
        </w:tc>
      </w:tr>
      <w:t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第1阶段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现场确认与深化设计</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确认教室尺寸、电力网络、工位数量、服务器部署方式和课程优先级。</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深化设计与施工准备清单。</w:t>
            </w:r>
          </w:p>
        </w:tc>
      </w:tr>
      <w:t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第2阶段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设备到货与环境部署</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完成实验箱、开发包、平台服务器、网络设备、演示设备和收纳设施到位。</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设备清点、资产编号、网络与供电可用。</w:t>
            </w:r>
          </w:p>
        </w:tc>
      </w:tr>
      <w:t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第3阶段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平台安装与联调</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部署AIoT平台，接入真实设备和虚拟设备，配置账号、课程、项目和数据大屏。</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平台可登录、设备可接入、数据可采集。</w:t>
            </w:r>
          </w:p>
        </w:tc>
      </w:tr>
      <w:t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第4阶段</w:t>
            </w:r>
          </w:p>
        </w:tc>
        <w:tc>
          <w:tcPr>
            <w:tcW w:type="dxa" w:w="170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课程资源导入与教师培训</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导入实验指导书、源码、PPT、任务模板和报告模板，完成教师实操培训。</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教师可独立发布任务、查看过程、批阅报告。</w:t>
            </w:r>
          </w:p>
        </w:tc>
      </w:tr>
      <w:tr>
        <w:tc>
          <w:tcPr>
            <w:tcW w:type="dxa" w:w="1134"/>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第5阶段</w:t>
            </w:r>
          </w:p>
        </w:tc>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试运行与验收</w:t>
            </w:r>
          </w:p>
        </w:tc>
        <w:tc>
          <w:tcPr>
            <w:tcW w:type="dxa" w:w="3572"/>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按基础实验、综合项目、行业场景开展试运行，完成问题整改和验收归档。</w:t>
            </w:r>
          </w:p>
        </w:tc>
        <w:tc>
          <w:tcPr>
            <w:tcW w:type="dxa" w:w="243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验收报告、运维制度和交付资料。</w:t>
            </w:r>
          </w:p>
        </w:tc>
      </w:tr>
    </w:tbl>
    <w:p/>
    <w:p>
      <w:pPr>
        <w:pStyle w:val="Heading2"/>
        <w:spacing w:before="160" w:after="100" w:line="300" w:lineRule="auto"/>
      </w:pPr>
      <w:r>
        <w:rPr>
          <w:rFonts w:ascii="黑体" w:hAnsi="黑体" w:eastAsia="黑体"/>
          <w:b/>
          <w:color w:val="000000"/>
          <w:sz w:val="28"/>
        </w:rPr>
        <w:t>6.3 培训与运维保障</w:t>
      </w:r>
    </w:p>
    <w:p>
      <w:pPr>
        <w:spacing w:before="0" w:after="120" w:line="324" w:lineRule="auto"/>
        <w:ind w:firstLine="480"/>
      </w:pPr>
      <w:r>
        <w:rPr>
          <w:rFonts w:ascii="仿宋" w:hAnsi="仿宋" w:eastAsia="仿宋"/>
          <w:b w:val="0"/>
          <w:color w:val="000000"/>
          <w:sz w:val="24"/>
        </w:rPr>
        <w:t>实训室建成后应建立设备资产台账、课程资源版本、平台账号权限、数据备份、耗材备件、故障工单和教师共建等运维机制。建议每学期开展一次课程资源复盘和设备健康巡检，每年围绕新通信模块、新行业案例或新AI能力进行一次迭代升级。</w:t>
      </w:r>
    </w:p>
    <w:p>
      <w:pPr>
        <w:spacing w:before="40" w:after="160"/>
        <w:jc w:val="center"/>
      </w:pPr>
      <w:r>
        <w:rPr>
          <w:rFonts w:ascii="仿宋" w:hAnsi="仿宋" w:eastAsia="仿宋"/>
          <w:b w:val="0"/>
          <w:color w:val="666666"/>
          <w:sz w:val="20"/>
        </w:rPr>
        <w:t>表 6-3 验收指标表</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验收类别</w:t>
            </w:r>
          </w:p>
        </w:tc>
        <w:tc>
          <w:tcPr>
            <w:tcW w:type="dxa" w:w="3855"/>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验收指标</w:t>
            </w:r>
          </w:p>
        </w:tc>
        <w:tc>
          <w:tcPr>
            <w:tcW w:type="dxa" w:w="323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建议验收方式</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容量验收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25组工位可支撑50人同步开展物联网实训。</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现场抽查工位、设备和网络接入情况。</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设备验收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实验箱、开发包、平台服务器、网络设备、场景系统和耗材与清单一致。</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清点资产编号、规格参数和配套资料。</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平台验收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教师、学生、管理员角色可用，真实设备和虚拟设备可接入，数据可展示。</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登录平台并完成设备建模、数据上报和命令下发。</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课程验收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基础实验、综合项目、行业项目、源码、指导书、报告模板可使用。</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抽取样例实验完成全流程演示。</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资料验收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深化方案、设备清单、网络拓扑、空间布局、培训记录、运维制度完整。</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查验交付文档和培训签到/记录。</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安全验收</w:t>
            </w:r>
          </w:p>
        </w:tc>
        <w:tc>
          <w:tcPr>
            <w:tcW w:type="dxa" w:w="3855"/>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强弱电布置、安全标识、设备收纳、低压供电和账号权限满足实训管理要求。</w:t>
            </w:r>
          </w:p>
        </w:tc>
        <w:tc>
          <w:tcPr>
            <w:tcW w:type="dxa" w:w="3231"/>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现场检查和试运行记录确认。</w:t>
            </w:r>
          </w:p>
        </w:tc>
      </w:tr>
    </w:tbl>
    <w:p/>
    <w:p>
      <w:pPr>
        <w:pStyle w:val="Heading1"/>
        <w:spacing w:before="280" w:after="160" w:line="300" w:lineRule="auto"/>
      </w:pPr>
      <w:r>
        <w:rPr>
          <w:rFonts w:ascii="黑体" w:hAnsi="黑体" w:eastAsia="黑体"/>
          <w:b/>
          <w:color w:val="000000"/>
          <w:sz w:val="32"/>
        </w:rPr>
        <w:t>七、资料依据</w:t>
      </w:r>
    </w:p>
    <w:p>
      <w:pPr>
        <w:spacing w:before="0" w:after="120" w:line="324" w:lineRule="auto"/>
        <w:ind w:firstLine="480"/>
      </w:pPr>
      <w:r>
        <w:rPr>
          <w:rFonts w:ascii="仿宋" w:hAnsi="仿宋" w:eastAsia="仿宋"/>
          <w:b w:val="0"/>
          <w:color w:val="000000"/>
          <w:sz w:val="24"/>
        </w:rPr>
        <w:t>本方案综合使用本地项目资料和公开资料进行论证。公开资料仅用于政策、专业建设和技术趋势说明，不作为供应商业绩、合作案例或奖项证明。</w:t>
      </w:r>
    </w:p>
    <w:p>
      <w:pPr>
        <w:spacing w:before="40" w:after="160"/>
        <w:jc w:val="center"/>
      </w:pPr>
      <w:r>
        <w:rPr>
          <w:rFonts w:ascii="仿宋" w:hAnsi="仿宋" w:eastAsia="仿宋"/>
          <w:b w:val="0"/>
          <w:color w:val="666666"/>
          <w:sz w:val="20"/>
        </w:rPr>
        <w:t>表 7-1 主要资料来源</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1701"/>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资料类别</w:t>
            </w:r>
          </w:p>
        </w:tc>
        <w:tc>
          <w:tcPr>
            <w:tcW w:type="dxa" w:w="3969"/>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来源</w:t>
            </w:r>
          </w:p>
        </w:tc>
        <w:tc>
          <w:tcPr>
            <w:tcW w:type="dxa" w:w="3118"/>
            <w:shd w:fill="F7F7F7"/>
            <w:vAlign w:val="center"/>
            <w:tcMar>
              <w:top w:w="100" w:type="dxa"/>
              <w:bottom w:w="100" w:type="dxa"/>
              <w:start w:w="140" w:type="dxa"/>
              <w:end w:w="140" w:type="dxa"/>
            </w:tcMar>
          </w:tcPr>
          <w:p>
            <w:pPr>
              <w:spacing w:line="300" w:lineRule="auto" w:after="0"/>
              <w:jc w:val="center"/>
            </w:pPr>
            <w:r/>
            <w:r>
              <w:rPr>
                <w:rFonts w:ascii="黑体" w:hAnsi="黑体" w:eastAsia="黑体"/>
                <w:b/>
                <w:color w:val="000000"/>
                <w:sz w:val="21"/>
              </w:rPr>
              <w:t>用途</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本地公告</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《信息工程学院.txt》</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确定项目名称、面积约120㎡、50人容量和建设内容。</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结构底稿</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《传感器与检测技术创新实验室解决方案(1)(1).docx》</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借鉴项目概述、总体设计、建设内容、拓展应用、建设清单等章节结构。</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设备参数</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《新南云鸿蒙物联网实验箱技术参数-7.2.xlsx》</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提炼鸿蒙实验箱、开发包、AIoT平台、课程包和行业系统配置。</w:t>
            </w:r>
          </w:p>
        </w:tc>
      </w:tr>
      <w:tr>
        <w:tc>
          <w:tcPr>
            <w:tcW w:type="dxa" w:w="1701"/>
            <w:vAlign w:val="center"/>
            <w:tcMar>
              <w:top w:w="100" w:type="dxa"/>
              <w:bottom w:w="100" w:type="dxa"/>
              <w:start w:w="140" w:type="dxa"/>
              <w:end w:w="140" w:type="dxa"/>
            </w:tcMar>
          </w:tcPr>
          <w:p>
            <w:pPr>
              <w:spacing w:line="300" w:lineRule="auto" w:after="0"/>
              <w:jc w:val="center"/>
            </w:pPr>
            <w:r/>
            <w:r>
              <w:rPr>
                <w:rFonts w:ascii="仿宋" w:hAnsi="仿宋" w:eastAsia="仿宋"/>
                <w:b w:val="0"/>
                <w:color w:val="000000"/>
                <w:sz w:val="20"/>
              </w:rPr>
              <w:t>技术资料</w:t>
            </w:r>
          </w:p>
        </w:tc>
        <w:tc>
          <w:tcPr>
            <w:tcW w:type="dxa" w:w="3969"/>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OpenHarmony官方文档、HarmonyOS设备开发官网</w:t>
            </w:r>
          </w:p>
        </w:tc>
        <w:tc>
          <w:tcPr>
            <w:tcW w:type="dxa" w:w="3118"/>
            <w:vAlign w:val="center"/>
            <w:tcMar>
              <w:top w:w="100" w:type="dxa"/>
              <w:bottom w:w="100" w:type="dxa"/>
              <w:start w:w="140" w:type="dxa"/>
              <w:end w:w="140" w:type="dxa"/>
            </w:tcMar>
          </w:tcPr>
          <w:p>
            <w:pPr>
              <w:spacing w:line="300" w:lineRule="auto" w:after="0"/>
              <w:jc w:val="left"/>
            </w:pPr>
            <w:r/>
            <w:r>
              <w:rPr>
                <w:rFonts w:ascii="仿宋" w:hAnsi="仿宋" w:eastAsia="仿宋"/>
                <w:b w:val="0"/>
                <w:color w:val="000000"/>
                <w:sz w:val="20"/>
              </w:rPr>
              <w:t>支撑OpenHarmony轻量设备开发、设备接入和鸿蒙物联网技术路线。</w:t>
            </w:r>
          </w:p>
        </w:tc>
      </w:tr>
    </w:tbl>
    <w:p/>
    <w:p>
      <w:pPr>
        <w:spacing w:before="0" w:after="480" w:line="324" w:lineRule="auto"/>
      </w:pPr>
      <w:r>
        <w:rPr>
          <w:rFonts w:ascii="仿宋" w:hAnsi="仿宋" w:eastAsia="仿宋"/>
          <w:b w:val="0"/>
          <w:color w:val="000000"/>
          <w:sz w:val="24"/>
        </w:rPr>
      </w:r>
    </w:p>
    <w:p>
      <w:pPr>
        <w:jc w:val="center"/>
      </w:pPr>
      <w:r>
        <w:drawing>
          <wp:inline xmlns:a="http://schemas.openxmlformats.org/drawingml/2006/main" xmlns:pic="http://schemas.openxmlformats.org/drawingml/2006/picture">
            <wp:extent cx="2880000" cy="1382400"/>
            <wp:docPr id="13" name="Picture 13"/>
            <wp:cNvGraphicFramePr>
              <a:graphicFrameLocks noChangeAspect="1"/>
            </wp:cNvGraphicFramePr>
            <a:graphic>
              <a:graphicData uri="http://schemas.openxmlformats.org/drawingml/2006/picture">
                <pic:pic>
                  <pic:nvPicPr>
                    <pic:cNvPr id="0" name="logo_doc.png"/>
                    <pic:cNvPicPr/>
                  </pic:nvPicPr>
                  <pic:blipFill>
                    <a:blip r:embed="rId11"/>
                    <a:stretch>
                      <a:fillRect/>
                    </a:stretch>
                  </pic:blipFill>
                  <pic:spPr>
                    <a:xfrm>
                      <a:off x="0" y="0"/>
                      <a:ext cx="2880000" cy="1382400"/>
                    </a:xfrm>
                    <a:prstGeom prst="rect"/>
                  </pic:spPr>
                </pic:pic>
              </a:graphicData>
            </a:graphic>
          </wp:inline>
        </w:drawing>
      </w:r>
    </w:p>
    <w:sectPr w:rsidR="00FC693F" w:rsidRPr="0006063C" w:rsidSect="00034616">
      <w:headerReference w:type="default" r:id="rId9"/>
      <w:footerReference w:type="default" r:id="rId10"/>
      <w:pgSz w:w="11906" w:h="16838"/>
      <w:pgMar w:top="1701" w:right="1531" w:bottom="1417" w:left="1531" w:header="737"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仿宋"/>
        <w:b w:val="0"/>
        <w:color w:val="000000"/>
        <w:sz w:val="20"/>
      </w:rPr>
      <w:t xml:space="preserve">第 </w:t>
    </w:r>
    <w:r>
      <w:fldChar w:fldCharType="begin"/>
      <w:instrText xml:space="preserve">PAGE</w:instrText>
      <w:fldChar w:fldCharType="end"/>
    </w:r>
    <w:r>
      <w:rPr>
        <w:rFonts w:ascii="仿宋" w:hAnsi="仿宋" w:eastAsia="仿宋"/>
        <w:b w:val="0"/>
        <w:color w:val="000000"/>
        <w:sz w:val="20"/>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仿宋" w:hAnsi="仿宋" w:eastAsia="仿宋"/>
        <w:b w:val="0"/>
        <w:color w:val="666666"/>
        <w:sz w:val="18"/>
      </w:rPr>
      <w:t>鸿蒙物联网综合实训室建设方案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
  <cp:revision>1</cp:revision>
  <dcterms:created xsi:type="dcterms:W3CDTF">2013-12-23T23:15:00Z</dcterms:created>
  <dcterms:modified xsi:type="dcterms:W3CDTF">2013-12-23T23:15:00Z</dcterms:modified>
  <cp:category/>
</cp:coreProperties>
</file>