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微软雅黑" w:hAnsi="微软雅黑" w:eastAsia="微软雅黑"/>
          <w:b/>
          <w:color w:val="0F172A"/>
          <w:sz w:val="56"/>
        </w:rPr>
        <w:t>鸿蒙物联网综合实训室建设方案</w:t>
      </w:r>
    </w:p>
    <w:p>
      <w:pPr>
        <w:jc w:val="center"/>
      </w:pPr>
      <w:r>
        <w:rPr>
          <w:rFonts w:ascii="微软雅黑" w:hAnsi="微软雅黑" w:eastAsia="微软雅黑"/>
          <w:b w:val="0"/>
          <w:color w:val="334155"/>
          <w:sz w:val="28"/>
        </w:rPr>
        <w:t>面向 AIoT 项目化教学、虚实结合实训与行业场景应用的图文并茂版方案</w:t>
      </w:r>
    </w:p>
    <w:p>
      <w:pPr>
        <w:spacing w:before="720"/>
        <w:jc w:val="center"/>
      </w:pPr>
      <w:r>
        <w:rPr>
          <w:rFonts w:ascii="宋体" w:hAnsi="宋体" w:eastAsia="宋体"/>
          <w:b w:val="0"/>
          <w:color w:val="334155"/>
          <w:sz w:val="24"/>
        </w:rPr>
        <w:t>项目名称：信息工程系物联网综合实训室建设项目</w:t>
        <w:br/>
        <w:t>建设面积：约120㎡    同步容量：50人（25组）    预算控制：约86万元</w:t>
        <w:br/>
        <w:t>方案版本：V1.0    生成日期：2026年7月</w:t>
      </w:r>
    </w:p>
    <w:p>
      <w:pPr>
        <w:jc w:val="center"/>
      </w:pPr>
      <w:r>
        <w:drawing>
          <wp:inline xmlns:a="http://schemas.openxmlformats.org/drawingml/2006/main" xmlns:pic="http://schemas.openxmlformats.org/drawingml/2006/picture">
            <wp:extent cx="5400000" cy="3307500"/>
            <wp:docPr id="1" name="Picture 1"/>
            <wp:cNvGraphicFramePr>
              <a:graphicFrameLocks noChangeAspect="1"/>
            </wp:cNvGraphicFramePr>
            <a:graphic>
              <a:graphicData uri="http://schemas.openxmlformats.org/drawingml/2006/picture">
                <pic:pic>
                  <pic:nvPicPr>
                    <pic:cNvPr id="0" name="01_policy_logic.png"/>
                    <pic:cNvPicPr/>
                  </pic:nvPicPr>
                  <pic:blipFill>
                    <a:blip r:embed="rId11"/>
                    <a:stretch>
                      <a:fillRect/>
                    </a:stretch>
                  </pic:blipFill>
                  <pic:spPr>
                    <a:xfrm>
                      <a:off x="0" y="0"/>
                      <a:ext cx="5400000" cy="3307500"/>
                    </a:xfrm>
                    <a:prstGeom prst="rect"/>
                  </pic:spPr>
                </pic:pic>
              </a:graphicData>
            </a:graphic>
          </wp:inline>
        </w:drawing>
      </w:r>
    </w:p>
    <w:p>
      <w:pPr>
        <w:spacing w:after="160"/>
        <w:jc w:val="center"/>
      </w:pPr>
      <w:r>
        <w:rPr>
          <w:rFonts w:ascii="宋体" w:hAnsi="宋体" w:eastAsia="宋体"/>
          <w:b w:val="0"/>
          <w:color w:val="475569"/>
          <w:sz w:val="19"/>
        </w:rPr>
        <w:t>图 0-1 方案总体建设逻辑</w:t>
      </w:r>
    </w:p>
    <w:p>
      <w:r>
        <w:br w:type="page"/>
      </w:r>
    </w:p>
    <w:p>
      <w:pPr>
        <w:pStyle w:val="Heading1"/>
        <w:spacing w:before="240" w:after="160"/>
      </w:pPr>
      <w:r>
        <w:rPr>
          <w:rFonts w:ascii="微软雅黑" w:hAnsi="微软雅黑" w:eastAsia="微软雅黑"/>
          <w:color w:val="0F172A"/>
          <w:sz w:val="36"/>
        </w:rPr>
        <w:t>目录</w:t>
      </w:r>
    </w:p>
    <w:p>
      <w:pPr>
        <w:spacing w:line="324" w:lineRule="auto" w:after="120"/>
      </w:pPr>
      <w:r>
        <w:rPr>
          <w:rFonts w:ascii="宋体" w:hAnsi="宋体" w:eastAsia="宋体"/>
          <w:b w:val="0"/>
          <w:sz w:val="22"/>
        </w:rPr>
        <w:t>一、项目概述</w:t>
      </w:r>
    </w:p>
    <w:p>
      <w:pPr>
        <w:spacing w:line="324" w:lineRule="auto" w:after="120"/>
      </w:pPr>
      <w:r>
        <w:rPr>
          <w:rFonts w:ascii="宋体" w:hAnsi="宋体" w:eastAsia="宋体"/>
          <w:b w:val="0"/>
          <w:sz w:val="22"/>
        </w:rPr>
        <w:t>二、教学实验总体设计</w:t>
      </w:r>
    </w:p>
    <w:p>
      <w:pPr>
        <w:spacing w:line="324" w:lineRule="auto" w:after="120"/>
      </w:pPr>
      <w:r>
        <w:rPr>
          <w:rFonts w:ascii="宋体" w:hAnsi="宋体" w:eastAsia="宋体"/>
          <w:b w:val="0"/>
          <w:sz w:val="22"/>
        </w:rPr>
        <w:t>三、鸿蒙物联网综合实训室</w:t>
      </w:r>
    </w:p>
    <w:p>
      <w:pPr>
        <w:spacing w:line="324" w:lineRule="auto" w:after="120"/>
      </w:pPr>
      <w:r>
        <w:rPr>
          <w:rFonts w:ascii="宋体" w:hAnsi="宋体" w:eastAsia="宋体"/>
          <w:b w:val="0"/>
          <w:sz w:val="22"/>
        </w:rPr>
        <w:t>四、拓展应用与前瞻发展</w:t>
      </w:r>
    </w:p>
    <w:p>
      <w:pPr>
        <w:spacing w:line="324" w:lineRule="auto" w:after="120"/>
      </w:pPr>
      <w:r>
        <w:rPr>
          <w:rFonts w:ascii="宋体" w:hAnsi="宋体" w:eastAsia="宋体"/>
          <w:b w:val="0"/>
          <w:sz w:val="22"/>
        </w:rPr>
        <w:t>五、竞赛训练与能力提升展望</w:t>
      </w:r>
    </w:p>
    <w:p>
      <w:pPr>
        <w:spacing w:line="324" w:lineRule="auto" w:after="120"/>
      </w:pPr>
      <w:r>
        <w:rPr>
          <w:rFonts w:ascii="宋体" w:hAnsi="宋体" w:eastAsia="宋体"/>
          <w:b w:val="0"/>
          <w:sz w:val="22"/>
        </w:rPr>
        <w:t>六、建设清单与实施保障</w:t>
      </w:r>
    </w:p>
    <w:p>
      <w:pPr>
        <w:spacing w:line="324" w:lineRule="auto" w:after="120"/>
      </w:pPr>
      <w:r>
        <w:rPr>
          <w:rFonts w:ascii="宋体" w:hAnsi="宋体" w:eastAsia="宋体"/>
          <w:b w:val="0"/>
          <w:sz w:val="22"/>
        </w:rPr>
        <w:t>七、资料依据</w:t>
      </w:r>
    </w:p>
    <w:p>
      <w:r>
        <w:br w:type="page"/>
      </w:r>
    </w:p>
    <w:p>
      <w:pPr>
        <w:pStyle w:val="Heading1"/>
        <w:spacing w:before="240" w:after="160"/>
      </w:pPr>
      <w:r>
        <w:rPr>
          <w:rFonts w:ascii="微软雅黑" w:hAnsi="微软雅黑" w:eastAsia="微软雅黑"/>
          <w:color w:val="0F172A"/>
          <w:sz w:val="36"/>
        </w:rPr>
        <w:t>一、项目概述</w:t>
      </w:r>
    </w:p>
    <w:p>
      <w:pPr>
        <w:pStyle w:val="Heading2"/>
        <w:spacing w:before="160" w:after="160"/>
      </w:pPr>
      <w:r>
        <w:rPr>
          <w:rFonts w:ascii="微软雅黑" w:hAnsi="微软雅黑" w:eastAsia="微软雅黑"/>
          <w:color w:val="0F172A"/>
          <w:sz w:val="28"/>
        </w:rPr>
        <w:t>1.1 政策背景</w:t>
      </w:r>
    </w:p>
    <w:p>
      <w:pPr>
        <w:spacing w:line="324" w:lineRule="auto" w:after="120"/>
        <w:ind w:firstLine="440"/>
      </w:pPr>
      <w:r>
        <w:rPr>
          <w:rFonts w:ascii="宋体" w:hAnsi="宋体" w:eastAsia="宋体"/>
          <w:b w:val="0"/>
          <w:sz w:val="22"/>
        </w:rPr>
        <w:t>信息工程系物联网综合实训室建设项目以职业教育数字化转型、现代职业教育体系建设和物联网应用技术专业人才培养为牵引，面向课程教学、实验实训、技能训练和创新项目研发等多类教学任务，建设一间可支撑50人同步实训的综合性实训空间。</w:t>
      </w:r>
    </w:p>
    <w:p>
      <w:pPr>
        <w:spacing w:line="324" w:lineRule="auto" w:after="120"/>
        <w:ind w:firstLine="440"/>
      </w:pPr>
      <w:r>
        <w:rPr>
          <w:rFonts w:ascii="宋体" w:hAnsi="宋体" w:eastAsia="宋体"/>
          <w:b w:val="0"/>
          <w:sz w:val="22"/>
        </w:rPr>
        <w:t>从专业建设角度看，物联网应用技术已从单一传感器采集、单片机验证，逐步发展为端侧设备开发、边缘网关集成、云端平台管理、数据分析展示和行业场景应用的完整工程链路。实训室建设需要避免只采购零散器材，而应形成“设备、平台、课程、项目、评价、运维”一体化条件。</w:t>
      </w:r>
    </w:p>
    <w:p>
      <w:pPr>
        <w:jc w:val="center"/>
      </w:pPr>
      <w:r>
        <w:drawing>
          <wp:inline xmlns:a="http://schemas.openxmlformats.org/drawingml/2006/main" xmlns:pic="http://schemas.openxmlformats.org/drawingml/2006/picture">
            <wp:extent cx="5652000" cy="3461850"/>
            <wp:docPr id="2" name="Picture 2"/>
            <wp:cNvGraphicFramePr>
              <a:graphicFrameLocks noChangeAspect="1"/>
            </wp:cNvGraphicFramePr>
            <a:graphic>
              <a:graphicData uri="http://schemas.openxmlformats.org/drawingml/2006/picture">
                <pic:pic>
                  <pic:nvPicPr>
                    <pic:cNvPr id="0" name="01_policy_logic.png"/>
                    <pic:cNvPicPr/>
                  </pic:nvPicPr>
                  <pic:blipFill>
                    <a:blip r:embed="rId11"/>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1-1 政策、产业与专业建设逻辑图</w:t>
      </w:r>
    </w:p>
    <w:p>
      <w:pPr>
        <w:spacing w:after="160"/>
        <w:jc w:val="center"/>
      </w:pPr>
      <w:r>
        <w:rPr>
          <w:rFonts w:ascii="宋体" w:hAnsi="宋体" w:eastAsia="宋体"/>
          <w:b w:val="0"/>
          <w:color w:val="475569"/>
          <w:sz w:val="19"/>
        </w:rPr>
        <w:t>表 1-1 项目约束与建设定位</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项目维度</w:t>
            </w:r>
          </w:p>
        </w:tc>
        <w:tc>
          <w:tcPr>
            <w:tcW w:type="dxa" w:w="3061"/>
            <w:shd w:fill="1E3A8A"/>
            <w:vAlign w:val="center"/>
          </w:tcPr>
          <w:p>
            <w:pPr>
              <w:jc w:val="center"/>
            </w:pPr>
            <w:r/>
            <w:r>
              <w:rPr>
                <w:rFonts w:ascii="宋体" w:hAnsi="宋体" w:eastAsia="宋体"/>
                <w:b/>
                <w:color w:val="FFFFFF"/>
                <w:sz w:val="20"/>
              </w:rPr>
              <w:t>公告要求/建设口径</w:t>
            </w:r>
          </w:p>
        </w:tc>
        <w:tc>
          <w:tcPr>
            <w:tcW w:type="dxa" w:w="4082"/>
            <w:shd w:fill="1E3A8A"/>
            <w:vAlign w:val="center"/>
          </w:tcPr>
          <w:p>
            <w:pPr>
              <w:jc w:val="center"/>
            </w:pPr>
            <w:r/>
            <w:r>
              <w:rPr>
                <w:rFonts w:ascii="宋体" w:hAnsi="宋体" w:eastAsia="宋体"/>
                <w:b/>
                <w:color w:val="FFFFFF"/>
                <w:sz w:val="20"/>
              </w:rPr>
              <w:t>方案响应</w:t>
            </w:r>
          </w:p>
        </w:tc>
      </w:tr>
      <w:tr>
        <w:tc>
          <w:tcPr>
            <w:tcW w:type="dxa" w:w="1701"/>
            <w:vAlign w:val="center"/>
            <w:shd w:fill="EFF6FF"/>
          </w:tcPr>
          <w:p>
            <w:pPr>
              <w:jc w:val="left"/>
            </w:pPr>
            <w:r/>
            <w:r>
              <w:rPr>
                <w:rFonts w:ascii="宋体" w:hAnsi="宋体" w:eastAsia="宋体"/>
                <w:b w:val="0"/>
                <w:color w:val="111827"/>
                <w:sz w:val="19"/>
              </w:rPr>
              <w:t>建设面积</w:t>
            </w:r>
          </w:p>
        </w:tc>
        <w:tc>
          <w:tcPr>
            <w:tcW w:type="dxa" w:w="3061"/>
            <w:vAlign w:val="center"/>
          </w:tcPr>
          <w:p>
            <w:pPr>
              <w:jc w:val="left"/>
            </w:pPr>
            <w:r/>
            <w:r>
              <w:rPr>
                <w:rFonts w:ascii="宋体" w:hAnsi="宋体" w:eastAsia="宋体"/>
                <w:b w:val="0"/>
                <w:color w:val="111827"/>
                <w:sz w:val="19"/>
              </w:rPr>
              <w:t>规划建设面积约120㎡</w:t>
            </w:r>
          </w:p>
        </w:tc>
        <w:tc>
          <w:tcPr>
            <w:tcW w:type="dxa" w:w="4082"/>
            <w:vAlign w:val="center"/>
          </w:tcPr>
          <w:p>
            <w:pPr>
              <w:jc w:val="left"/>
            </w:pPr>
            <w:r/>
            <w:r>
              <w:rPr>
                <w:rFonts w:ascii="宋体" w:hAnsi="宋体" w:eastAsia="宋体"/>
                <w:b w:val="0"/>
                <w:color w:val="111827"/>
                <w:sz w:val="19"/>
              </w:rPr>
              <w:t>按教师演示区、25组学生工位、网络服务器区、设备收纳区、文化展示区组织空间。</w:t>
            </w:r>
          </w:p>
        </w:tc>
      </w:tr>
      <w:tr>
        <w:tc>
          <w:tcPr>
            <w:tcW w:type="dxa" w:w="1701"/>
            <w:vAlign w:val="center"/>
            <w:shd w:fill="EFF6FF"/>
          </w:tcPr>
          <w:p>
            <w:pPr>
              <w:jc w:val="left"/>
            </w:pPr>
            <w:r/>
            <w:r>
              <w:rPr>
                <w:rFonts w:ascii="宋体" w:hAnsi="宋体" w:eastAsia="宋体"/>
                <w:b w:val="0"/>
                <w:color w:val="111827"/>
                <w:sz w:val="19"/>
              </w:rPr>
              <w:t>同步容量</w:t>
            </w:r>
          </w:p>
        </w:tc>
        <w:tc>
          <w:tcPr>
            <w:tcW w:type="dxa" w:w="3061"/>
            <w:vAlign w:val="center"/>
          </w:tcPr>
          <w:p>
            <w:pPr>
              <w:jc w:val="left"/>
            </w:pPr>
            <w:r/>
            <w:r>
              <w:rPr>
                <w:rFonts w:ascii="宋体" w:hAnsi="宋体" w:eastAsia="宋体"/>
                <w:b w:val="0"/>
                <w:color w:val="111827"/>
                <w:sz w:val="19"/>
              </w:rPr>
              <w:t>可容纳50人同时练习和教学实训</w:t>
            </w:r>
          </w:p>
        </w:tc>
        <w:tc>
          <w:tcPr>
            <w:tcW w:type="dxa" w:w="4082"/>
            <w:vAlign w:val="center"/>
          </w:tcPr>
          <w:p>
            <w:pPr>
              <w:jc w:val="left"/>
            </w:pPr>
            <w:r/>
            <w:r>
              <w:rPr>
                <w:rFonts w:ascii="宋体" w:hAnsi="宋体" w:eastAsia="宋体"/>
                <w:b w:val="0"/>
                <w:color w:val="111827"/>
                <w:sz w:val="19"/>
              </w:rPr>
              <w:t>采用25组分组工位，建议2人一组，每组可开展设备接入、数据采集、平台联调和项目报告。</w:t>
            </w:r>
          </w:p>
        </w:tc>
      </w:tr>
      <w:tr>
        <w:tc>
          <w:tcPr>
            <w:tcW w:type="dxa" w:w="1701"/>
            <w:vAlign w:val="center"/>
            <w:shd w:fill="EFF6FF"/>
          </w:tcPr>
          <w:p>
            <w:pPr>
              <w:jc w:val="left"/>
            </w:pPr>
            <w:r/>
            <w:r>
              <w:rPr>
                <w:rFonts w:ascii="宋体" w:hAnsi="宋体" w:eastAsia="宋体"/>
                <w:b w:val="0"/>
                <w:color w:val="111827"/>
                <w:sz w:val="19"/>
              </w:rPr>
              <w:t>预算控制</w:t>
            </w:r>
          </w:p>
        </w:tc>
        <w:tc>
          <w:tcPr>
            <w:tcW w:type="dxa" w:w="3061"/>
            <w:vAlign w:val="center"/>
          </w:tcPr>
          <w:p>
            <w:pPr>
              <w:jc w:val="left"/>
            </w:pPr>
            <w:r/>
            <w:r>
              <w:rPr>
                <w:rFonts w:ascii="宋体" w:hAnsi="宋体" w:eastAsia="宋体"/>
                <w:b w:val="0"/>
                <w:color w:val="111827"/>
                <w:sz w:val="19"/>
              </w:rPr>
              <w:t>项目预算约86万元</w:t>
            </w:r>
          </w:p>
        </w:tc>
        <w:tc>
          <w:tcPr>
            <w:tcW w:type="dxa" w:w="4082"/>
            <w:vAlign w:val="center"/>
          </w:tcPr>
          <w:p>
            <w:pPr>
              <w:jc w:val="left"/>
            </w:pPr>
            <w:r/>
            <w:r>
              <w:rPr>
                <w:rFonts w:ascii="宋体" w:hAnsi="宋体" w:eastAsia="宋体"/>
                <w:b w:val="0"/>
                <w:color w:val="111827"/>
                <w:sz w:val="19"/>
              </w:rPr>
              <w:t>设备、平台、课程资源、场景系统、文化建设和装修改造统筹控制。</w:t>
            </w:r>
          </w:p>
        </w:tc>
      </w:tr>
      <w:tr>
        <w:tc>
          <w:tcPr>
            <w:tcW w:type="dxa" w:w="1701"/>
            <w:vAlign w:val="center"/>
            <w:shd w:fill="EFF6FF"/>
          </w:tcPr>
          <w:p>
            <w:pPr>
              <w:jc w:val="left"/>
            </w:pPr>
            <w:r/>
            <w:r>
              <w:rPr>
                <w:rFonts w:ascii="宋体" w:hAnsi="宋体" w:eastAsia="宋体"/>
                <w:b w:val="0"/>
                <w:color w:val="111827"/>
                <w:sz w:val="19"/>
              </w:rPr>
              <w:t>建设内容</w:t>
            </w:r>
          </w:p>
        </w:tc>
        <w:tc>
          <w:tcPr>
            <w:tcW w:type="dxa" w:w="3061"/>
            <w:vAlign w:val="center"/>
          </w:tcPr>
          <w:p>
            <w:pPr>
              <w:jc w:val="left"/>
            </w:pPr>
            <w:r/>
            <w:r>
              <w:rPr>
                <w:rFonts w:ascii="宋体" w:hAnsi="宋体" w:eastAsia="宋体"/>
                <w:b w:val="0"/>
                <w:color w:val="111827"/>
                <w:sz w:val="19"/>
              </w:rPr>
              <w:t>课程教学实训平台、物联网云平台、物联网应用实训设备套件、课程资源、应用套件和耗材</w:t>
            </w:r>
          </w:p>
        </w:tc>
        <w:tc>
          <w:tcPr>
            <w:tcW w:type="dxa" w:w="4082"/>
            <w:vAlign w:val="center"/>
          </w:tcPr>
          <w:p>
            <w:pPr>
              <w:jc w:val="left"/>
            </w:pPr>
            <w:r/>
            <w:r>
              <w:rPr>
                <w:rFonts w:ascii="宋体" w:hAnsi="宋体" w:eastAsia="宋体"/>
                <w:b w:val="0"/>
                <w:color w:val="111827"/>
                <w:sz w:val="19"/>
              </w:rPr>
              <w:t>以鸿蒙物联网实验箱和AIoT教学云平台为核心，配套主控、通信、传感、RFID、执行器及行业场景。</w:t>
            </w:r>
          </w:p>
        </w:tc>
      </w:tr>
      <w:tr>
        <w:tc>
          <w:tcPr>
            <w:tcW w:type="dxa" w:w="1701"/>
            <w:vAlign w:val="center"/>
            <w:shd w:fill="EFF6FF"/>
          </w:tcPr>
          <w:p>
            <w:pPr>
              <w:jc w:val="left"/>
            </w:pPr>
            <w:r/>
            <w:r>
              <w:rPr>
                <w:rFonts w:ascii="宋体" w:hAnsi="宋体" w:eastAsia="宋体"/>
                <w:b w:val="0"/>
                <w:color w:val="111827"/>
                <w:sz w:val="19"/>
              </w:rPr>
              <w:t>建设风格</w:t>
            </w:r>
          </w:p>
        </w:tc>
        <w:tc>
          <w:tcPr>
            <w:tcW w:type="dxa" w:w="3061"/>
            <w:vAlign w:val="center"/>
          </w:tcPr>
          <w:p>
            <w:pPr>
              <w:jc w:val="left"/>
            </w:pPr>
            <w:r/>
            <w:r>
              <w:rPr>
                <w:rFonts w:ascii="宋体" w:hAnsi="宋体" w:eastAsia="宋体"/>
                <w:b w:val="0"/>
                <w:color w:val="111827"/>
                <w:sz w:val="19"/>
              </w:rPr>
              <w:t>完整、详尽、可行的实施方案</w:t>
            </w:r>
          </w:p>
        </w:tc>
        <w:tc>
          <w:tcPr>
            <w:tcW w:type="dxa" w:w="4082"/>
            <w:vAlign w:val="center"/>
          </w:tcPr>
          <w:p>
            <w:pPr>
              <w:jc w:val="left"/>
            </w:pPr>
            <w:r/>
            <w:r>
              <w:rPr>
                <w:rFonts w:ascii="宋体" w:hAnsi="宋体" w:eastAsia="宋体"/>
                <w:b w:val="0"/>
                <w:color w:val="111827"/>
                <w:sz w:val="19"/>
              </w:rPr>
              <w:t>图文并茂呈现总体架构、空间布局、网络拓扑、设备组成、课程体系、实施进度和验收指标。</w:t>
            </w:r>
          </w:p>
        </w:tc>
      </w:tr>
    </w:tbl>
    <w:p/>
    <w:p>
      <w:pPr>
        <w:pStyle w:val="Heading2"/>
        <w:spacing w:before="160" w:after="160"/>
      </w:pPr>
      <w:r>
        <w:rPr>
          <w:rFonts w:ascii="微软雅黑" w:hAnsi="微软雅黑" w:eastAsia="微软雅黑"/>
          <w:color w:val="0F172A"/>
          <w:sz w:val="28"/>
        </w:rPr>
        <w:t>1.2 专业背景</w:t>
      </w:r>
    </w:p>
    <w:p>
      <w:pPr>
        <w:spacing w:line="324" w:lineRule="auto" w:after="120"/>
        <w:ind w:firstLine="440"/>
      </w:pPr>
      <w:r>
        <w:rPr>
          <w:rFonts w:ascii="宋体" w:hAnsi="宋体" w:eastAsia="宋体"/>
          <w:b w:val="0"/>
          <w:sz w:val="22"/>
        </w:rPr>
        <w:t>物联网技术是电子信息、软件技术、人工智能、现代农业、生物工程等专业群共同需要的基础能力。面向真实岗位，学生不仅要理解传感器和控制器的单点原理，还要掌握多协议通信、设备上云、数据可视化、规则联动、边缘网关与平台运维等综合能力。</w:t>
      </w:r>
    </w:p>
    <w:p>
      <w:pPr>
        <w:spacing w:line="324" w:lineRule="auto" w:after="120"/>
        <w:ind w:firstLine="440"/>
      </w:pPr>
      <w:r>
        <w:rPr>
          <w:rFonts w:ascii="宋体" w:hAnsi="宋体" w:eastAsia="宋体"/>
          <w:b w:val="0"/>
          <w:sz w:val="22"/>
        </w:rPr>
        <w:t>鸿蒙/OpenHarmony轻量设备开发为物联网教学提供了新的技术切入点。通过鸿蒙物联网模块、STM32控制模块、ZigBee无线节点、中心网关和AIoT云平台协同，学生能够在统一实训环境中完成“采集、通信、平台、控制、展示、评价”的完整闭环。</w:t>
      </w:r>
    </w:p>
    <w:p>
      <w:pPr>
        <w:spacing w:line="324" w:lineRule="auto" w:after="120"/>
        <w:ind w:firstLine="440"/>
      </w:pPr>
      <w:r>
        <w:rPr>
          <w:rFonts w:ascii="宋体" w:hAnsi="宋体" w:eastAsia="宋体"/>
          <w:b w:val="0"/>
          <w:sz w:val="22"/>
        </w:rPr>
        <w:t>本项目建议建设一间兼具课程教学、项目实训、行业场景模拟和后续能力拓展的鸿蒙物联网综合实训室，使专业教学从传统验证型实验升级为工程任务型、数据驱动型和场景融合型实训。</w:t>
      </w:r>
    </w:p>
    <w:p>
      <w:pPr>
        <w:pStyle w:val="Heading2"/>
        <w:spacing w:before="160" w:after="160"/>
      </w:pPr>
      <w:r>
        <w:rPr>
          <w:rFonts w:ascii="微软雅黑" w:hAnsi="微软雅黑" w:eastAsia="微软雅黑"/>
          <w:color w:val="0F172A"/>
          <w:sz w:val="28"/>
        </w:rPr>
        <w:t>1.3 人才需求</w:t>
      </w:r>
    </w:p>
    <w:p>
      <w:pPr>
        <w:spacing w:line="324" w:lineRule="auto" w:after="120"/>
        <w:ind w:firstLine="440"/>
      </w:pPr>
      <w:r>
        <w:rPr>
          <w:rFonts w:ascii="宋体" w:hAnsi="宋体" w:eastAsia="宋体"/>
          <w:b w:val="0"/>
          <w:sz w:val="22"/>
        </w:rPr>
        <w:t>物联网相关岗位对学生的要求正在从“会接线、会烧录、会读数”转向“能接入、会建模、能联调、懂数据、会交付”。建设鸿蒙物联网综合实训室，可以面向以下岗位能力开展递进式训练：</w:t>
      </w:r>
    </w:p>
    <w:p>
      <w:pPr>
        <w:pStyle w:val="ListBullet"/>
        <w:spacing w:line="300" w:lineRule="auto" w:after="60"/>
      </w:pPr>
      <w:r>
        <w:rPr>
          <w:rFonts w:ascii="宋体" w:hAnsi="宋体" w:eastAsia="宋体"/>
          <w:b w:val="0"/>
          <w:sz w:val="21"/>
        </w:rPr>
        <w:t>物联网设备开发与调试：掌握MCU外设、鸿蒙轻量设备开发、串口调试、传感器采集和执行器控制。</w:t>
      </w:r>
    </w:p>
    <w:p>
      <w:pPr>
        <w:pStyle w:val="ListBullet"/>
        <w:spacing w:line="300" w:lineRule="auto" w:after="60"/>
      </w:pPr>
      <w:r>
        <w:rPr>
          <w:rFonts w:ascii="宋体" w:hAnsi="宋体" w:eastAsia="宋体"/>
          <w:b w:val="0"/>
          <w:sz w:val="21"/>
        </w:rPr>
        <w:t>物联网系统集成与运维：掌握ZigBee、WiFi、4G、BLE、LoRa、NB-IoT/Cat.1等通信方式，以及MQTT、HTTP、Modbus等协议接入。</w:t>
      </w:r>
    </w:p>
    <w:p>
      <w:pPr>
        <w:pStyle w:val="ListBullet"/>
        <w:spacing w:line="300" w:lineRule="auto" w:after="60"/>
      </w:pPr>
      <w:r>
        <w:rPr>
          <w:rFonts w:ascii="宋体" w:hAnsi="宋体" w:eastAsia="宋体"/>
          <w:b w:val="0"/>
          <w:sz w:val="21"/>
        </w:rPr>
        <w:t>AIoT平台应用与数据可视化：掌握设备建模、数据上报、规则联动、报警管理、历史曲线、项目大屏和实验报告引用。</w:t>
      </w:r>
    </w:p>
    <w:p>
      <w:pPr>
        <w:pStyle w:val="ListBullet"/>
        <w:spacing w:line="300" w:lineRule="auto" w:after="60"/>
      </w:pPr>
      <w:r>
        <w:rPr>
          <w:rFonts w:ascii="宋体" w:hAnsi="宋体" w:eastAsia="宋体"/>
          <w:b w:val="0"/>
          <w:sz w:val="21"/>
        </w:rPr>
        <w:t>行业应用项目实施：能够围绕智慧农业、智慧养殖、微生物发酵环境监测、智能家居等场景完成需求分析、方案设计、联调测试和成果展示。</w:t>
      </w:r>
    </w:p>
    <w:p>
      <w:pPr>
        <w:pStyle w:val="Heading2"/>
        <w:spacing w:before="160" w:after="160"/>
      </w:pPr>
      <w:r>
        <w:rPr>
          <w:rFonts w:ascii="微软雅黑" w:hAnsi="微软雅黑" w:eastAsia="微软雅黑"/>
          <w:color w:val="0F172A"/>
          <w:sz w:val="28"/>
        </w:rPr>
        <w:t>1.4 知识体系</w:t>
      </w:r>
    </w:p>
    <w:p>
      <w:pPr>
        <w:spacing w:after="160"/>
        <w:jc w:val="center"/>
      </w:pPr>
      <w:r>
        <w:rPr>
          <w:rFonts w:ascii="宋体" w:hAnsi="宋体" w:eastAsia="宋体"/>
          <w:b w:val="0"/>
          <w:color w:val="475569"/>
          <w:sz w:val="19"/>
        </w:rPr>
        <w:t>表 1-2 鸿蒙物联网实训室知识体系</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知识模块</w:t>
            </w:r>
          </w:p>
        </w:tc>
        <w:tc>
          <w:tcPr>
            <w:tcW w:type="dxa" w:w="3402"/>
            <w:shd w:fill="1E3A8A"/>
            <w:vAlign w:val="center"/>
          </w:tcPr>
          <w:p>
            <w:pPr>
              <w:jc w:val="center"/>
            </w:pPr>
            <w:r/>
            <w:r>
              <w:rPr>
                <w:rFonts w:ascii="宋体" w:hAnsi="宋体" w:eastAsia="宋体"/>
                <w:b/>
                <w:color w:val="FFFFFF"/>
                <w:sz w:val="20"/>
              </w:rPr>
              <w:t>核心内容</w:t>
            </w:r>
          </w:p>
        </w:tc>
        <w:tc>
          <w:tcPr>
            <w:tcW w:type="dxa" w:w="3742"/>
            <w:shd w:fill="1E3A8A"/>
            <w:vAlign w:val="center"/>
          </w:tcPr>
          <w:p>
            <w:pPr>
              <w:jc w:val="center"/>
            </w:pPr>
            <w:r/>
            <w:r>
              <w:rPr>
                <w:rFonts w:ascii="宋体" w:hAnsi="宋体" w:eastAsia="宋体"/>
                <w:b/>
                <w:color w:val="FFFFFF"/>
                <w:sz w:val="20"/>
              </w:rPr>
              <w:t>对应能力</w:t>
            </w:r>
          </w:p>
        </w:tc>
      </w:tr>
      <w:tr>
        <w:tc>
          <w:tcPr>
            <w:tcW w:type="dxa" w:w="1701"/>
            <w:vAlign w:val="center"/>
            <w:shd w:fill="EFF6FF"/>
          </w:tcPr>
          <w:p>
            <w:pPr>
              <w:jc w:val="left"/>
            </w:pPr>
            <w:r/>
            <w:r>
              <w:rPr>
                <w:rFonts w:ascii="宋体" w:hAnsi="宋体" w:eastAsia="宋体"/>
                <w:b w:val="0"/>
                <w:color w:val="111827"/>
                <w:sz w:val="19"/>
              </w:rPr>
              <w:t>基础理论</w:t>
            </w:r>
          </w:p>
        </w:tc>
        <w:tc>
          <w:tcPr>
            <w:tcW w:type="dxa" w:w="3402"/>
            <w:vAlign w:val="center"/>
          </w:tcPr>
          <w:p>
            <w:pPr>
              <w:jc w:val="left"/>
            </w:pPr>
            <w:r/>
            <w:r>
              <w:rPr>
                <w:rFonts w:ascii="宋体" w:hAnsi="宋体" w:eastAsia="宋体"/>
                <w:b w:val="0"/>
                <w:color w:val="111827"/>
                <w:sz w:val="19"/>
              </w:rPr>
              <w:t>传感器原理、嵌入式系统、计算机网络、数据库基础、信息安全基础</w:t>
            </w:r>
          </w:p>
        </w:tc>
        <w:tc>
          <w:tcPr>
            <w:tcW w:type="dxa" w:w="3742"/>
            <w:vAlign w:val="center"/>
          </w:tcPr>
          <w:p>
            <w:pPr>
              <w:jc w:val="left"/>
            </w:pPr>
            <w:r/>
            <w:r>
              <w:rPr>
                <w:rFonts w:ascii="宋体" w:hAnsi="宋体" w:eastAsia="宋体"/>
                <w:b w:val="0"/>
                <w:color w:val="111827"/>
                <w:sz w:val="19"/>
              </w:rPr>
              <w:t>理解设备采集、边缘处理和数据传输的基础逻辑。</w:t>
            </w:r>
          </w:p>
        </w:tc>
      </w:tr>
      <w:tr>
        <w:tc>
          <w:tcPr>
            <w:tcW w:type="dxa" w:w="1701"/>
            <w:vAlign w:val="center"/>
            <w:shd w:fill="EFF6FF"/>
          </w:tcPr>
          <w:p>
            <w:pPr>
              <w:jc w:val="left"/>
            </w:pPr>
            <w:r/>
            <w:r>
              <w:rPr>
                <w:rFonts w:ascii="宋体" w:hAnsi="宋体" w:eastAsia="宋体"/>
                <w:b w:val="0"/>
                <w:color w:val="111827"/>
                <w:sz w:val="19"/>
              </w:rPr>
              <w:t>端侧开发</w:t>
            </w:r>
          </w:p>
        </w:tc>
        <w:tc>
          <w:tcPr>
            <w:tcW w:type="dxa" w:w="3402"/>
            <w:vAlign w:val="center"/>
          </w:tcPr>
          <w:p>
            <w:pPr>
              <w:jc w:val="left"/>
            </w:pPr>
            <w:r/>
            <w:r>
              <w:rPr>
                <w:rFonts w:ascii="宋体" w:hAnsi="宋体" w:eastAsia="宋体"/>
                <w:b w:val="0"/>
                <w:color w:val="111827"/>
                <w:sz w:val="19"/>
              </w:rPr>
              <w:t>OpenHarmony工程创建、GPIO/UART/I2C/SPI/ADC/PWM、STM32外设、ZigBee节点</w:t>
            </w:r>
          </w:p>
        </w:tc>
        <w:tc>
          <w:tcPr>
            <w:tcW w:type="dxa" w:w="3742"/>
            <w:vAlign w:val="center"/>
          </w:tcPr>
          <w:p>
            <w:pPr>
              <w:jc w:val="left"/>
            </w:pPr>
            <w:r/>
            <w:r>
              <w:rPr>
                <w:rFonts w:ascii="宋体" w:hAnsi="宋体" w:eastAsia="宋体"/>
                <w:b w:val="0"/>
                <w:color w:val="111827"/>
                <w:sz w:val="19"/>
              </w:rPr>
              <w:t>完成终端驱动、数据采集、设备控制和本地调试。</w:t>
            </w:r>
          </w:p>
        </w:tc>
      </w:tr>
      <w:tr>
        <w:tc>
          <w:tcPr>
            <w:tcW w:type="dxa" w:w="1701"/>
            <w:vAlign w:val="center"/>
            <w:shd w:fill="EFF6FF"/>
          </w:tcPr>
          <w:p>
            <w:pPr>
              <w:jc w:val="left"/>
            </w:pPr>
            <w:r/>
            <w:r>
              <w:rPr>
                <w:rFonts w:ascii="宋体" w:hAnsi="宋体" w:eastAsia="宋体"/>
                <w:b w:val="0"/>
                <w:color w:val="111827"/>
                <w:sz w:val="19"/>
              </w:rPr>
              <w:t>通信协议</w:t>
            </w:r>
          </w:p>
        </w:tc>
        <w:tc>
          <w:tcPr>
            <w:tcW w:type="dxa" w:w="3402"/>
            <w:vAlign w:val="center"/>
          </w:tcPr>
          <w:p>
            <w:pPr>
              <w:jc w:val="left"/>
            </w:pPr>
            <w:r/>
            <w:r>
              <w:rPr>
                <w:rFonts w:ascii="宋体" w:hAnsi="宋体" w:eastAsia="宋体"/>
                <w:b w:val="0"/>
                <w:color w:val="111827"/>
                <w:sz w:val="19"/>
              </w:rPr>
              <w:t>WiFi、ZigBee、BLE、LoRa、4G、NB-IoT/Cat.1、MQTT、HTTP、Modbus</w:t>
            </w:r>
          </w:p>
        </w:tc>
        <w:tc>
          <w:tcPr>
            <w:tcW w:type="dxa" w:w="3742"/>
            <w:vAlign w:val="center"/>
          </w:tcPr>
          <w:p>
            <w:pPr>
              <w:jc w:val="left"/>
            </w:pPr>
            <w:r/>
            <w:r>
              <w:rPr>
                <w:rFonts w:ascii="宋体" w:hAnsi="宋体" w:eastAsia="宋体"/>
                <w:b w:val="0"/>
                <w:color w:val="111827"/>
                <w:sz w:val="19"/>
              </w:rPr>
              <w:t>完成多协议接入、网关汇聚和云端数据上报。</w:t>
            </w:r>
          </w:p>
        </w:tc>
      </w:tr>
      <w:tr>
        <w:tc>
          <w:tcPr>
            <w:tcW w:type="dxa" w:w="1701"/>
            <w:vAlign w:val="center"/>
            <w:shd w:fill="EFF6FF"/>
          </w:tcPr>
          <w:p>
            <w:pPr>
              <w:jc w:val="left"/>
            </w:pPr>
            <w:r/>
            <w:r>
              <w:rPr>
                <w:rFonts w:ascii="宋体" w:hAnsi="宋体" w:eastAsia="宋体"/>
                <w:b w:val="0"/>
                <w:color w:val="111827"/>
                <w:sz w:val="19"/>
              </w:rPr>
              <w:t>平台应用</w:t>
            </w:r>
          </w:p>
        </w:tc>
        <w:tc>
          <w:tcPr>
            <w:tcW w:type="dxa" w:w="3402"/>
            <w:vAlign w:val="center"/>
          </w:tcPr>
          <w:p>
            <w:pPr>
              <w:jc w:val="left"/>
            </w:pPr>
            <w:r/>
            <w:r>
              <w:rPr>
                <w:rFonts w:ascii="宋体" w:hAnsi="宋体" w:eastAsia="宋体"/>
                <w:b w:val="0"/>
                <w:color w:val="111827"/>
                <w:sz w:val="19"/>
              </w:rPr>
              <w:t>设备建模、产品分类、命令下发、规则联动、报警记录、数据大屏、过程评价</w:t>
            </w:r>
          </w:p>
        </w:tc>
        <w:tc>
          <w:tcPr>
            <w:tcW w:type="dxa" w:w="3742"/>
            <w:vAlign w:val="center"/>
          </w:tcPr>
          <w:p>
            <w:pPr>
              <w:jc w:val="left"/>
            </w:pPr>
            <w:r/>
            <w:r>
              <w:rPr>
                <w:rFonts w:ascii="宋体" w:hAnsi="宋体" w:eastAsia="宋体"/>
                <w:b w:val="0"/>
                <w:color w:val="111827"/>
                <w:sz w:val="19"/>
              </w:rPr>
              <w:t>完成平台侧配置、课堂任务发布、数据沉淀和实验报告。</w:t>
            </w:r>
          </w:p>
        </w:tc>
      </w:tr>
      <w:tr>
        <w:tc>
          <w:tcPr>
            <w:tcW w:type="dxa" w:w="1701"/>
            <w:vAlign w:val="center"/>
            <w:shd w:fill="EFF6FF"/>
          </w:tcPr>
          <w:p>
            <w:pPr>
              <w:jc w:val="left"/>
            </w:pPr>
            <w:r/>
            <w:r>
              <w:rPr>
                <w:rFonts w:ascii="宋体" w:hAnsi="宋体" w:eastAsia="宋体"/>
                <w:b w:val="0"/>
                <w:color w:val="111827"/>
                <w:sz w:val="19"/>
              </w:rPr>
              <w:t>行业项目</w:t>
            </w:r>
          </w:p>
        </w:tc>
        <w:tc>
          <w:tcPr>
            <w:tcW w:type="dxa" w:w="3402"/>
            <w:vAlign w:val="center"/>
          </w:tcPr>
          <w:p>
            <w:pPr>
              <w:jc w:val="left"/>
            </w:pPr>
            <w:r/>
            <w:r>
              <w:rPr>
                <w:rFonts w:ascii="宋体" w:hAnsi="宋体" w:eastAsia="宋体"/>
                <w:b w:val="0"/>
                <w:color w:val="111827"/>
                <w:sz w:val="19"/>
              </w:rPr>
              <w:t>智慧农业、智慧养殖、微生物发酵、环境监测、智能家居、资产识别</w:t>
            </w:r>
          </w:p>
        </w:tc>
        <w:tc>
          <w:tcPr>
            <w:tcW w:type="dxa" w:w="3742"/>
            <w:vAlign w:val="center"/>
          </w:tcPr>
          <w:p>
            <w:pPr>
              <w:jc w:val="left"/>
            </w:pPr>
            <w:r/>
            <w:r>
              <w:rPr>
                <w:rFonts w:ascii="宋体" w:hAnsi="宋体" w:eastAsia="宋体"/>
                <w:b w:val="0"/>
                <w:color w:val="111827"/>
                <w:sz w:val="19"/>
              </w:rPr>
              <w:t>形成跨专业项目开发、展示答辩和持续迭代能力。</w:t>
            </w:r>
          </w:p>
        </w:tc>
      </w:tr>
    </w:tbl>
    <w:p/>
    <w:p>
      <w:pPr>
        <w:pStyle w:val="Heading2"/>
        <w:spacing w:before="160" w:after="160"/>
      </w:pPr>
      <w:r>
        <w:rPr>
          <w:rFonts w:ascii="微软雅黑" w:hAnsi="微软雅黑" w:eastAsia="微软雅黑"/>
          <w:color w:val="0F172A"/>
          <w:sz w:val="28"/>
        </w:rPr>
        <w:t>1.5 专业方向与就业方向</w:t>
      </w:r>
    </w:p>
    <w:p>
      <w:pPr>
        <w:spacing w:line="324" w:lineRule="auto" w:after="120"/>
        <w:ind w:firstLine="440"/>
      </w:pPr>
      <w:r>
        <w:rPr>
          <w:rFonts w:ascii="宋体" w:hAnsi="宋体" w:eastAsia="宋体"/>
          <w:b w:val="0"/>
          <w:sz w:val="22"/>
        </w:rPr>
        <w:t>实训室可服务物联网应用技术、电子信息、人工智能应用、软件技术、生物工程和现代农业等专业群。围绕专业方向，可形成鸿蒙物联网设备开发、AIoT平台应用、智能传感与检测、多协议通信、行业场景系统集成等教学方向。</w:t>
      </w:r>
    </w:p>
    <w:p>
      <w:pPr>
        <w:spacing w:after="160"/>
        <w:jc w:val="center"/>
      </w:pPr>
      <w:r>
        <w:rPr>
          <w:rFonts w:ascii="宋体" w:hAnsi="宋体" w:eastAsia="宋体"/>
          <w:b w:val="0"/>
          <w:color w:val="475569"/>
          <w:sz w:val="19"/>
        </w:rPr>
        <w:t>表 1-3 专业方向与就业岗位映射</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fill="1E3A8A"/>
            <w:vAlign w:val="center"/>
          </w:tcPr>
          <w:p>
            <w:pPr>
              <w:jc w:val="center"/>
            </w:pPr>
            <w:r/>
            <w:r>
              <w:rPr>
                <w:rFonts w:ascii="宋体" w:hAnsi="宋体" w:eastAsia="宋体"/>
                <w:b/>
                <w:color w:val="FFFFFF"/>
                <w:sz w:val="20"/>
              </w:rPr>
              <w:t>专业方向</w:t>
            </w:r>
          </w:p>
        </w:tc>
        <w:tc>
          <w:tcPr>
            <w:tcW w:type="dxa" w:w="3175"/>
            <w:shd w:fill="1E3A8A"/>
            <w:vAlign w:val="center"/>
          </w:tcPr>
          <w:p>
            <w:pPr>
              <w:jc w:val="center"/>
            </w:pPr>
            <w:r/>
            <w:r>
              <w:rPr>
                <w:rFonts w:ascii="宋体" w:hAnsi="宋体" w:eastAsia="宋体"/>
                <w:b/>
                <w:color w:val="FFFFFF"/>
                <w:sz w:val="20"/>
              </w:rPr>
              <w:t>典型课程/实训</w:t>
            </w:r>
          </w:p>
        </w:tc>
        <w:tc>
          <w:tcPr>
            <w:tcW w:type="dxa" w:w="3798"/>
            <w:shd w:fill="1E3A8A"/>
            <w:vAlign w:val="center"/>
          </w:tcPr>
          <w:p>
            <w:pPr>
              <w:jc w:val="center"/>
            </w:pPr>
            <w:r/>
            <w:r>
              <w:rPr>
                <w:rFonts w:ascii="宋体" w:hAnsi="宋体" w:eastAsia="宋体"/>
                <w:b/>
                <w:color w:val="FFFFFF"/>
                <w:sz w:val="20"/>
              </w:rPr>
              <w:t>岗位能力指向</w:t>
            </w:r>
          </w:p>
        </w:tc>
      </w:tr>
      <w:tr>
        <w:tc>
          <w:tcPr>
            <w:tcW w:type="dxa" w:w="1871"/>
            <w:vAlign w:val="center"/>
            <w:shd w:fill="EFF6FF"/>
          </w:tcPr>
          <w:p>
            <w:pPr>
              <w:jc w:val="left"/>
            </w:pPr>
            <w:r/>
            <w:r>
              <w:rPr>
                <w:rFonts w:ascii="宋体" w:hAnsi="宋体" w:eastAsia="宋体"/>
                <w:b w:val="0"/>
                <w:color w:val="111827"/>
                <w:sz w:val="19"/>
              </w:rPr>
              <w:t>鸿蒙物联网设备开发</w:t>
            </w:r>
          </w:p>
        </w:tc>
        <w:tc>
          <w:tcPr>
            <w:tcW w:type="dxa" w:w="3175"/>
            <w:vAlign w:val="center"/>
          </w:tcPr>
          <w:p>
            <w:pPr>
              <w:jc w:val="left"/>
            </w:pPr>
            <w:r/>
            <w:r>
              <w:rPr>
                <w:rFonts w:ascii="宋体" w:hAnsi="宋体" w:eastAsia="宋体"/>
                <w:b w:val="0"/>
                <w:color w:val="111827"/>
                <w:sz w:val="19"/>
              </w:rPr>
              <w:t>OpenHarmony轻量设备、GPIO与通信接口、设备上云</w:t>
            </w:r>
          </w:p>
        </w:tc>
        <w:tc>
          <w:tcPr>
            <w:tcW w:type="dxa" w:w="3798"/>
            <w:vAlign w:val="center"/>
          </w:tcPr>
          <w:p>
            <w:pPr>
              <w:jc w:val="left"/>
            </w:pPr>
            <w:r/>
            <w:r>
              <w:rPr>
                <w:rFonts w:ascii="宋体" w:hAnsi="宋体" w:eastAsia="宋体"/>
                <w:b w:val="0"/>
                <w:color w:val="111827"/>
                <w:sz w:val="19"/>
              </w:rPr>
              <w:t>物联网终端开发、嵌入式助理工程师、硬件调试。</w:t>
            </w:r>
          </w:p>
        </w:tc>
      </w:tr>
      <w:tr>
        <w:tc>
          <w:tcPr>
            <w:tcW w:type="dxa" w:w="1871"/>
            <w:vAlign w:val="center"/>
            <w:shd w:fill="EFF6FF"/>
          </w:tcPr>
          <w:p>
            <w:pPr>
              <w:jc w:val="left"/>
            </w:pPr>
            <w:r/>
            <w:r>
              <w:rPr>
                <w:rFonts w:ascii="宋体" w:hAnsi="宋体" w:eastAsia="宋体"/>
                <w:b w:val="0"/>
                <w:color w:val="111827"/>
                <w:sz w:val="19"/>
              </w:rPr>
              <w:t>AIoT平台应用</w:t>
            </w:r>
          </w:p>
        </w:tc>
        <w:tc>
          <w:tcPr>
            <w:tcW w:type="dxa" w:w="3175"/>
            <w:vAlign w:val="center"/>
          </w:tcPr>
          <w:p>
            <w:pPr>
              <w:jc w:val="left"/>
            </w:pPr>
            <w:r/>
            <w:r>
              <w:rPr>
                <w:rFonts w:ascii="宋体" w:hAnsi="宋体" w:eastAsia="宋体"/>
                <w:b w:val="0"/>
                <w:color w:val="111827"/>
                <w:sz w:val="19"/>
              </w:rPr>
              <w:t>设备接入、数据可视化、规则引擎、实验过程评价</w:t>
            </w:r>
          </w:p>
        </w:tc>
        <w:tc>
          <w:tcPr>
            <w:tcW w:type="dxa" w:w="3798"/>
            <w:vAlign w:val="center"/>
          </w:tcPr>
          <w:p>
            <w:pPr>
              <w:jc w:val="left"/>
            </w:pPr>
            <w:r/>
            <w:r>
              <w:rPr>
                <w:rFonts w:ascii="宋体" w:hAnsi="宋体" w:eastAsia="宋体"/>
                <w:b w:val="0"/>
                <w:color w:val="111827"/>
                <w:sz w:val="19"/>
              </w:rPr>
              <w:t>平台实施、物联网运维、数据看板配置。</w:t>
            </w:r>
          </w:p>
        </w:tc>
      </w:tr>
      <w:tr>
        <w:tc>
          <w:tcPr>
            <w:tcW w:type="dxa" w:w="1871"/>
            <w:vAlign w:val="center"/>
            <w:shd w:fill="EFF6FF"/>
          </w:tcPr>
          <w:p>
            <w:pPr>
              <w:jc w:val="left"/>
            </w:pPr>
            <w:r/>
            <w:r>
              <w:rPr>
                <w:rFonts w:ascii="宋体" w:hAnsi="宋体" w:eastAsia="宋体"/>
                <w:b w:val="0"/>
                <w:color w:val="111827"/>
                <w:sz w:val="19"/>
              </w:rPr>
              <w:t>智能传感与检测</w:t>
            </w:r>
          </w:p>
        </w:tc>
        <w:tc>
          <w:tcPr>
            <w:tcW w:type="dxa" w:w="3175"/>
            <w:vAlign w:val="center"/>
          </w:tcPr>
          <w:p>
            <w:pPr>
              <w:jc w:val="left"/>
            </w:pPr>
            <w:r/>
            <w:r>
              <w:rPr>
                <w:rFonts w:ascii="宋体" w:hAnsi="宋体" w:eastAsia="宋体"/>
                <w:b w:val="0"/>
                <w:color w:val="111827"/>
                <w:sz w:val="19"/>
              </w:rPr>
              <w:t>环境采集、气体检测、重量检测、CO2趋势分析</w:t>
            </w:r>
          </w:p>
        </w:tc>
        <w:tc>
          <w:tcPr>
            <w:tcW w:type="dxa" w:w="3798"/>
            <w:vAlign w:val="center"/>
          </w:tcPr>
          <w:p>
            <w:pPr>
              <w:jc w:val="left"/>
            </w:pPr>
            <w:r/>
            <w:r>
              <w:rPr>
                <w:rFonts w:ascii="宋体" w:hAnsi="宋体" w:eastAsia="宋体"/>
                <w:b w:val="0"/>
                <w:color w:val="111827"/>
                <w:sz w:val="19"/>
              </w:rPr>
              <w:t>传感器应用、检测系统维护、现场数据采集。</w:t>
            </w:r>
          </w:p>
        </w:tc>
      </w:tr>
      <w:tr>
        <w:tc>
          <w:tcPr>
            <w:tcW w:type="dxa" w:w="1871"/>
            <w:vAlign w:val="center"/>
            <w:shd w:fill="EFF6FF"/>
          </w:tcPr>
          <w:p>
            <w:pPr>
              <w:jc w:val="left"/>
            </w:pPr>
            <w:r/>
            <w:r>
              <w:rPr>
                <w:rFonts w:ascii="宋体" w:hAnsi="宋体" w:eastAsia="宋体"/>
                <w:b w:val="0"/>
                <w:color w:val="111827"/>
                <w:sz w:val="19"/>
              </w:rPr>
              <w:t>行业场景集成</w:t>
            </w:r>
          </w:p>
        </w:tc>
        <w:tc>
          <w:tcPr>
            <w:tcW w:type="dxa" w:w="3175"/>
            <w:vAlign w:val="center"/>
          </w:tcPr>
          <w:p>
            <w:pPr>
              <w:jc w:val="left"/>
            </w:pPr>
            <w:r/>
            <w:r>
              <w:rPr>
                <w:rFonts w:ascii="宋体" w:hAnsi="宋体" w:eastAsia="宋体"/>
                <w:b w:val="0"/>
                <w:color w:val="111827"/>
                <w:sz w:val="19"/>
              </w:rPr>
              <w:t>智慧农业、智慧养殖、发酵监测、智能家居</w:t>
            </w:r>
          </w:p>
        </w:tc>
        <w:tc>
          <w:tcPr>
            <w:tcW w:type="dxa" w:w="3798"/>
            <w:vAlign w:val="center"/>
          </w:tcPr>
          <w:p>
            <w:pPr>
              <w:jc w:val="left"/>
            </w:pPr>
            <w:r/>
            <w:r>
              <w:rPr>
                <w:rFonts w:ascii="宋体" w:hAnsi="宋体" w:eastAsia="宋体"/>
                <w:b w:val="0"/>
                <w:color w:val="111827"/>
                <w:sz w:val="19"/>
              </w:rPr>
              <w:t>系统集成、项目实施、售前技术支持、应用开发。</w:t>
            </w:r>
          </w:p>
        </w:tc>
      </w:tr>
    </w:tbl>
    <w:p/>
    <w:p>
      <w:pPr>
        <w:pStyle w:val="Heading1"/>
        <w:spacing w:before="240" w:after="160"/>
      </w:pPr>
      <w:r>
        <w:rPr>
          <w:rFonts w:ascii="微软雅黑" w:hAnsi="微软雅黑" w:eastAsia="微软雅黑"/>
          <w:color w:val="0F172A"/>
          <w:sz w:val="36"/>
        </w:rPr>
        <w:t>二、教学实验总体设计</w:t>
      </w:r>
    </w:p>
    <w:p>
      <w:pPr>
        <w:pStyle w:val="Heading2"/>
        <w:spacing w:before="160" w:after="160"/>
      </w:pPr>
      <w:r>
        <w:rPr>
          <w:rFonts w:ascii="微软雅黑" w:hAnsi="微软雅黑" w:eastAsia="微软雅黑"/>
          <w:color w:val="0F172A"/>
          <w:sz w:val="28"/>
        </w:rPr>
        <w:t>2.1 建设需求及目标</w:t>
      </w:r>
    </w:p>
    <w:p>
      <w:pPr>
        <w:spacing w:line="324" w:lineRule="auto" w:after="120"/>
        <w:ind w:firstLine="440"/>
      </w:pPr>
      <w:r>
        <w:rPr>
          <w:rFonts w:ascii="宋体" w:hAnsi="宋体" w:eastAsia="宋体"/>
          <w:b w:val="0"/>
          <w:sz w:val="22"/>
        </w:rPr>
        <w:t>本项目建设目标是形成一套面向真实工程链路的鸿蒙物联网综合实训环境。实训室建成后，应能够支撑课堂演示、学生分组训练、虚拟仿真预习、真实设备联调、平台过程评价、行业场景项目和后续能力拓展。</w:t>
      </w:r>
    </w:p>
    <w:p>
      <w:pPr>
        <w:jc w:val="center"/>
      </w:pPr>
      <w:r>
        <w:drawing>
          <wp:inline xmlns:a="http://schemas.openxmlformats.org/drawingml/2006/main" xmlns:pic="http://schemas.openxmlformats.org/drawingml/2006/picture">
            <wp:extent cx="5652000" cy="3461850"/>
            <wp:docPr id="3" name="Picture 3"/>
            <wp:cNvGraphicFramePr>
              <a:graphicFrameLocks noChangeAspect="1"/>
            </wp:cNvGraphicFramePr>
            <a:graphic>
              <a:graphicData uri="http://schemas.openxmlformats.org/drawingml/2006/picture">
                <pic:pic>
                  <pic:nvPicPr>
                    <pic:cNvPr id="0" name="02_teaching_loop.png"/>
                    <pic:cNvPicPr/>
                  </pic:nvPicPr>
                  <pic:blipFill>
                    <a:blip r:embed="rId12"/>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2-1 教学做一体化闭环图</w:t>
      </w:r>
    </w:p>
    <w:p>
      <w:pPr>
        <w:spacing w:after="160"/>
        <w:jc w:val="center"/>
      </w:pPr>
      <w:r>
        <w:rPr>
          <w:rFonts w:ascii="宋体" w:hAnsi="宋体" w:eastAsia="宋体"/>
          <w:b w:val="0"/>
          <w:color w:val="475569"/>
          <w:sz w:val="19"/>
        </w:rPr>
        <w:t>表 2-1 建设目标分解</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目标类别</w:t>
            </w:r>
          </w:p>
        </w:tc>
        <w:tc>
          <w:tcPr>
            <w:tcW w:type="dxa" w:w="3685"/>
            <w:shd w:fill="1E3A8A"/>
            <w:vAlign w:val="center"/>
          </w:tcPr>
          <w:p>
            <w:pPr>
              <w:jc w:val="center"/>
            </w:pPr>
            <w:r/>
            <w:r>
              <w:rPr>
                <w:rFonts w:ascii="宋体" w:hAnsi="宋体" w:eastAsia="宋体"/>
                <w:b/>
                <w:color w:val="FFFFFF"/>
                <w:sz w:val="20"/>
              </w:rPr>
              <w:t>目标描述</w:t>
            </w:r>
          </w:p>
        </w:tc>
        <w:tc>
          <w:tcPr>
            <w:tcW w:type="dxa" w:w="3345"/>
            <w:shd w:fill="1E3A8A"/>
            <w:vAlign w:val="center"/>
          </w:tcPr>
          <w:p>
            <w:pPr>
              <w:jc w:val="center"/>
            </w:pPr>
            <w:r/>
            <w:r>
              <w:rPr>
                <w:rFonts w:ascii="宋体" w:hAnsi="宋体" w:eastAsia="宋体"/>
                <w:b/>
                <w:color w:val="FFFFFF"/>
                <w:sz w:val="20"/>
              </w:rPr>
              <w:t>验收关注点</w:t>
            </w:r>
          </w:p>
        </w:tc>
      </w:tr>
      <w:tr>
        <w:tc>
          <w:tcPr>
            <w:tcW w:type="dxa" w:w="1701"/>
            <w:vAlign w:val="center"/>
            <w:shd w:fill="EFF6FF"/>
          </w:tcPr>
          <w:p>
            <w:pPr>
              <w:jc w:val="left"/>
            </w:pPr>
            <w:r/>
            <w:r>
              <w:rPr>
                <w:rFonts w:ascii="宋体" w:hAnsi="宋体" w:eastAsia="宋体"/>
                <w:b w:val="0"/>
                <w:color w:val="111827"/>
                <w:sz w:val="19"/>
              </w:rPr>
              <w:t>教学目标</w:t>
            </w:r>
          </w:p>
        </w:tc>
        <w:tc>
          <w:tcPr>
            <w:tcW w:type="dxa" w:w="3685"/>
            <w:vAlign w:val="center"/>
          </w:tcPr>
          <w:p>
            <w:pPr>
              <w:jc w:val="left"/>
            </w:pPr>
            <w:r/>
            <w:r>
              <w:rPr>
                <w:rFonts w:ascii="宋体" w:hAnsi="宋体" w:eastAsia="宋体"/>
                <w:b w:val="0"/>
                <w:color w:val="111827"/>
                <w:sz w:val="19"/>
              </w:rPr>
              <w:t>支撑物联网基础、鸿蒙开发、通信协议、平台应用、行业项目等课程。</w:t>
            </w:r>
          </w:p>
        </w:tc>
        <w:tc>
          <w:tcPr>
            <w:tcW w:type="dxa" w:w="3345"/>
            <w:vAlign w:val="center"/>
          </w:tcPr>
          <w:p>
            <w:pPr>
              <w:jc w:val="left"/>
            </w:pPr>
            <w:r/>
            <w:r>
              <w:rPr>
                <w:rFonts w:ascii="宋体" w:hAnsi="宋体" w:eastAsia="宋体"/>
                <w:b w:val="0"/>
                <w:color w:val="111827"/>
                <w:sz w:val="19"/>
              </w:rPr>
              <w:t>课程资源可导入、任务可发布、学生可提交报告。</w:t>
            </w:r>
          </w:p>
        </w:tc>
      </w:tr>
      <w:tr>
        <w:tc>
          <w:tcPr>
            <w:tcW w:type="dxa" w:w="1701"/>
            <w:vAlign w:val="center"/>
            <w:shd w:fill="EFF6FF"/>
          </w:tcPr>
          <w:p>
            <w:pPr>
              <w:jc w:val="left"/>
            </w:pPr>
            <w:r/>
            <w:r>
              <w:rPr>
                <w:rFonts w:ascii="宋体" w:hAnsi="宋体" w:eastAsia="宋体"/>
                <w:b w:val="0"/>
                <w:color w:val="111827"/>
                <w:sz w:val="19"/>
              </w:rPr>
              <w:t>实训目标</w:t>
            </w:r>
          </w:p>
        </w:tc>
        <w:tc>
          <w:tcPr>
            <w:tcW w:type="dxa" w:w="3685"/>
            <w:vAlign w:val="center"/>
          </w:tcPr>
          <w:p>
            <w:pPr>
              <w:jc w:val="left"/>
            </w:pPr>
            <w:r/>
            <w:r>
              <w:rPr>
                <w:rFonts w:ascii="宋体" w:hAnsi="宋体" w:eastAsia="宋体"/>
                <w:b w:val="0"/>
                <w:color w:val="111827"/>
                <w:sz w:val="19"/>
              </w:rPr>
              <w:t>25组学生工位同步开展实验，完成从采集到控制的闭环训练。</w:t>
            </w:r>
          </w:p>
        </w:tc>
        <w:tc>
          <w:tcPr>
            <w:tcW w:type="dxa" w:w="3345"/>
            <w:vAlign w:val="center"/>
          </w:tcPr>
          <w:p>
            <w:pPr>
              <w:jc w:val="left"/>
            </w:pPr>
            <w:r/>
            <w:r>
              <w:rPr>
                <w:rFonts w:ascii="宋体" w:hAnsi="宋体" w:eastAsia="宋体"/>
                <w:b w:val="0"/>
                <w:color w:val="111827"/>
                <w:sz w:val="19"/>
              </w:rPr>
              <w:t>50人同时实训，设备可稳定接入，数据可采集。</w:t>
            </w:r>
          </w:p>
        </w:tc>
      </w:tr>
      <w:tr>
        <w:tc>
          <w:tcPr>
            <w:tcW w:type="dxa" w:w="1701"/>
            <w:vAlign w:val="center"/>
            <w:shd w:fill="EFF6FF"/>
          </w:tcPr>
          <w:p>
            <w:pPr>
              <w:jc w:val="left"/>
            </w:pPr>
            <w:r/>
            <w:r>
              <w:rPr>
                <w:rFonts w:ascii="宋体" w:hAnsi="宋体" w:eastAsia="宋体"/>
                <w:b w:val="0"/>
                <w:color w:val="111827"/>
                <w:sz w:val="19"/>
              </w:rPr>
              <w:t>平台目标</w:t>
            </w:r>
          </w:p>
        </w:tc>
        <w:tc>
          <w:tcPr>
            <w:tcW w:type="dxa" w:w="3685"/>
            <w:vAlign w:val="center"/>
          </w:tcPr>
          <w:p>
            <w:pPr>
              <w:jc w:val="left"/>
            </w:pPr>
            <w:r/>
            <w:r>
              <w:rPr>
                <w:rFonts w:ascii="宋体" w:hAnsi="宋体" w:eastAsia="宋体"/>
                <w:b w:val="0"/>
                <w:color w:val="111827"/>
                <w:sz w:val="19"/>
              </w:rPr>
              <w:t>建设AIoT教学云平台，实现设备、课程、任务、资源、成绩和报告统一管理。</w:t>
            </w:r>
          </w:p>
        </w:tc>
        <w:tc>
          <w:tcPr>
            <w:tcW w:type="dxa" w:w="3345"/>
            <w:vAlign w:val="center"/>
          </w:tcPr>
          <w:p>
            <w:pPr>
              <w:jc w:val="left"/>
            </w:pPr>
            <w:r/>
            <w:r>
              <w:rPr>
                <w:rFonts w:ascii="宋体" w:hAnsi="宋体" w:eastAsia="宋体"/>
                <w:b w:val="0"/>
                <w:color w:val="111827"/>
                <w:sz w:val="19"/>
              </w:rPr>
              <w:t>教师、学生、管理员角色可用，设备和实验数据可查询。</w:t>
            </w:r>
          </w:p>
        </w:tc>
      </w:tr>
      <w:tr>
        <w:tc>
          <w:tcPr>
            <w:tcW w:type="dxa" w:w="1701"/>
            <w:vAlign w:val="center"/>
            <w:shd w:fill="EFF6FF"/>
          </w:tcPr>
          <w:p>
            <w:pPr>
              <w:jc w:val="left"/>
            </w:pPr>
            <w:r/>
            <w:r>
              <w:rPr>
                <w:rFonts w:ascii="宋体" w:hAnsi="宋体" w:eastAsia="宋体"/>
                <w:b w:val="0"/>
                <w:color w:val="111827"/>
                <w:sz w:val="19"/>
              </w:rPr>
              <w:t>场景目标</w:t>
            </w:r>
          </w:p>
        </w:tc>
        <w:tc>
          <w:tcPr>
            <w:tcW w:type="dxa" w:w="3685"/>
            <w:vAlign w:val="center"/>
          </w:tcPr>
          <w:p>
            <w:pPr>
              <w:jc w:val="left"/>
            </w:pPr>
            <w:r/>
            <w:r>
              <w:rPr>
                <w:rFonts w:ascii="宋体" w:hAnsi="宋体" w:eastAsia="宋体"/>
                <w:b w:val="0"/>
                <w:color w:val="111827"/>
                <w:sz w:val="19"/>
              </w:rPr>
              <w:t>形成智慧农业、智慧养殖、微生物发酵、智能家居等可迁移项目。</w:t>
            </w:r>
          </w:p>
        </w:tc>
        <w:tc>
          <w:tcPr>
            <w:tcW w:type="dxa" w:w="3345"/>
            <w:vAlign w:val="center"/>
          </w:tcPr>
          <w:p>
            <w:pPr>
              <w:jc w:val="left"/>
            </w:pPr>
            <w:r/>
            <w:r>
              <w:rPr>
                <w:rFonts w:ascii="宋体" w:hAnsi="宋体" w:eastAsia="宋体"/>
                <w:b w:val="0"/>
                <w:color w:val="111827"/>
                <w:sz w:val="19"/>
              </w:rPr>
              <w:t>至少形成基础实验、综合项目和行业项目的分层案例。</w:t>
            </w:r>
          </w:p>
        </w:tc>
      </w:tr>
      <w:tr>
        <w:tc>
          <w:tcPr>
            <w:tcW w:type="dxa" w:w="1701"/>
            <w:vAlign w:val="center"/>
            <w:shd w:fill="EFF6FF"/>
          </w:tcPr>
          <w:p>
            <w:pPr>
              <w:jc w:val="left"/>
            </w:pPr>
            <w:r/>
            <w:r>
              <w:rPr>
                <w:rFonts w:ascii="宋体" w:hAnsi="宋体" w:eastAsia="宋体"/>
                <w:b w:val="0"/>
                <w:color w:val="111827"/>
                <w:sz w:val="19"/>
              </w:rPr>
              <w:t>持续目标</w:t>
            </w:r>
          </w:p>
        </w:tc>
        <w:tc>
          <w:tcPr>
            <w:tcW w:type="dxa" w:w="3685"/>
            <w:vAlign w:val="center"/>
          </w:tcPr>
          <w:p>
            <w:pPr>
              <w:jc w:val="left"/>
            </w:pPr>
            <w:r/>
            <w:r>
              <w:rPr>
                <w:rFonts w:ascii="宋体" w:hAnsi="宋体" w:eastAsia="宋体"/>
                <w:b w:val="0"/>
                <w:color w:val="111827"/>
                <w:sz w:val="19"/>
              </w:rPr>
              <w:t>预留产教协同、创新课题、竞赛训练和二次开发能力。</w:t>
            </w:r>
          </w:p>
        </w:tc>
        <w:tc>
          <w:tcPr>
            <w:tcW w:type="dxa" w:w="3345"/>
            <w:vAlign w:val="center"/>
          </w:tcPr>
          <w:p>
            <w:pPr>
              <w:jc w:val="left"/>
            </w:pPr>
            <w:r/>
            <w:r>
              <w:rPr>
                <w:rFonts w:ascii="宋体" w:hAnsi="宋体" w:eastAsia="宋体"/>
                <w:b w:val="0"/>
                <w:color w:val="111827"/>
                <w:sz w:val="19"/>
              </w:rPr>
              <w:t>接口开放、资源可迭代、数据可沉淀、过程可评价。</w:t>
            </w:r>
          </w:p>
        </w:tc>
      </w:tr>
    </w:tbl>
    <w:p/>
    <w:p>
      <w:pPr>
        <w:pStyle w:val="Heading2"/>
        <w:spacing w:before="160" w:after="160"/>
      </w:pPr>
      <w:r>
        <w:rPr>
          <w:rFonts w:ascii="微软雅黑" w:hAnsi="微软雅黑" w:eastAsia="微软雅黑"/>
          <w:color w:val="0F172A"/>
          <w:sz w:val="28"/>
        </w:rPr>
        <w:t>2.2 建设规划</w:t>
      </w:r>
    </w:p>
    <w:p>
      <w:pPr>
        <w:spacing w:line="324" w:lineRule="auto" w:after="120"/>
        <w:ind w:firstLine="440"/>
      </w:pPr>
      <w:r>
        <w:rPr>
          <w:rFonts w:ascii="宋体" w:hAnsi="宋体" w:eastAsia="宋体"/>
          <w:b w:val="0"/>
          <w:sz w:val="22"/>
        </w:rPr>
        <w:t>实训室按照“一平台、两类终端、三层能力、四类场景”的思路进行规划。一平台指AIoT教学云平台；两类终端指真实硬件终端与在线仿真终端；三层能力指感知控制基础、协议网关集成、行业应用创新；四类场景指智能家居、环境监测、智慧农业/发酵、智慧养殖与数字孪生。</w:t>
      </w:r>
    </w:p>
    <w:p>
      <w:pPr>
        <w:jc w:val="center"/>
      </w:pPr>
      <w:r>
        <w:drawing>
          <wp:inline xmlns:a="http://schemas.openxmlformats.org/drawingml/2006/main" xmlns:pic="http://schemas.openxmlformats.org/drawingml/2006/picture">
            <wp:extent cx="5652000" cy="3461850"/>
            <wp:docPr id="4" name="Picture 4"/>
            <wp:cNvGraphicFramePr>
              <a:graphicFrameLocks noChangeAspect="1"/>
            </wp:cNvGraphicFramePr>
            <a:graphic>
              <a:graphicData uri="http://schemas.openxmlformats.org/drawingml/2006/picture">
                <pic:pic>
                  <pic:nvPicPr>
                    <pic:cNvPr id="0" name="03_ability_route.png"/>
                    <pic:cNvPicPr/>
                  </pic:nvPicPr>
                  <pic:blipFill>
                    <a:blip r:embed="rId13"/>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2-2 学生能力递进路线图</w:t>
      </w:r>
    </w:p>
    <w:p>
      <w:pPr>
        <w:spacing w:after="160"/>
        <w:jc w:val="center"/>
      </w:pPr>
      <w:r>
        <w:rPr>
          <w:rFonts w:ascii="宋体" w:hAnsi="宋体" w:eastAsia="宋体"/>
          <w:b w:val="0"/>
          <w:color w:val="475569"/>
          <w:sz w:val="19"/>
        </w:rPr>
        <w:t>表 2-2 实训体系规划</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层级</w:t>
            </w:r>
          </w:p>
        </w:tc>
        <w:tc>
          <w:tcPr>
            <w:tcW w:type="dxa" w:w="3969"/>
            <w:shd w:fill="1E3A8A"/>
            <w:vAlign w:val="center"/>
          </w:tcPr>
          <w:p>
            <w:pPr>
              <w:jc w:val="center"/>
            </w:pPr>
            <w:r/>
            <w:r>
              <w:rPr>
                <w:rFonts w:ascii="宋体" w:hAnsi="宋体" w:eastAsia="宋体"/>
                <w:b/>
                <w:color w:val="FFFFFF"/>
                <w:sz w:val="20"/>
              </w:rPr>
              <w:t>典型内容</w:t>
            </w:r>
          </w:p>
        </w:tc>
        <w:tc>
          <w:tcPr>
            <w:tcW w:type="dxa" w:w="3061"/>
            <w:shd w:fill="1E3A8A"/>
            <w:vAlign w:val="center"/>
          </w:tcPr>
          <w:p>
            <w:pPr>
              <w:jc w:val="center"/>
            </w:pPr>
            <w:r/>
            <w:r>
              <w:rPr>
                <w:rFonts w:ascii="宋体" w:hAnsi="宋体" w:eastAsia="宋体"/>
                <w:b/>
                <w:color w:val="FFFFFF"/>
                <w:sz w:val="20"/>
              </w:rPr>
              <w:t>能力目标</w:t>
            </w:r>
          </w:p>
        </w:tc>
      </w:tr>
      <w:tr>
        <w:tc>
          <w:tcPr>
            <w:tcW w:type="dxa" w:w="1701"/>
            <w:vAlign w:val="center"/>
            <w:shd w:fill="EFF6FF"/>
          </w:tcPr>
          <w:p>
            <w:pPr>
              <w:jc w:val="left"/>
            </w:pPr>
            <w:r/>
            <w:r>
              <w:rPr>
                <w:rFonts w:ascii="宋体" w:hAnsi="宋体" w:eastAsia="宋体"/>
                <w:b w:val="0"/>
                <w:color w:val="111827"/>
                <w:sz w:val="19"/>
              </w:rPr>
              <w:t>基础验证</w:t>
            </w:r>
          </w:p>
        </w:tc>
        <w:tc>
          <w:tcPr>
            <w:tcW w:type="dxa" w:w="3969"/>
            <w:vAlign w:val="center"/>
          </w:tcPr>
          <w:p>
            <w:pPr>
              <w:jc w:val="left"/>
            </w:pPr>
            <w:r/>
            <w:r>
              <w:rPr>
                <w:rFonts w:ascii="宋体" w:hAnsi="宋体" w:eastAsia="宋体"/>
                <w:b w:val="0"/>
                <w:color w:val="111827"/>
                <w:sz w:val="19"/>
              </w:rPr>
              <w:t>GPIO、UART、I2C、SPI、ADC、PWM、定时器、中断、OpenHarmony工程创建</w:t>
            </w:r>
          </w:p>
        </w:tc>
        <w:tc>
          <w:tcPr>
            <w:tcW w:type="dxa" w:w="3061"/>
            <w:vAlign w:val="center"/>
          </w:tcPr>
          <w:p>
            <w:pPr>
              <w:jc w:val="left"/>
            </w:pPr>
            <w:r/>
            <w:r>
              <w:rPr>
                <w:rFonts w:ascii="宋体" w:hAnsi="宋体" w:eastAsia="宋体"/>
                <w:b w:val="0"/>
                <w:color w:val="111827"/>
                <w:sz w:val="19"/>
              </w:rPr>
              <w:t>验证硬件驱动、接口调用和基础调试能力。</w:t>
            </w:r>
          </w:p>
        </w:tc>
      </w:tr>
      <w:tr>
        <w:tc>
          <w:tcPr>
            <w:tcW w:type="dxa" w:w="1701"/>
            <w:vAlign w:val="center"/>
            <w:shd w:fill="EFF6FF"/>
          </w:tcPr>
          <w:p>
            <w:pPr>
              <w:jc w:val="left"/>
            </w:pPr>
            <w:r/>
            <w:r>
              <w:rPr>
                <w:rFonts w:ascii="宋体" w:hAnsi="宋体" w:eastAsia="宋体"/>
                <w:b w:val="0"/>
                <w:color w:val="111827"/>
                <w:sz w:val="19"/>
              </w:rPr>
              <w:t>模块组合</w:t>
            </w:r>
          </w:p>
        </w:tc>
        <w:tc>
          <w:tcPr>
            <w:tcW w:type="dxa" w:w="3969"/>
            <w:vAlign w:val="center"/>
          </w:tcPr>
          <w:p>
            <w:pPr>
              <w:jc w:val="left"/>
            </w:pPr>
            <w:r/>
            <w:r>
              <w:rPr>
                <w:rFonts w:ascii="宋体" w:hAnsi="宋体" w:eastAsia="宋体"/>
                <w:b w:val="0"/>
                <w:color w:val="111827"/>
                <w:sz w:val="19"/>
              </w:rPr>
              <w:t>温湿度采集、光照采集、继电器控制、ZigBee组网、WiFi联网</w:t>
            </w:r>
          </w:p>
        </w:tc>
        <w:tc>
          <w:tcPr>
            <w:tcW w:type="dxa" w:w="3061"/>
            <w:vAlign w:val="center"/>
          </w:tcPr>
          <w:p>
            <w:pPr>
              <w:jc w:val="left"/>
            </w:pPr>
            <w:r/>
            <w:r>
              <w:rPr>
                <w:rFonts w:ascii="宋体" w:hAnsi="宋体" w:eastAsia="宋体"/>
                <w:b w:val="0"/>
                <w:color w:val="111827"/>
                <w:sz w:val="19"/>
              </w:rPr>
              <w:t>完成多模块协同和数据上报。</w:t>
            </w:r>
          </w:p>
        </w:tc>
      </w:tr>
      <w:tr>
        <w:tc>
          <w:tcPr>
            <w:tcW w:type="dxa" w:w="1701"/>
            <w:vAlign w:val="center"/>
            <w:shd w:fill="EFF6FF"/>
          </w:tcPr>
          <w:p>
            <w:pPr>
              <w:jc w:val="left"/>
            </w:pPr>
            <w:r/>
            <w:r>
              <w:rPr>
                <w:rFonts w:ascii="宋体" w:hAnsi="宋体" w:eastAsia="宋体"/>
                <w:b w:val="0"/>
                <w:color w:val="111827"/>
                <w:sz w:val="19"/>
              </w:rPr>
              <w:t>综合项目</w:t>
            </w:r>
          </w:p>
        </w:tc>
        <w:tc>
          <w:tcPr>
            <w:tcW w:type="dxa" w:w="3969"/>
            <w:vAlign w:val="center"/>
          </w:tcPr>
          <w:p>
            <w:pPr>
              <w:jc w:val="left"/>
            </w:pPr>
            <w:r/>
            <w:r>
              <w:rPr>
                <w:rFonts w:ascii="宋体" w:hAnsi="宋体" w:eastAsia="宋体"/>
                <w:b w:val="0"/>
                <w:color w:val="111827"/>
                <w:sz w:val="19"/>
              </w:rPr>
              <w:t>网关协议转换、MQTT主题设计、规则引擎、平台大屏、本地触控看板</w:t>
            </w:r>
          </w:p>
        </w:tc>
        <w:tc>
          <w:tcPr>
            <w:tcW w:type="dxa" w:w="3061"/>
            <w:vAlign w:val="center"/>
          </w:tcPr>
          <w:p>
            <w:pPr>
              <w:jc w:val="left"/>
            </w:pPr>
            <w:r/>
            <w:r>
              <w:rPr>
                <w:rFonts w:ascii="宋体" w:hAnsi="宋体" w:eastAsia="宋体"/>
                <w:b w:val="0"/>
                <w:color w:val="111827"/>
                <w:sz w:val="19"/>
              </w:rPr>
              <w:t>形成端、边、云、控闭环项目。</w:t>
            </w:r>
          </w:p>
        </w:tc>
      </w:tr>
      <w:tr>
        <w:tc>
          <w:tcPr>
            <w:tcW w:type="dxa" w:w="1701"/>
            <w:vAlign w:val="center"/>
            <w:shd w:fill="EFF6FF"/>
          </w:tcPr>
          <w:p>
            <w:pPr>
              <w:jc w:val="left"/>
            </w:pPr>
            <w:r/>
            <w:r>
              <w:rPr>
                <w:rFonts w:ascii="宋体" w:hAnsi="宋体" w:eastAsia="宋体"/>
                <w:b w:val="0"/>
                <w:color w:val="111827"/>
                <w:sz w:val="19"/>
              </w:rPr>
              <w:t>行业创新</w:t>
            </w:r>
          </w:p>
        </w:tc>
        <w:tc>
          <w:tcPr>
            <w:tcW w:type="dxa" w:w="3969"/>
            <w:vAlign w:val="center"/>
          </w:tcPr>
          <w:p>
            <w:pPr>
              <w:jc w:val="left"/>
            </w:pPr>
            <w:r/>
            <w:r>
              <w:rPr>
                <w:rFonts w:ascii="宋体" w:hAnsi="宋体" w:eastAsia="宋体"/>
                <w:b w:val="0"/>
                <w:color w:val="111827"/>
                <w:sz w:val="19"/>
              </w:rPr>
              <w:t>发酵监测、智慧养殖、智慧农业、资产识别、数字孪生、AI问答</w:t>
            </w:r>
          </w:p>
        </w:tc>
        <w:tc>
          <w:tcPr>
            <w:tcW w:type="dxa" w:w="3061"/>
            <w:vAlign w:val="center"/>
          </w:tcPr>
          <w:p>
            <w:pPr>
              <w:jc w:val="left"/>
            </w:pPr>
            <w:r/>
            <w:r>
              <w:rPr>
                <w:rFonts w:ascii="宋体" w:hAnsi="宋体" w:eastAsia="宋体"/>
                <w:b w:val="0"/>
                <w:color w:val="111827"/>
                <w:sz w:val="19"/>
              </w:rPr>
              <w:t>支撑跨专业项目、毕业设计和后续竞赛训练。</w:t>
            </w:r>
          </w:p>
        </w:tc>
      </w:tr>
    </w:tbl>
    <w:p/>
    <w:p>
      <w:pPr>
        <w:pStyle w:val="Heading1"/>
        <w:spacing w:before="240" w:after="160"/>
      </w:pPr>
      <w:r>
        <w:rPr>
          <w:rFonts w:ascii="微软雅黑" w:hAnsi="微软雅黑" w:eastAsia="微软雅黑"/>
          <w:color w:val="0F172A"/>
          <w:sz w:val="36"/>
        </w:rPr>
        <w:t>三、鸿蒙物联网综合实训室</w:t>
      </w:r>
    </w:p>
    <w:p>
      <w:pPr>
        <w:pStyle w:val="Heading2"/>
        <w:spacing w:before="160" w:after="160"/>
      </w:pPr>
      <w:r>
        <w:rPr>
          <w:rFonts w:ascii="微软雅黑" w:hAnsi="微软雅黑" w:eastAsia="微软雅黑"/>
          <w:color w:val="0F172A"/>
          <w:sz w:val="28"/>
        </w:rPr>
        <w:t>3.1 总体规划</w:t>
      </w:r>
    </w:p>
    <w:p>
      <w:pPr>
        <w:spacing w:line="324" w:lineRule="auto" w:after="120"/>
        <w:ind w:firstLine="440"/>
      </w:pPr>
      <w:r>
        <w:rPr>
          <w:rFonts w:ascii="宋体" w:hAnsi="宋体" w:eastAsia="宋体"/>
          <w:b w:val="0"/>
          <w:sz w:val="22"/>
        </w:rPr>
        <w:t>鸿蒙物联网综合实训室建议以120㎡空间为载体，设置教师演示区、25组学生实训工位、网络与服务器柜、设备收纳区和文化展示区。空间组织兼顾课堂讲授、分组实操、设备维护、成果展示与项目答辩。</w:t>
      </w:r>
    </w:p>
    <w:p>
      <w:pPr>
        <w:jc w:val="center"/>
      </w:pPr>
      <w:r>
        <w:drawing>
          <wp:inline xmlns:a="http://schemas.openxmlformats.org/drawingml/2006/main" xmlns:pic="http://schemas.openxmlformats.org/drawingml/2006/picture">
            <wp:extent cx="5652000" cy="3461850"/>
            <wp:docPr id="5" name="Picture 5"/>
            <wp:cNvGraphicFramePr>
              <a:graphicFrameLocks noChangeAspect="1"/>
            </wp:cNvGraphicFramePr>
            <a:graphic>
              <a:graphicData uri="http://schemas.openxmlformats.org/drawingml/2006/picture">
                <pic:pic>
                  <pic:nvPicPr>
                    <pic:cNvPr id="0" name="04_space_layout.png"/>
                    <pic:cNvPicPr/>
                  </pic:nvPicPr>
                  <pic:blipFill>
                    <a:blip r:embed="rId14"/>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3-1 120㎡空间布局示意图</w:t>
      </w:r>
    </w:p>
    <w:p>
      <w:pPr>
        <w:jc w:val="center"/>
      </w:pPr>
      <w:r>
        <w:drawing>
          <wp:inline xmlns:a="http://schemas.openxmlformats.org/drawingml/2006/main" xmlns:pic="http://schemas.openxmlformats.org/drawingml/2006/picture">
            <wp:extent cx="5652000" cy="3579600"/>
            <wp:docPr id="6" name="Picture 6"/>
            <wp:cNvGraphicFramePr>
              <a:graphicFrameLocks noChangeAspect="1"/>
            </wp:cNvGraphicFramePr>
            <a:graphic>
              <a:graphicData uri="http://schemas.openxmlformats.org/drawingml/2006/picture">
                <pic:pic>
                  <pic:nvPicPr>
                    <pic:cNvPr id="0" name="02.png"/>
                    <pic:cNvPicPr/>
                  </pic:nvPicPr>
                  <pic:blipFill>
                    <a:blip r:embed="rId15"/>
                    <a:stretch>
                      <a:fillRect/>
                    </a:stretch>
                  </pic:blipFill>
                  <pic:spPr>
                    <a:xfrm>
                      <a:off x="0" y="0"/>
                      <a:ext cx="5652000" cy="3579600"/>
                    </a:xfrm>
                    <a:prstGeom prst="rect"/>
                  </pic:spPr>
                </pic:pic>
              </a:graphicData>
            </a:graphic>
          </wp:inline>
        </w:drawing>
      </w:r>
    </w:p>
    <w:p>
      <w:pPr>
        <w:spacing w:after="160"/>
        <w:jc w:val="center"/>
      </w:pPr>
      <w:r>
        <w:rPr>
          <w:rFonts w:ascii="宋体" w:hAnsi="宋体" w:eastAsia="宋体"/>
          <w:b w:val="0"/>
          <w:color w:val="475569"/>
          <w:sz w:val="19"/>
        </w:rPr>
        <w:t>图 3-2 原始鸿蒙方案空间与设备部署示意图（复用本地素材）</w:t>
      </w:r>
    </w:p>
    <w:p>
      <w:pPr>
        <w:spacing w:line="324" w:lineRule="auto" w:after="120"/>
        <w:ind w:firstLine="440"/>
      </w:pPr>
      <w:r>
        <w:rPr>
          <w:rFonts w:ascii="宋体" w:hAnsi="宋体" w:eastAsia="宋体"/>
          <w:b w:val="0"/>
          <w:sz w:val="22"/>
        </w:rPr>
        <w:t>每组工位建议按2名学生组织，配置电脑终端、鸿蒙物联网实验箱、基础线材和低压安全电源。扩展开发包可按课程模块配置到工位，也可采用共享轮换方式提升预算利用率。教师端可集中展示代码运行、网关日志、平台数据大屏和学生任务进度。</w:t>
      </w:r>
    </w:p>
    <w:p>
      <w:pPr>
        <w:pStyle w:val="Heading2"/>
        <w:spacing w:before="160" w:after="160"/>
      </w:pPr>
      <w:r>
        <w:rPr>
          <w:rFonts w:ascii="微软雅黑" w:hAnsi="微软雅黑" w:eastAsia="微软雅黑"/>
          <w:color w:val="0F172A"/>
          <w:sz w:val="28"/>
        </w:rPr>
        <w:t>3.2 基本思路</w:t>
      </w:r>
    </w:p>
    <w:p>
      <w:pPr>
        <w:spacing w:line="324" w:lineRule="auto" w:after="120"/>
        <w:ind w:firstLine="440"/>
      </w:pPr>
      <w:r>
        <w:rPr>
          <w:rFonts w:ascii="宋体" w:hAnsi="宋体" w:eastAsia="宋体"/>
          <w:b w:val="0"/>
          <w:sz w:val="22"/>
        </w:rPr>
        <w:t>第一，强调真实场景再现。通过智能家居、环境监测、智慧农业、智慧养殖和微生物发酵监测等场景，让学生理解传感器采集、边缘判断、平台展示和控制执行在实际项目中的作用。</w:t>
      </w:r>
    </w:p>
    <w:p>
      <w:pPr>
        <w:spacing w:line="324" w:lineRule="auto" w:after="120"/>
        <w:ind w:firstLine="440"/>
      </w:pPr>
      <w:r>
        <w:rPr>
          <w:rFonts w:ascii="宋体" w:hAnsi="宋体" w:eastAsia="宋体"/>
          <w:b w:val="0"/>
          <w:sz w:val="22"/>
        </w:rPr>
        <w:t>第二，强调虚实结合。真实设备承担动手操作和工程联调，在线仿真承担课前预习、课后练习和混合考核，两类终端统一接入平台，便于教师查看过程数据和实验结果。</w:t>
      </w:r>
    </w:p>
    <w:p>
      <w:pPr>
        <w:spacing w:line="324" w:lineRule="auto" w:after="120"/>
        <w:ind w:firstLine="440"/>
      </w:pPr>
      <w:r>
        <w:rPr>
          <w:rFonts w:ascii="宋体" w:hAnsi="宋体" w:eastAsia="宋体"/>
          <w:b w:val="0"/>
          <w:sz w:val="22"/>
        </w:rPr>
        <w:t>第三，强调模块化和可扩展。实验箱采用统一快接接口、统一供电和通信触点，支持主控、通信、传感、RFID、执行器等模块按课程需要组合，降低课堂准备难度，提高设备复用率。</w:t>
      </w:r>
    </w:p>
    <w:p>
      <w:pPr>
        <w:spacing w:line="324" w:lineRule="auto" w:after="120"/>
        <w:ind w:firstLine="440"/>
      </w:pPr>
      <w:r>
        <w:rPr>
          <w:rFonts w:ascii="宋体" w:hAnsi="宋体" w:eastAsia="宋体"/>
          <w:b w:val="0"/>
          <w:sz w:val="22"/>
        </w:rPr>
        <w:t>第四，强调数据沉淀和评价闭环。平台记录学生设备连接、代码运行、仿真日志、数据上报、报告提交和教师批注，为过程性评价、项目复盘和课程资源迭代提供依据。</w:t>
      </w:r>
    </w:p>
    <w:p>
      <w:pPr>
        <w:jc w:val="center"/>
      </w:pPr>
      <w:r>
        <w:drawing>
          <wp:inline xmlns:a="http://schemas.openxmlformats.org/drawingml/2006/main" xmlns:pic="http://schemas.openxmlformats.org/drawingml/2006/picture">
            <wp:extent cx="5652000" cy="3461850"/>
            <wp:docPr id="7" name="Picture 7"/>
            <wp:cNvGraphicFramePr>
              <a:graphicFrameLocks noChangeAspect="1"/>
            </wp:cNvGraphicFramePr>
            <a:graphic>
              <a:graphicData uri="http://schemas.openxmlformats.org/drawingml/2006/picture">
                <pic:pic>
                  <pic:nvPicPr>
                    <pic:cNvPr id="0" name="05_architecture.png"/>
                    <pic:cNvPicPr/>
                  </pic:nvPicPr>
                  <pic:blipFill>
                    <a:blip r:embed="rId16"/>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3-3 端-边-云总体架构图</w:t>
      </w:r>
    </w:p>
    <w:p>
      <w:pPr>
        <w:jc w:val="center"/>
      </w:pPr>
      <w:r>
        <w:drawing>
          <wp:inline xmlns:a="http://schemas.openxmlformats.org/drawingml/2006/main" xmlns:pic="http://schemas.openxmlformats.org/drawingml/2006/picture">
            <wp:extent cx="5652000" cy="3579600"/>
            <wp:docPr id="8" name="Picture 8"/>
            <wp:cNvGraphicFramePr>
              <a:graphicFrameLocks noChangeAspect="1"/>
            </wp:cNvGraphicFramePr>
            <a:graphic>
              <a:graphicData uri="http://schemas.openxmlformats.org/drawingml/2006/picture">
                <pic:pic>
                  <pic:nvPicPr>
                    <pic:cNvPr id="0" name="01.png"/>
                    <pic:cNvPicPr/>
                  </pic:nvPicPr>
                  <pic:blipFill>
                    <a:blip r:embed="rId17"/>
                    <a:stretch>
                      <a:fillRect/>
                    </a:stretch>
                  </pic:blipFill>
                  <pic:spPr>
                    <a:xfrm>
                      <a:off x="0" y="0"/>
                      <a:ext cx="5652000" cy="3579600"/>
                    </a:xfrm>
                    <a:prstGeom prst="rect"/>
                  </pic:spPr>
                </pic:pic>
              </a:graphicData>
            </a:graphic>
          </wp:inline>
        </w:drawing>
      </w:r>
    </w:p>
    <w:p>
      <w:pPr>
        <w:spacing w:after="160"/>
        <w:jc w:val="center"/>
      </w:pPr>
      <w:r>
        <w:rPr>
          <w:rFonts w:ascii="宋体" w:hAnsi="宋体" w:eastAsia="宋体"/>
          <w:b w:val="0"/>
          <w:color w:val="475569"/>
          <w:sz w:val="19"/>
        </w:rPr>
        <w:t>图 3-4 原始鸿蒙方案总体架构图（复用本地素材）</w:t>
      </w:r>
    </w:p>
    <w:p>
      <w:pPr>
        <w:pStyle w:val="Heading2"/>
        <w:spacing w:before="160" w:after="160"/>
      </w:pPr>
      <w:r>
        <w:rPr>
          <w:rFonts w:ascii="微软雅黑" w:hAnsi="微软雅黑" w:eastAsia="微软雅黑"/>
          <w:color w:val="0F172A"/>
          <w:sz w:val="28"/>
        </w:rPr>
        <w:t>3.3 基础设施构建</w:t>
      </w:r>
    </w:p>
    <w:p>
      <w:pPr>
        <w:spacing w:line="324" w:lineRule="auto" w:after="120"/>
        <w:ind w:firstLine="440"/>
      </w:pPr>
      <w:r>
        <w:rPr>
          <w:rFonts w:ascii="宋体" w:hAnsi="宋体" w:eastAsia="宋体"/>
          <w:b w:val="0"/>
          <w:sz w:val="22"/>
        </w:rPr>
        <w:t>基础设施建设应满足安全、稳定、易维护和可展示四项要求。教室应完成强弱电整理、网络接入、教师演示设备、服务器与交换设备、设备收纳、文化展示和必要的装修改造。</w:t>
      </w:r>
    </w:p>
    <w:p>
      <w:pPr>
        <w:jc w:val="center"/>
      </w:pPr>
      <w:r>
        <w:drawing>
          <wp:inline xmlns:a="http://schemas.openxmlformats.org/drawingml/2006/main" xmlns:pic="http://schemas.openxmlformats.org/drawingml/2006/picture">
            <wp:extent cx="5652000" cy="3461850"/>
            <wp:docPr id="9" name="Picture 9"/>
            <wp:cNvGraphicFramePr>
              <a:graphicFrameLocks noChangeAspect="1"/>
            </wp:cNvGraphicFramePr>
            <a:graphic>
              <a:graphicData uri="http://schemas.openxmlformats.org/drawingml/2006/picture">
                <pic:pic>
                  <pic:nvPicPr>
                    <pic:cNvPr id="0" name="06_network.png"/>
                    <pic:cNvPicPr/>
                  </pic:nvPicPr>
                  <pic:blipFill>
                    <a:blip r:embed="rId18"/>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3-5 实训室网络拓扑图</w:t>
      </w:r>
    </w:p>
    <w:p>
      <w:pPr>
        <w:spacing w:after="160"/>
        <w:jc w:val="center"/>
      </w:pPr>
      <w:r>
        <w:rPr>
          <w:rFonts w:ascii="宋体" w:hAnsi="宋体" w:eastAsia="宋体"/>
          <w:b w:val="0"/>
          <w:color w:val="475569"/>
          <w:sz w:val="19"/>
        </w:rPr>
        <w:t>表 3-1 基础设施建设内容</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建设项</w:t>
            </w:r>
          </w:p>
        </w:tc>
        <w:tc>
          <w:tcPr>
            <w:tcW w:type="dxa" w:w="3798"/>
            <w:shd w:fill="1E3A8A"/>
            <w:vAlign w:val="center"/>
          </w:tcPr>
          <w:p>
            <w:pPr>
              <w:jc w:val="center"/>
            </w:pPr>
            <w:r/>
            <w:r>
              <w:rPr>
                <w:rFonts w:ascii="宋体" w:hAnsi="宋体" w:eastAsia="宋体"/>
                <w:b/>
                <w:color w:val="FFFFFF"/>
                <w:sz w:val="20"/>
              </w:rPr>
              <w:t>建设内容</w:t>
            </w:r>
          </w:p>
        </w:tc>
        <w:tc>
          <w:tcPr>
            <w:tcW w:type="dxa" w:w="3231"/>
            <w:shd w:fill="1E3A8A"/>
            <w:vAlign w:val="center"/>
          </w:tcPr>
          <w:p>
            <w:pPr>
              <w:jc w:val="center"/>
            </w:pPr>
            <w:r/>
            <w:r>
              <w:rPr>
                <w:rFonts w:ascii="宋体" w:hAnsi="宋体" w:eastAsia="宋体"/>
                <w:b/>
                <w:color w:val="FFFFFF"/>
                <w:sz w:val="20"/>
              </w:rPr>
              <w:t>建设要求</w:t>
            </w:r>
          </w:p>
        </w:tc>
      </w:tr>
      <w:tr>
        <w:tc>
          <w:tcPr>
            <w:tcW w:type="dxa" w:w="1701"/>
            <w:vAlign w:val="center"/>
            <w:shd w:fill="EFF6FF"/>
          </w:tcPr>
          <w:p>
            <w:pPr>
              <w:jc w:val="left"/>
            </w:pPr>
            <w:r/>
            <w:r>
              <w:rPr>
                <w:rFonts w:ascii="宋体" w:hAnsi="宋体" w:eastAsia="宋体"/>
                <w:b w:val="0"/>
                <w:color w:val="111827"/>
                <w:sz w:val="19"/>
              </w:rPr>
              <w:t>教师演示区</w:t>
            </w:r>
          </w:p>
        </w:tc>
        <w:tc>
          <w:tcPr>
            <w:tcW w:type="dxa" w:w="3798"/>
            <w:vAlign w:val="center"/>
          </w:tcPr>
          <w:p>
            <w:pPr>
              <w:jc w:val="left"/>
            </w:pPr>
            <w:r/>
            <w:r>
              <w:rPr>
                <w:rFonts w:ascii="宋体" w:hAnsi="宋体" w:eastAsia="宋体"/>
                <w:b w:val="0"/>
                <w:color w:val="111827"/>
                <w:sz w:val="19"/>
              </w:rPr>
              <w:t>讲台、教师终端、大屏或投影、实物展示、平台管理入口</w:t>
            </w:r>
          </w:p>
        </w:tc>
        <w:tc>
          <w:tcPr>
            <w:tcW w:type="dxa" w:w="3231"/>
            <w:vAlign w:val="center"/>
          </w:tcPr>
          <w:p>
            <w:pPr>
              <w:jc w:val="left"/>
            </w:pPr>
            <w:r/>
            <w:r>
              <w:rPr>
                <w:rFonts w:ascii="宋体" w:hAnsi="宋体" w:eastAsia="宋体"/>
                <w:b w:val="0"/>
                <w:color w:val="111827"/>
                <w:sz w:val="19"/>
              </w:rPr>
              <w:t>满足教师发布任务、展示数据大屏、演示代码运行和组织答辩。</w:t>
            </w:r>
          </w:p>
        </w:tc>
      </w:tr>
      <w:tr>
        <w:tc>
          <w:tcPr>
            <w:tcW w:type="dxa" w:w="1701"/>
            <w:vAlign w:val="center"/>
            <w:shd w:fill="EFF6FF"/>
          </w:tcPr>
          <w:p>
            <w:pPr>
              <w:jc w:val="left"/>
            </w:pPr>
            <w:r/>
            <w:r>
              <w:rPr>
                <w:rFonts w:ascii="宋体" w:hAnsi="宋体" w:eastAsia="宋体"/>
                <w:b w:val="0"/>
                <w:color w:val="111827"/>
                <w:sz w:val="19"/>
              </w:rPr>
              <w:t>学生工位区</w:t>
            </w:r>
          </w:p>
        </w:tc>
        <w:tc>
          <w:tcPr>
            <w:tcW w:type="dxa" w:w="3798"/>
            <w:vAlign w:val="center"/>
          </w:tcPr>
          <w:p>
            <w:pPr>
              <w:jc w:val="left"/>
            </w:pPr>
            <w:r/>
            <w:r>
              <w:rPr>
                <w:rFonts w:ascii="宋体" w:hAnsi="宋体" w:eastAsia="宋体"/>
                <w:b w:val="0"/>
                <w:color w:val="111827"/>
                <w:sz w:val="19"/>
              </w:rPr>
              <w:t>25组双人工位、电脑端、实验箱、线材、低压电源、网口/无线覆盖</w:t>
            </w:r>
          </w:p>
        </w:tc>
        <w:tc>
          <w:tcPr>
            <w:tcW w:type="dxa" w:w="3231"/>
            <w:vAlign w:val="center"/>
          </w:tcPr>
          <w:p>
            <w:pPr>
              <w:jc w:val="left"/>
            </w:pPr>
            <w:r/>
            <w:r>
              <w:rPr>
                <w:rFonts w:ascii="宋体" w:hAnsi="宋体" w:eastAsia="宋体"/>
                <w:b w:val="0"/>
                <w:color w:val="111827"/>
                <w:sz w:val="19"/>
              </w:rPr>
              <w:t>支持50人同步实训，布线清晰，设备取放安全。</w:t>
            </w:r>
          </w:p>
        </w:tc>
      </w:tr>
      <w:tr>
        <w:tc>
          <w:tcPr>
            <w:tcW w:type="dxa" w:w="1701"/>
            <w:vAlign w:val="center"/>
            <w:shd w:fill="EFF6FF"/>
          </w:tcPr>
          <w:p>
            <w:pPr>
              <w:jc w:val="left"/>
            </w:pPr>
            <w:r/>
            <w:r>
              <w:rPr>
                <w:rFonts w:ascii="宋体" w:hAnsi="宋体" w:eastAsia="宋体"/>
                <w:b w:val="0"/>
                <w:color w:val="111827"/>
                <w:sz w:val="19"/>
              </w:rPr>
              <w:t>网络服务器区</w:t>
            </w:r>
          </w:p>
        </w:tc>
        <w:tc>
          <w:tcPr>
            <w:tcW w:type="dxa" w:w="3798"/>
            <w:vAlign w:val="center"/>
          </w:tcPr>
          <w:p>
            <w:pPr>
              <w:jc w:val="left"/>
            </w:pPr>
            <w:r/>
            <w:r>
              <w:rPr>
                <w:rFonts w:ascii="宋体" w:hAnsi="宋体" w:eastAsia="宋体"/>
                <w:b w:val="0"/>
                <w:color w:val="111827"/>
                <w:sz w:val="19"/>
              </w:rPr>
              <w:t>千兆交换机、路由器/防火墙、平台服务器或边缘计算设备、备份存储</w:t>
            </w:r>
          </w:p>
        </w:tc>
        <w:tc>
          <w:tcPr>
            <w:tcW w:type="dxa" w:w="3231"/>
            <w:vAlign w:val="center"/>
          </w:tcPr>
          <w:p>
            <w:pPr>
              <w:jc w:val="left"/>
            </w:pPr>
            <w:r/>
            <w:r>
              <w:rPr>
                <w:rFonts w:ascii="宋体" w:hAnsi="宋体" w:eastAsia="宋体"/>
                <w:b w:val="0"/>
                <w:color w:val="111827"/>
                <w:sz w:val="19"/>
              </w:rPr>
              <w:t>支持真实设备、仿真设备和平台稳定接入。</w:t>
            </w:r>
          </w:p>
        </w:tc>
      </w:tr>
      <w:tr>
        <w:tc>
          <w:tcPr>
            <w:tcW w:type="dxa" w:w="1701"/>
            <w:vAlign w:val="center"/>
            <w:shd w:fill="EFF6FF"/>
          </w:tcPr>
          <w:p>
            <w:pPr>
              <w:jc w:val="left"/>
            </w:pPr>
            <w:r/>
            <w:r>
              <w:rPr>
                <w:rFonts w:ascii="宋体" w:hAnsi="宋体" w:eastAsia="宋体"/>
                <w:b w:val="0"/>
                <w:color w:val="111827"/>
                <w:sz w:val="19"/>
              </w:rPr>
              <w:t>收纳维护区</w:t>
            </w:r>
          </w:p>
        </w:tc>
        <w:tc>
          <w:tcPr>
            <w:tcW w:type="dxa" w:w="3798"/>
            <w:vAlign w:val="center"/>
          </w:tcPr>
          <w:p>
            <w:pPr>
              <w:jc w:val="left"/>
            </w:pPr>
            <w:r/>
            <w:r>
              <w:rPr>
                <w:rFonts w:ascii="宋体" w:hAnsi="宋体" w:eastAsia="宋体"/>
                <w:b w:val="0"/>
                <w:color w:val="111827"/>
                <w:sz w:val="19"/>
              </w:rPr>
              <w:t>实验箱收纳、模块分类、耗材备件、充电维护、资产编号</w:t>
            </w:r>
          </w:p>
        </w:tc>
        <w:tc>
          <w:tcPr>
            <w:tcW w:type="dxa" w:w="3231"/>
            <w:vAlign w:val="center"/>
          </w:tcPr>
          <w:p>
            <w:pPr>
              <w:jc w:val="left"/>
            </w:pPr>
            <w:r/>
            <w:r>
              <w:rPr>
                <w:rFonts w:ascii="宋体" w:hAnsi="宋体" w:eastAsia="宋体"/>
                <w:b w:val="0"/>
                <w:color w:val="111827"/>
                <w:sz w:val="19"/>
              </w:rPr>
              <w:t>建立设备借还、损坏登记和备件替换流程。</w:t>
            </w:r>
          </w:p>
        </w:tc>
      </w:tr>
      <w:tr>
        <w:tc>
          <w:tcPr>
            <w:tcW w:type="dxa" w:w="1701"/>
            <w:vAlign w:val="center"/>
            <w:shd w:fill="EFF6FF"/>
          </w:tcPr>
          <w:p>
            <w:pPr>
              <w:jc w:val="left"/>
            </w:pPr>
            <w:r/>
            <w:r>
              <w:rPr>
                <w:rFonts w:ascii="宋体" w:hAnsi="宋体" w:eastAsia="宋体"/>
                <w:b w:val="0"/>
                <w:color w:val="111827"/>
                <w:sz w:val="19"/>
              </w:rPr>
              <w:t>文化展示区</w:t>
            </w:r>
          </w:p>
        </w:tc>
        <w:tc>
          <w:tcPr>
            <w:tcW w:type="dxa" w:w="3798"/>
            <w:vAlign w:val="center"/>
          </w:tcPr>
          <w:p>
            <w:pPr>
              <w:jc w:val="left"/>
            </w:pPr>
            <w:r/>
            <w:r>
              <w:rPr>
                <w:rFonts w:ascii="宋体" w:hAnsi="宋体" w:eastAsia="宋体"/>
                <w:b w:val="0"/>
                <w:color w:val="111827"/>
                <w:sz w:val="19"/>
              </w:rPr>
              <w:t>专业建设展示、鸿蒙生态介绍、优秀作品、课程路径、实训安全规范</w:t>
            </w:r>
          </w:p>
        </w:tc>
        <w:tc>
          <w:tcPr>
            <w:tcW w:type="dxa" w:w="3231"/>
            <w:vAlign w:val="center"/>
          </w:tcPr>
          <w:p>
            <w:pPr>
              <w:jc w:val="left"/>
            </w:pPr>
            <w:r/>
            <w:r>
              <w:rPr>
                <w:rFonts w:ascii="宋体" w:hAnsi="宋体" w:eastAsia="宋体"/>
                <w:b w:val="0"/>
                <w:color w:val="111827"/>
                <w:sz w:val="19"/>
              </w:rPr>
              <w:t>体现物联网专业特色和实训室育人氛围。</w:t>
            </w:r>
          </w:p>
        </w:tc>
      </w:tr>
    </w:tbl>
    <w:p/>
    <w:p>
      <w:pPr>
        <w:pStyle w:val="Heading2"/>
        <w:spacing w:before="160" w:after="160"/>
      </w:pPr>
      <w:r>
        <w:rPr>
          <w:rFonts w:ascii="微软雅黑" w:hAnsi="微软雅黑" w:eastAsia="微软雅黑"/>
          <w:color w:val="0F172A"/>
          <w:sz w:val="28"/>
        </w:rPr>
        <w:t>3.4 课程体系设计</w:t>
      </w:r>
    </w:p>
    <w:p>
      <w:pPr>
        <w:spacing w:line="324" w:lineRule="auto" w:after="120"/>
        <w:ind w:firstLine="440"/>
      </w:pPr>
      <w:r>
        <w:rPr>
          <w:rFonts w:ascii="宋体" w:hAnsi="宋体" w:eastAsia="宋体"/>
          <w:b w:val="0"/>
          <w:sz w:val="22"/>
        </w:rPr>
        <w:t>课程体系以岗位能力为导向，按照基础开发、平台集成、综合项目和行业场景四层递进。基础开发解决单点原理和驱动能力，平台集成解决协议与设备建模能力，综合项目解决端边云协同能力，行业场景解决跨专业应用和项目交付能力。</w:t>
      </w:r>
    </w:p>
    <w:p>
      <w:pPr>
        <w:jc w:val="center"/>
      </w:pPr>
      <w:r>
        <w:drawing>
          <wp:inline xmlns:a="http://schemas.openxmlformats.org/drawingml/2006/main" xmlns:pic="http://schemas.openxmlformats.org/drawingml/2006/picture">
            <wp:extent cx="5652000" cy="3461850"/>
            <wp:docPr id="10" name="Picture 10"/>
            <wp:cNvGraphicFramePr>
              <a:graphicFrameLocks noChangeAspect="1"/>
            </wp:cNvGraphicFramePr>
            <a:graphic>
              <a:graphicData uri="http://schemas.openxmlformats.org/drawingml/2006/picture">
                <pic:pic>
                  <pic:nvPicPr>
                    <pic:cNvPr id="0" name="08_course_system.png"/>
                    <pic:cNvPicPr/>
                  </pic:nvPicPr>
                  <pic:blipFill>
                    <a:blip r:embed="rId19"/>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3-6 课程体系设计图</w:t>
      </w:r>
    </w:p>
    <w:p>
      <w:pPr>
        <w:spacing w:after="160"/>
        <w:jc w:val="center"/>
      </w:pPr>
      <w:r>
        <w:rPr>
          <w:rFonts w:ascii="宋体" w:hAnsi="宋体" w:eastAsia="宋体"/>
          <w:b w:val="0"/>
          <w:color w:val="475569"/>
          <w:sz w:val="19"/>
        </w:rPr>
        <w:t>表 3-2 课程资源配置建议</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fill="1E3A8A"/>
            <w:vAlign w:val="center"/>
          </w:tcPr>
          <w:p>
            <w:pPr>
              <w:jc w:val="center"/>
            </w:pPr>
            <w:r/>
            <w:r>
              <w:rPr>
                <w:rFonts w:ascii="宋体" w:hAnsi="宋体" w:eastAsia="宋体"/>
                <w:b/>
                <w:color w:val="FFFFFF"/>
                <w:sz w:val="20"/>
              </w:rPr>
              <w:t>课程模块</w:t>
            </w:r>
          </w:p>
        </w:tc>
        <w:tc>
          <w:tcPr>
            <w:tcW w:type="dxa" w:w="4252"/>
            <w:shd w:fill="1E3A8A"/>
            <w:vAlign w:val="center"/>
          </w:tcPr>
          <w:p>
            <w:pPr>
              <w:jc w:val="center"/>
            </w:pPr>
            <w:r/>
            <w:r>
              <w:rPr>
                <w:rFonts w:ascii="宋体" w:hAnsi="宋体" w:eastAsia="宋体"/>
                <w:b/>
                <w:color w:val="FFFFFF"/>
                <w:sz w:val="20"/>
              </w:rPr>
              <w:t>实验/项目内容</w:t>
            </w:r>
          </w:p>
        </w:tc>
        <w:tc>
          <w:tcPr>
            <w:tcW w:type="dxa" w:w="2665"/>
            <w:shd w:fill="1E3A8A"/>
            <w:vAlign w:val="center"/>
          </w:tcPr>
          <w:p>
            <w:pPr>
              <w:jc w:val="center"/>
            </w:pPr>
            <w:r/>
            <w:r>
              <w:rPr>
                <w:rFonts w:ascii="宋体" w:hAnsi="宋体" w:eastAsia="宋体"/>
                <w:b/>
                <w:color w:val="FFFFFF"/>
                <w:sz w:val="20"/>
              </w:rPr>
              <w:t>资源形态</w:t>
            </w:r>
          </w:p>
        </w:tc>
      </w:tr>
      <w:tr>
        <w:tc>
          <w:tcPr>
            <w:tcW w:type="dxa" w:w="1814"/>
            <w:vAlign w:val="center"/>
            <w:shd w:fill="EFF6FF"/>
          </w:tcPr>
          <w:p>
            <w:pPr>
              <w:jc w:val="left"/>
            </w:pPr>
            <w:r/>
            <w:r>
              <w:rPr>
                <w:rFonts w:ascii="宋体" w:hAnsi="宋体" w:eastAsia="宋体"/>
                <w:b w:val="0"/>
                <w:color w:val="111827"/>
                <w:sz w:val="19"/>
              </w:rPr>
              <w:t>MCU与鸿蒙基础</w:t>
            </w:r>
          </w:p>
        </w:tc>
        <w:tc>
          <w:tcPr>
            <w:tcW w:type="dxa" w:w="4252"/>
            <w:vAlign w:val="center"/>
          </w:tcPr>
          <w:p>
            <w:pPr>
              <w:jc w:val="left"/>
            </w:pPr>
            <w:r/>
            <w:r>
              <w:rPr>
                <w:rFonts w:ascii="宋体" w:hAnsi="宋体" w:eastAsia="宋体"/>
                <w:b w:val="0"/>
                <w:color w:val="111827"/>
                <w:sz w:val="19"/>
              </w:rPr>
              <w:t>GPIO、UART、I2C、SPI、ADC、PWM、OpenHarmony工程创建、WiFi配网</w:t>
            </w:r>
          </w:p>
        </w:tc>
        <w:tc>
          <w:tcPr>
            <w:tcW w:type="dxa" w:w="2665"/>
            <w:vAlign w:val="center"/>
          </w:tcPr>
          <w:p>
            <w:pPr>
              <w:jc w:val="left"/>
            </w:pPr>
            <w:r/>
            <w:r>
              <w:rPr>
                <w:rFonts w:ascii="宋体" w:hAnsi="宋体" w:eastAsia="宋体"/>
                <w:b w:val="0"/>
                <w:color w:val="111827"/>
                <w:sz w:val="19"/>
              </w:rPr>
              <w:t>实验指导书、源码、接线图、运行截图、报告模板。</w:t>
            </w:r>
          </w:p>
        </w:tc>
      </w:tr>
      <w:tr>
        <w:tc>
          <w:tcPr>
            <w:tcW w:type="dxa" w:w="1814"/>
            <w:vAlign w:val="center"/>
            <w:shd w:fill="EFF6FF"/>
          </w:tcPr>
          <w:p>
            <w:pPr>
              <w:jc w:val="left"/>
            </w:pPr>
            <w:r/>
            <w:r>
              <w:rPr>
                <w:rFonts w:ascii="宋体" w:hAnsi="宋体" w:eastAsia="宋体"/>
                <w:b w:val="0"/>
                <w:color w:val="111827"/>
                <w:sz w:val="19"/>
              </w:rPr>
              <w:t>无线通信与组网</w:t>
            </w:r>
          </w:p>
        </w:tc>
        <w:tc>
          <w:tcPr>
            <w:tcW w:type="dxa" w:w="4252"/>
            <w:vAlign w:val="center"/>
          </w:tcPr>
          <w:p>
            <w:pPr>
              <w:jc w:val="left"/>
            </w:pPr>
            <w:r/>
            <w:r>
              <w:rPr>
                <w:rFonts w:ascii="宋体" w:hAnsi="宋体" w:eastAsia="宋体"/>
                <w:b w:val="0"/>
                <w:color w:val="111827"/>
                <w:sz w:val="19"/>
              </w:rPr>
              <w:t>ZigBee协调器与节点、WiFi联网、BLE近场、4G/LoRa/NB-IoT数据上传</w:t>
            </w:r>
          </w:p>
        </w:tc>
        <w:tc>
          <w:tcPr>
            <w:tcW w:type="dxa" w:w="2665"/>
            <w:vAlign w:val="center"/>
          </w:tcPr>
          <w:p>
            <w:pPr>
              <w:jc w:val="left"/>
            </w:pPr>
            <w:r/>
            <w:r>
              <w:rPr>
                <w:rFonts w:ascii="宋体" w:hAnsi="宋体" w:eastAsia="宋体"/>
                <w:b w:val="0"/>
                <w:color w:val="111827"/>
                <w:sz w:val="19"/>
              </w:rPr>
              <w:t>通信案例、AT指令样例、平台配置截图、故障排查清单。</w:t>
            </w:r>
          </w:p>
        </w:tc>
      </w:tr>
      <w:tr>
        <w:tc>
          <w:tcPr>
            <w:tcW w:type="dxa" w:w="1814"/>
            <w:vAlign w:val="center"/>
            <w:shd w:fill="EFF6FF"/>
          </w:tcPr>
          <w:p>
            <w:pPr>
              <w:jc w:val="left"/>
            </w:pPr>
            <w:r/>
            <w:r>
              <w:rPr>
                <w:rFonts w:ascii="宋体" w:hAnsi="宋体" w:eastAsia="宋体"/>
                <w:b w:val="0"/>
                <w:color w:val="111827"/>
                <w:sz w:val="19"/>
              </w:rPr>
              <w:t>传感与执行控制</w:t>
            </w:r>
          </w:p>
        </w:tc>
        <w:tc>
          <w:tcPr>
            <w:tcW w:type="dxa" w:w="4252"/>
            <w:vAlign w:val="center"/>
          </w:tcPr>
          <w:p>
            <w:pPr>
              <w:jc w:val="left"/>
            </w:pPr>
            <w:r/>
            <w:r>
              <w:rPr>
                <w:rFonts w:ascii="宋体" w:hAnsi="宋体" w:eastAsia="宋体"/>
                <w:b w:val="0"/>
                <w:color w:val="111827"/>
                <w:sz w:val="19"/>
              </w:rPr>
              <w:t>温湿度、光照、CO2、气体、重量、RFID、风扇、水泵、舵机、灯光联动</w:t>
            </w:r>
          </w:p>
        </w:tc>
        <w:tc>
          <w:tcPr>
            <w:tcW w:type="dxa" w:w="2665"/>
            <w:vAlign w:val="center"/>
          </w:tcPr>
          <w:p>
            <w:pPr>
              <w:jc w:val="left"/>
            </w:pPr>
            <w:r/>
            <w:r>
              <w:rPr>
                <w:rFonts w:ascii="宋体" w:hAnsi="宋体" w:eastAsia="宋体"/>
                <w:b w:val="0"/>
                <w:color w:val="111827"/>
                <w:sz w:val="19"/>
              </w:rPr>
              <w:t>模块说明、实验步骤、阈值策略、数据曲线样例。</w:t>
            </w:r>
          </w:p>
        </w:tc>
      </w:tr>
      <w:tr>
        <w:tc>
          <w:tcPr>
            <w:tcW w:type="dxa" w:w="1814"/>
            <w:vAlign w:val="center"/>
            <w:shd w:fill="EFF6FF"/>
          </w:tcPr>
          <w:p>
            <w:pPr>
              <w:jc w:val="left"/>
            </w:pPr>
            <w:r/>
            <w:r>
              <w:rPr>
                <w:rFonts w:ascii="宋体" w:hAnsi="宋体" w:eastAsia="宋体"/>
                <w:b w:val="0"/>
                <w:color w:val="111827"/>
                <w:sz w:val="19"/>
              </w:rPr>
              <w:t>AIoT平台应用</w:t>
            </w:r>
          </w:p>
        </w:tc>
        <w:tc>
          <w:tcPr>
            <w:tcW w:type="dxa" w:w="4252"/>
            <w:vAlign w:val="center"/>
          </w:tcPr>
          <w:p>
            <w:pPr>
              <w:jc w:val="left"/>
            </w:pPr>
            <w:r/>
            <w:r>
              <w:rPr>
                <w:rFonts w:ascii="宋体" w:hAnsi="宋体" w:eastAsia="宋体"/>
                <w:b w:val="0"/>
                <w:color w:val="111827"/>
                <w:sz w:val="19"/>
              </w:rPr>
              <w:t>设备建模、MQTT主题、HTTP接口、Modbus接入、规则联动、报警记录、大屏配置</w:t>
            </w:r>
          </w:p>
        </w:tc>
        <w:tc>
          <w:tcPr>
            <w:tcW w:type="dxa" w:w="2665"/>
            <w:vAlign w:val="center"/>
          </w:tcPr>
          <w:p>
            <w:pPr>
              <w:jc w:val="left"/>
            </w:pPr>
            <w:r/>
            <w:r>
              <w:rPr>
                <w:rFonts w:ascii="宋体" w:hAnsi="宋体" w:eastAsia="宋体"/>
                <w:b w:val="0"/>
                <w:color w:val="111827"/>
                <w:sz w:val="19"/>
              </w:rPr>
              <w:t>平台账号、任务模板、评价量规、实验数据导出模板。</w:t>
            </w:r>
          </w:p>
        </w:tc>
      </w:tr>
      <w:tr>
        <w:tc>
          <w:tcPr>
            <w:tcW w:type="dxa" w:w="1814"/>
            <w:vAlign w:val="center"/>
            <w:shd w:fill="EFF6FF"/>
          </w:tcPr>
          <w:p>
            <w:pPr>
              <w:jc w:val="left"/>
            </w:pPr>
            <w:r/>
            <w:r>
              <w:rPr>
                <w:rFonts w:ascii="宋体" w:hAnsi="宋体" w:eastAsia="宋体"/>
                <w:b w:val="0"/>
                <w:color w:val="111827"/>
                <w:sz w:val="19"/>
              </w:rPr>
              <w:t>行业综合项目</w:t>
            </w:r>
          </w:p>
        </w:tc>
        <w:tc>
          <w:tcPr>
            <w:tcW w:type="dxa" w:w="4252"/>
            <w:vAlign w:val="center"/>
          </w:tcPr>
          <w:p>
            <w:pPr>
              <w:jc w:val="left"/>
            </w:pPr>
            <w:r/>
            <w:r>
              <w:rPr>
                <w:rFonts w:ascii="宋体" w:hAnsi="宋体" w:eastAsia="宋体"/>
                <w:b w:val="0"/>
                <w:color w:val="111827"/>
                <w:sz w:val="19"/>
              </w:rPr>
              <w:t>智慧农业、智慧养殖、微生物发酵环境监测、智能家居、资产识别</w:t>
            </w:r>
          </w:p>
        </w:tc>
        <w:tc>
          <w:tcPr>
            <w:tcW w:type="dxa" w:w="2665"/>
            <w:vAlign w:val="center"/>
          </w:tcPr>
          <w:p>
            <w:pPr>
              <w:jc w:val="left"/>
            </w:pPr>
            <w:r/>
            <w:r>
              <w:rPr>
                <w:rFonts w:ascii="宋体" w:hAnsi="宋体" w:eastAsia="宋体"/>
                <w:b w:val="0"/>
                <w:color w:val="111827"/>
                <w:sz w:val="19"/>
              </w:rPr>
              <w:t>项目任务书、答辩PPT模板、验收清单、优秀作品库。</w:t>
            </w:r>
          </w:p>
        </w:tc>
      </w:tr>
    </w:tbl>
    <w:p/>
    <w:p>
      <w:pPr>
        <w:pStyle w:val="Heading2"/>
        <w:spacing w:before="160" w:after="160"/>
      </w:pPr>
      <w:r>
        <w:rPr>
          <w:rFonts w:ascii="微软雅黑" w:hAnsi="微软雅黑" w:eastAsia="微软雅黑"/>
          <w:color w:val="0F172A"/>
          <w:sz w:val="28"/>
        </w:rPr>
        <w:t>3.5 核心实验设备与平台</w:t>
      </w:r>
    </w:p>
    <w:p>
      <w:pPr>
        <w:spacing w:line="324" w:lineRule="auto" w:after="120"/>
        <w:ind w:firstLine="440"/>
      </w:pPr>
      <w:r>
        <w:rPr>
          <w:rFonts w:ascii="宋体" w:hAnsi="宋体" w:eastAsia="宋体"/>
          <w:b w:val="0"/>
          <w:sz w:val="22"/>
        </w:rPr>
        <w:t>核心设备以鸿蒙物联网实验箱为学生端实训终端，配套主控、通信、传感器、RFID识别、执行器开发包和AIoT教学云平台。设备体系覆盖嵌入式控制、鸿蒙开发、ZigBee无线传感网、中心网关多协议接入、环境采集、光照采集、开关量输出和本地触控可视化等实验。</w:t>
      </w:r>
    </w:p>
    <w:p>
      <w:pPr>
        <w:jc w:val="center"/>
      </w:pPr>
      <w:r>
        <w:drawing>
          <wp:inline xmlns:a="http://schemas.openxmlformats.org/drawingml/2006/main" xmlns:pic="http://schemas.openxmlformats.org/drawingml/2006/picture">
            <wp:extent cx="5652000" cy="3461850"/>
            <wp:docPr id="11" name="Picture 11"/>
            <wp:cNvGraphicFramePr>
              <a:graphicFrameLocks noChangeAspect="1"/>
            </wp:cNvGraphicFramePr>
            <a:graphic>
              <a:graphicData uri="http://schemas.openxmlformats.org/drawingml/2006/picture">
                <pic:pic>
                  <pic:nvPicPr>
                    <pic:cNvPr id="0" name="07_equipment.png"/>
                    <pic:cNvPicPr/>
                  </pic:nvPicPr>
                  <pic:blipFill>
                    <a:blip r:embed="rId20"/>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3-7 核心设备组成图</w:t>
      </w:r>
    </w:p>
    <w:p>
      <w:pPr>
        <w:spacing w:after="160"/>
        <w:jc w:val="center"/>
      </w:pPr>
      <w:r>
        <w:rPr>
          <w:rFonts w:ascii="宋体" w:hAnsi="宋体" w:eastAsia="宋体"/>
          <w:b w:val="0"/>
          <w:color w:val="475569"/>
          <w:sz w:val="19"/>
        </w:rPr>
        <w:t>表 3-3 核心设备配置表</w:t>
      </w:r>
    </w:p>
    <w:tbl>
      <w:tblPr>
        <w:tblStyle w:val="TableGrid"/>
        <w:tblW w:type="auto" w:w="0"/>
        <w:jc w:val="center"/>
        <w:tblLook w:firstColumn="1" w:firstRow="1" w:lastColumn="0" w:lastRow="0" w:noHBand="0" w:noVBand="1" w:val="04A0"/>
      </w:tblPr>
      <w:tblGrid>
        <w:gridCol w:w="3137"/>
        <w:gridCol w:w="3137"/>
        <w:gridCol w:w="3137"/>
      </w:tblGrid>
      <w:tr>
        <w:tc>
          <w:tcPr>
            <w:tcW w:type="dxa" w:w="1757"/>
            <w:shd w:fill="1E3A8A"/>
            <w:vAlign w:val="center"/>
          </w:tcPr>
          <w:p>
            <w:pPr>
              <w:jc w:val="center"/>
            </w:pPr>
            <w:r/>
            <w:r>
              <w:rPr>
                <w:rFonts w:ascii="宋体" w:hAnsi="宋体" w:eastAsia="宋体"/>
                <w:b/>
                <w:color w:val="FFFFFF"/>
                <w:sz w:val="20"/>
              </w:rPr>
              <w:t>类别</w:t>
            </w:r>
          </w:p>
        </w:tc>
        <w:tc>
          <w:tcPr>
            <w:tcW w:type="dxa" w:w="3515"/>
            <w:shd w:fill="1E3A8A"/>
            <w:vAlign w:val="center"/>
          </w:tcPr>
          <w:p>
            <w:pPr>
              <w:jc w:val="center"/>
            </w:pPr>
            <w:r/>
            <w:r>
              <w:rPr>
                <w:rFonts w:ascii="宋体" w:hAnsi="宋体" w:eastAsia="宋体"/>
                <w:b/>
                <w:color w:val="FFFFFF"/>
                <w:sz w:val="20"/>
              </w:rPr>
              <w:t>主要配置</w:t>
            </w:r>
          </w:p>
        </w:tc>
        <w:tc>
          <w:tcPr>
            <w:tcW w:type="dxa" w:w="3458"/>
            <w:shd w:fill="1E3A8A"/>
            <w:vAlign w:val="center"/>
          </w:tcPr>
          <w:p>
            <w:pPr>
              <w:jc w:val="center"/>
            </w:pPr>
            <w:r/>
            <w:r>
              <w:rPr>
                <w:rFonts w:ascii="宋体" w:hAnsi="宋体" w:eastAsia="宋体"/>
                <w:b/>
                <w:color w:val="FFFFFF"/>
                <w:sz w:val="20"/>
              </w:rPr>
              <w:t>教学用途</w:t>
            </w:r>
          </w:p>
        </w:tc>
      </w:tr>
      <w:tr>
        <w:tc>
          <w:tcPr>
            <w:tcW w:type="dxa" w:w="1757"/>
            <w:vAlign w:val="center"/>
            <w:shd w:fill="EFF6FF"/>
          </w:tcPr>
          <w:p>
            <w:pPr>
              <w:jc w:val="left"/>
            </w:pPr>
            <w:r/>
            <w:r>
              <w:rPr>
                <w:rFonts w:ascii="宋体" w:hAnsi="宋体" w:eastAsia="宋体"/>
                <w:b w:val="0"/>
                <w:color w:val="111827"/>
                <w:sz w:val="19"/>
              </w:rPr>
              <w:t>鸿蒙物联网实验箱</w:t>
            </w:r>
          </w:p>
        </w:tc>
        <w:tc>
          <w:tcPr>
            <w:tcW w:type="dxa" w:w="3515"/>
            <w:vAlign w:val="center"/>
          </w:tcPr>
          <w:p>
            <w:pPr>
              <w:jc w:val="left"/>
            </w:pPr>
            <w:r/>
            <w:r>
              <w:rPr>
                <w:rFonts w:ascii="宋体" w:hAnsi="宋体" w:eastAsia="宋体"/>
                <w:b w:val="0"/>
                <w:color w:val="111827"/>
                <w:sz w:val="19"/>
              </w:rPr>
              <w:t>通用实验平台本体、9个平台标配模块、电源适配器、USB连接线、配套线材和标配教学资源</w:t>
            </w:r>
          </w:p>
        </w:tc>
        <w:tc>
          <w:tcPr>
            <w:tcW w:type="dxa" w:w="3458"/>
            <w:vAlign w:val="center"/>
          </w:tcPr>
          <w:p>
            <w:pPr>
              <w:jc w:val="left"/>
            </w:pPr>
            <w:r/>
            <w:r>
              <w:rPr>
                <w:rFonts w:ascii="宋体" w:hAnsi="宋体" w:eastAsia="宋体"/>
                <w:b w:val="0"/>
                <w:color w:val="111827"/>
                <w:sz w:val="19"/>
              </w:rPr>
              <w:t>作为学生核心实训终端，承载鸿蒙、STM32、ZigBee、网关、传感与执行闭环实验。</w:t>
            </w:r>
          </w:p>
        </w:tc>
      </w:tr>
      <w:tr>
        <w:tc>
          <w:tcPr>
            <w:tcW w:type="dxa" w:w="1757"/>
            <w:vAlign w:val="center"/>
            <w:shd w:fill="EFF6FF"/>
          </w:tcPr>
          <w:p>
            <w:pPr>
              <w:jc w:val="left"/>
            </w:pPr>
            <w:r/>
            <w:r>
              <w:rPr>
                <w:rFonts w:ascii="宋体" w:hAnsi="宋体" w:eastAsia="宋体"/>
                <w:b w:val="0"/>
                <w:color w:val="111827"/>
                <w:sz w:val="19"/>
              </w:rPr>
              <w:t>主控开发包</w:t>
            </w:r>
          </w:p>
        </w:tc>
        <w:tc>
          <w:tcPr>
            <w:tcW w:type="dxa" w:w="3515"/>
            <w:vAlign w:val="center"/>
          </w:tcPr>
          <w:p>
            <w:pPr>
              <w:jc w:val="left"/>
            </w:pPr>
            <w:r/>
            <w:r>
              <w:rPr>
                <w:rFonts w:ascii="宋体" w:hAnsi="宋体" w:eastAsia="宋体"/>
                <w:b w:val="0"/>
                <w:color w:val="111827"/>
                <w:sz w:val="19"/>
              </w:rPr>
              <w:t>STM32扩展控制模块、鸿蒙扩展模块、ZigBee单片机模块、接口拓展板</w:t>
            </w:r>
          </w:p>
        </w:tc>
        <w:tc>
          <w:tcPr>
            <w:tcW w:type="dxa" w:w="3458"/>
            <w:vAlign w:val="center"/>
          </w:tcPr>
          <w:p>
            <w:pPr>
              <w:jc w:val="left"/>
            </w:pPr>
            <w:r/>
            <w:r>
              <w:rPr>
                <w:rFonts w:ascii="宋体" w:hAnsi="宋体" w:eastAsia="宋体"/>
                <w:b w:val="0"/>
                <w:color w:val="111827"/>
                <w:sz w:val="19"/>
              </w:rPr>
              <w:t>用于多控制器协同、接口扩展、程序下载、串口调试和创新项目开发。</w:t>
            </w:r>
          </w:p>
        </w:tc>
      </w:tr>
      <w:tr>
        <w:tc>
          <w:tcPr>
            <w:tcW w:type="dxa" w:w="1757"/>
            <w:vAlign w:val="center"/>
            <w:shd w:fill="EFF6FF"/>
          </w:tcPr>
          <w:p>
            <w:pPr>
              <w:jc w:val="left"/>
            </w:pPr>
            <w:r/>
            <w:r>
              <w:rPr>
                <w:rFonts w:ascii="宋体" w:hAnsi="宋体" w:eastAsia="宋体"/>
                <w:b w:val="0"/>
                <w:color w:val="111827"/>
                <w:sz w:val="19"/>
              </w:rPr>
              <w:t>通信开发包</w:t>
            </w:r>
          </w:p>
        </w:tc>
        <w:tc>
          <w:tcPr>
            <w:tcW w:type="dxa" w:w="3515"/>
            <w:vAlign w:val="center"/>
          </w:tcPr>
          <w:p>
            <w:pPr>
              <w:jc w:val="left"/>
            </w:pPr>
            <w:r/>
            <w:r>
              <w:rPr>
                <w:rFonts w:ascii="宋体" w:hAnsi="宋体" w:eastAsia="宋体"/>
                <w:b w:val="0"/>
                <w:color w:val="111827"/>
                <w:sz w:val="19"/>
              </w:rPr>
              <w:t>WiFi、ZigBee、4G、BLE、LoRa、NB-IoT/Cat.1等通信模块</w:t>
            </w:r>
          </w:p>
        </w:tc>
        <w:tc>
          <w:tcPr>
            <w:tcW w:type="dxa" w:w="3458"/>
            <w:vAlign w:val="center"/>
          </w:tcPr>
          <w:p>
            <w:pPr>
              <w:jc w:val="left"/>
            </w:pPr>
            <w:r/>
            <w:r>
              <w:rPr>
                <w:rFonts w:ascii="宋体" w:hAnsi="宋体" w:eastAsia="宋体"/>
                <w:b w:val="0"/>
                <w:color w:val="111827"/>
                <w:sz w:val="19"/>
              </w:rPr>
              <w:t>支撑局域网、广域网、低功耗和远距采集等多制式通信训练。</w:t>
            </w:r>
          </w:p>
        </w:tc>
      </w:tr>
      <w:tr>
        <w:tc>
          <w:tcPr>
            <w:tcW w:type="dxa" w:w="1757"/>
            <w:vAlign w:val="center"/>
            <w:shd w:fill="EFF6FF"/>
          </w:tcPr>
          <w:p>
            <w:pPr>
              <w:jc w:val="left"/>
            </w:pPr>
            <w:r/>
            <w:r>
              <w:rPr>
                <w:rFonts w:ascii="宋体" w:hAnsi="宋体" w:eastAsia="宋体"/>
                <w:b w:val="0"/>
                <w:color w:val="111827"/>
                <w:sz w:val="19"/>
              </w:rPr>
              <w:t>传感器开发包</w:t>
            </w:r>
          </w:p>
        </w:tc>
        <w:tc>
          <w:tcPr>
            <w:tcW w:type="dxa" w:w="3515"/>
            <w:vAlign w:val="center"/>
          </w:tcPr>
          <w:p>
            <w:pPr>
              <w:jc w:val="left"/>
            </w:pPr>
            <w:r/>
            <w:r>
              <w:rPr>
                <w:rFonts w:ascii="宋体" w:hAnsi="宋体" w:eastAsia="宋体"/>
                <w:b w:val="0"/>
                <w:color w:val="111827"/>
                <w:sz w:val="19"/>
              </w:rPr>
              <w:t>霍尔、人体红外、气体、红外对射、重量、火焰、PM2.5、土壤湿度、超声波、CO2等模块</w:t>
            </w:r>
          </w:p>
        </w:tc>
        <w:tc>
          <w:tcPr>
            <w:tcW w:type="dxa" w:w="3458"/>
            <w:vAlign w:val="center"/>
          </w:tcPr>
          <w:p>
            <w:pPr>
              <w:jc w:val="left"/>
            </w:pPr>
            <w:r/>
            <w:r>
              <w:rPr>
                <w:rFonts w:ascii="宋体" w:hAnsi="宋体" w:eastAsia="宋体"/>
                <w:b w:val="0"/>
                <w:color w:val="111827"/>
                <w:sz w:val="19"/>
              </w:rPr>
              <w:t>覆盖安防、环境、农业、仓储、气体和距离等典型感知对象。</w:t>
            </w:r>
          </w:p>
        </w:tc>
      </w:tr>
      <w:tr>
        <w:tc>
          <w:tcPr>
            <w:tcW w:type="dxa" w:w="1757"/>
            <w:vAlign w:val="center"/>
            <w:shd w:fill="EFF6FF"/>
          </w:tcPr>
          <w:p>
            <w:pPr>
              <w:jc w:val="left"/>
            </w:pPr>
            <w:r/>
            <w:r>
              <w:rPr>
                <w:rFonts w:ascii="宋体" w:hAnsi="宋体" w:eastAsia="宋体"/>
                <w:b w:val="0"/>
                <w:color w:val="111827"/>
                <w:sz w:val="19"/>
              </w:rPr>
              <w:t>RFID识别开发包</w:t>
            </w:r>
          </w:p>
        </w:tc>
        <w:tc>
          <w:tcPr>
            <w:tcW w:type="dxa" w:w="3515"/>
            <w:vAlign w:val="center"/>
          </w:tcPr>
          <w:p>
            <w:pPr>
              <w:jc w:val="left"/>
            </w:pPr>
            <w:r/>
            <w:r>
              <w:rPr>
                <w:rFonts w:ascii="宋体" w:hAnsi="宋体" w:eastAsia="宋体"/>
                <w:b w:val="0"/>
                <w:color w:val="111827"/>
                <w:sz w:val="19"/>
              </w:rPr>
              <w:t>HF高频、UHF超高频、NFC、条码/二维码识别模块</w:t>
            </w:r>
          </w:p>
        </w:tc>
        <w:tc>
          <w:tcPr>
            <w:tcW w:type="dxa" w:w="3458"/>
            <w:vAlign w:val="center"/>
          </w:tcPr>
          <w:p>
            <w:pPr>
              <w:jc w:val="left"/>
            </w:pPr>
            <w:r/>
            <w:r>
              <w:rPr>
                <w:rFonts w:ascii="宋体" w:hAnsi="宋体" w:eastAsia="宋体"/>
                <w:b w:val="0"/>
                <w:color w:val="111827"/>
                <w:sz w:val="19"/>
              </w:rPr>
              <w:t>面向门禁、考勤、资产盘点、仓储出入库和标签数据追踪实验。</w:t>
            </w:r>
          </w:p>
        </w:tc>
      </w:tr>
      <w:tr>
        <w:tc>
          <w:tcPr>
            <w:tcW w:type="dxa" w:w="1757"/>
            <w:vAlign w:val="center"/>
            <w:shd w:fill="EFF6FF"/>
          </w:tcPr>
          <w:p>
            <w:pPr>
              <w:jc w:val="left"/>
            </w:pPr>
            <w:r/>
            <w:r>
              <w:rPr>
                <w:rFonts w:ascii="宋体" w:hAnsi="宋体" w:eastAsia="宋体"/>
                <w:b w:val="0"/>
                <w:color w:val="111827"/>
                <w:sz w:val="19"/>
              </w:rPr>
              <w:t>执行器开发包</w:t>
            </w:r>
          </w:p>
        </w:tc>
        <w:tc>
          <w:tcPr>
            <w:tcW w:type="dxa" w:w="3515"/>
            <w:vAlign w:val="center"/>
          </w:tcPr>
          <w:p>
            <w:pPr>
              <w:jc w:val="left"/>
            </w:pPr>
            <w:r/>
            <w:r>
              <w:rPr>
                <w:rFonts w:ascii="宋体" w:hAnsi="宋体" w:eastAsia="宋体"/>
                <w:b w:val="0"/>
                <w:color w:val="111827"/>
                <w:sz w:val="19"/>
              </w:rPr>
              <w:t>舵机、风扇、步进电机、LED灯光、水泵、喷雾器、窗帘执行器等</w:t>
            </w:r>
          </w:p>
        </w:tc>
        <w:tc>
          <w:tcPr>
            <w:tcW w:type="dxa" w:w="3458"/>
            <w:vAlign w:val="center"/>
          </w:tcPr>
          <w:p>
            <w:pPr>
              <w:jc w:val="left"/>
            </w:pPr>
            <w:r/>
            <w:r>
              <w:rPr>
                <w:rFonts w:ascii="宋体" w:hAnsi="宋体" w:eastAsia="宋体"/>
                <w:b w:val="0"/>
                <w:color w:val="111827"/>
                <w:sz w:val="19"/>
              </w:rPr>
              <w:t>支撑智能家居、灌溉、通风、告警和机械动作联动实验。</w:t>
            </w:r>
          </w:p>
        </w:tc>
      </w:tr>
      <w:tr>
        <w:tc>
          <w:tcPr>
            <w:tcW w:type="dxa" w:w="1757"/>
            <w:vAlign w:val="center"/>
            <w:shd w:fill="EFF6FF"/>
          </w:tcPr>
          <w:p>
            <w:pPr>
              <w:jc w:val="left"/>
            </w:pPr>
            <w:r/>
            <w:r>
              <w:rPr>
                <w:rFonts w:ascii="宋体" w:hAnsi="宋体" w:eastAsia="宋体"/>
                <w:b w:val="0"/>
                <w:color w:val="111827"/>
                <w:sz w:val="19"/>
              </w:rPr>
              <w:t>AIoT教学云平台</w:t>
            </w:r>
          </w:p>
        </w:tc>
        <w:tc>
          <w:tcPr>
            <w:tcW w:type="dxa" w:w="3515"/>
            <w:vAlign w:val="center"/>
          </w:tcPr>
          <w:p>
            <w:pPr>
              <w:jc w:val="left"/>
            </w:pPr>
            <w:r/>
            <w:r>
              <w:rPr>
                <w:rFonts w:ascii="宋体" w:hAnsi="宋体" w:eastAsia="宋体"/>
                <w:b w:val="0"/>
                <w:color w:val="111827"/>
                <w:sz w:val="19"/>
              </w:rPr>
              <w:t>B/S架构、设备接入、数据可视化、规则联动、硬件在线仿真、教学评价和AI辅助</w:t>
            </w:r>
          </w:p>
        </w:tc>
        <w:tc>
          <w:tcPr>
            <w:tcW w:type="dxa" w:w="3458"/>
            <w:vAlign w:val="center"/>
          </w:tcPr>
          <w:p>
            <w:pPr>
              <w:jc w:val="left"/>
            </w:pPr>
            <w:r/>
            <w:r>
              <w:rPr>
                <w:rFonts w:ascii="宋体" w:hAnsi="宋体" w:eastAsia="宋体"/>
                <w:b w:val="0"/>
                <w:color w:val="111827"/>
                <w:sz w:val="19"/>
              </w:rPr>
              <w:t>作为教学组织中心、设备管理中心和数据沉淀中心。</w:t>
            </w:r>
          </w:p>
        </w:tc>
      </w:tr>
    </w:tbl>
    <w:p/>
    <w:p>
      <w:pPr>
        <w:jc w:val="center"/>
      </w:pPr>
      <w:r>
        <w:drawing>
          <wp:inline xmlns:a="http://schemas.openxmlformats.org/drawingml/2006/main" xmlns:pic="http://schemas.openxmlformats.org/drawingml/2006/picture">
            <wp:extent cx="5652000" cy="3579600"/>
            <wp:docPr id="12" name="Picture 12"/>
            <wp:cNvGraphicFramePr>
              <a:graphicFrameLocks noChangeAspect="1"/>
            </wp:cNvGraphicFramePr>
            <a:graphic>
              <a:graphicData uri="http://schemas.openxmlformats.org/drawingml/2006/picture">
                <pic:pic>
                  <pic:nvPicPr>
                    <pic:cNvPr id="0" name="03.png"/>
                    <pic:cNvPicPr/>
                  </pic:nvPicPr>
                  <pic:blipFill>
                    <a:blip r:embed="rId21"/>
                    <a:stretch>
                      <a:fillRect/>
                    </a:stretch>
                  </pic:blipFill>
                  <pic:spPr>
                    <a:xfrm>
                      <a:off x="0" y="0"/>
                      <a:ext cx="5652000" cy="3579600"/>
                    </a:xfrm>
                    <a:prstGeom prst="rect"/>
                  </pic:spPr>
                </pic:pic>
              </a:graphicData>
            </a:graphic>
          </wp:inline>
        </w:drawing>
      </w:r>
    </w:p>
    <w:p>
      <w:pPr>
        <w:spacing w:after="160"/>
        <w:jc w:val="center"/>
      </w:pPr>
      <w:r>
        <w:rPr>
          <w:rFonts w:ascii="宋体" w:hAnsi="宋体" w:eastAsia="宋体"/>
          <w:b w:val="0"/>
          <w:color w:val="475569"/>
          <w:sz w:val="19"/>
        </w:rPr>
        <w:t>图 3-8 采集、通信、平台、控制教学闭环图（复用本地素材）</w:t>
      </w:r>
    </w:p>
    <w:p>
      <w:pPr>
        <w:spacing w:after="160"/>
        <w:jc w:val="center"/>
      </w:pPr>
      <w:r>
        <w:rPr>
          <w:rFonts w:ascii="宋体" w:hAnsi="宋体" w:eastAsia="宋体"/>
          <w:b w:val="0"/>
          <w:color w:val="475569"/>
          <w:sz w:val="19"/>
        </w:rPr>
        <w:t>表 3-4 典型实验项目表</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项目类别</w:t>
            </w:r>
          </w:p>
        </w:tc>
        <w:tc>
          <w:tcPr>
            <w:tcW w:type="dxa" w:w="3798"/>
            <w:shd w:fill="1E3A8A"/>
            <w:vAlign w:val="center"/>
          </w:tcPr>
          <w:p>
            <w:pPr>
              <w:jc w:val="center"/>
            </w:pPr>
            <w:r/>
            <w:r>
              <w:rPr>
                <w:rFonts w:ascii="宋体" w:hAnsi="宋体" w:eastAsia="宋体"/>
                <w:b/>
                <w:color w:val="FFFFFF"/>
                <w:sz w:val="20"/>
              </w:rPr>
              <w:t>项目名称</w:t>
            </w:r>
          </w:p>
        </w:tc>
        <w:tc>
          <w:tcPr>
            <w:tcW w:type="dxa" w:w="3231"/>
            <w:shd w:fill="1E3A8A"/>
            <w:vAlign w:val="center"/>
          </w:tcPr>
          <w:p>
            <w:pPr>
              <w:jc w:val="center"/>
            </w:pPr>
            <w:r/>
            <w:r>
              <w:rPr>
                <w:rFonts w:ascii="宋体" w:hAnsi="宋体" w:eastAsia="宋体"/>
                <w:b/>
                <w:color w:val="FFFFFF"/>
                <w:sz w:val="20"/>
              </w:rPr>
              <w:t>项目成果</w:t>
            </w:r>
          </w:p>
        </w:tc>
      </w:tr>
      <w:tr>
        <w:tc>
          <w:tcPr>
            <w:tcW w:type="dxa" w:w="1701"/>
            <w:vAlign w:val="center"/>
            <w:shd w:fill="EFF6FF"/>
          </w:tcPr>
          <w:p>
            <w:pPr>
              <w:jc w:val="left"/>
            </w:pPr>
            <w:r/>
            <w:r>
              <w:rPr>
                <w:rFonts w:ascii="宋体" w:hAnsi="宋体" w:eastAsia="宋体"/>
                <w:b w:val="0"/>
                <w:color w:val="111827"/>
                <w:sz w:val="19"/>
              </w:rPr>
              <w:t>基础实验</w:t>
            </w:r>
          </w:p>
        </w:tc>
        <w:tc>
          <w:tcPr>
            <w:tcW w:type="dxa" w:w="3798"/>
            <w:vAlign w:val="center"/>
          </w:tcPr>
          <w:p>
            <w:pPr>
              <w:jc w:val="left"/>
            </w:pPr>
            <w:r/>
            <w:r>
              <w:rPr>
                <w:rFonts w:ascii="宋体" w:hAnsi="宋体" w:eastAsia="宋体"/>
                <w:b w:val="0"/>
                <w:color w:val="111827"/>
                <w:sz w:val="19"/>
              </w:rPr>
              <w:t>GPIO控制、串口通信、I2C传感器读取、PWM调光、ADC采集</w:t>
            </w:r>
          </w:p>
        </w:tc>
        <w:tc>
          <w:tcPr>
            <w:tcW w:type="dxa" w:w="3231"/>
            <w:vAlign w:val="center"/>
          </w:tcPr>
          <w:p>
            <w:pPr>
              <w:jc w:val="left"/>
            </w:pPr>
            <w:r/>
            <w:r>
              <w:rPr>
                <w:rFonts w:ascii="宋体" w:hAnsi="宋体" w:eastAsia="宋体"/>
                <w:b w:val="0"/>
                <w:color w:val="111827"/>
                <w:sz w:val="19"/>
              </w:rPr>
              <w:t>完成单点驱动、代码运行截图和实验报告。</w:t>
            </w:r>
          </w:p>
        </w:tc>
      </w:tr>
      <w:tr>
        <w:tc>
          <w:tcPr>
            <w:tcW w:type="dxa" w:w="1701"/>
            <w:vAlign w:val="center"/>
            <w:shd w:fill="EFF6FF"/>
          </w:tcPr>
          <w:p>
            <w:pPr>
              <w:jc w:val="left"/>
            </w:pPr>
            <w:r/>
            <w:r>
              <w:rPr>
                <w:rFonts w:ascii="宋体" w:hAnsi="宋体" w:eastAsia="宋体"/>
                <w:b w:val="0"/>
                <w:color w:val="111827"/>
                <w:sz w:val="19"/>
              </w:rPr>
              <w:t>联网实验</w:t>
            </w:r>
          </w:p>
        </w:tc>
        <w:tc>
          <w:tcPr>
            <w:tcW w:type="dxa" w:w="3798"/>
            <w:vAlign w:val="center"/>
          </w:tcPr>
          <w:p>
            <w:pPr>
              <w:jc w:val="left"/>
            </w:pPr>
            <w:r/>
            <w:r>
              <w:rPr>
                <w:rFonts w:ascii="宋体" w:hAnsi="宋体" w:eastAsia="宋体"/>
                <w:b w:val="0"/>
                <w:color w:val="111827"/>
                <w:sz w:val="19"/>
              </w:rPr>
              <w:t>WiFi配网、MQTT数据上报、HTTP接口调用、Modbus设备接入</w:t>
            </w:r>
          </w:p>
        </w:tc>
        <w:tc>
          <w:tcPr>
            <w:tcW w:type="dxa" w:w="3231"/>
            <w:vAlign w:val="center"/>
          </w:tcPr>
          <w:p>
            <w:pPr>
              <w:jc w:val="left"/>
            </w:pPr>
            <w:r/>
            <w:r>
              <w:rPr>
                <w:rFonts w:ascii="宋体" w:hAnsi="宋体" w:eastAsia="宋体"/>
                <w:b w:val="0"/>
                <w:color w:val="111827"/>
                <w:sz w:val="19"/>
              </w:rPr>
              <w:t>完成设备建模、数据上报和命令下发。</w:t>
            </w:r>
          </w:p>
        </w:tc>
      </w:tr>
      <w:tr>
        <w:tc>
          <w:tcPr>
            <w:tcW w:type="dxa" w:w="1701"/>
            <w:vAlign w:val="center"/>
            <w:shd w:fill="EFF6FF"/>
          </w:tcPr>
          <w:p>
            <w:pPr>
              <w:jc w:val="left"/>
            </w:pPr>
            <w:r/>
            <w:r>
              <w:rPr>
                <w:rFonts w:ascii="宋体" w:hAnsi="宋体" w:eastAsia="宋体"/>
                <w:b w:val="0"/>
                <w:color w:val="111827"/>
                <w:sz w:val="19"/>
              </w:rPr>
              <w:t>组网实验</w:t>
            </w:r>
          </w:p>
        </w:tc>
        <w:tc>
          <w:tcPr>
            <w:tcW w:type="dxa" w:w="3798"/>
            <w:vAlign w:val="center"/>
          </w:tcPr>
          <w:p>
            <w:pPr>
              <w:jc w:val="left"/>
            </w:pPr>
            <w:r/>
            <w:r>
              <w:rPr>
                <w:rFonts w:ascii="宋体" w:hAnsi="宋体" w:eastAsia="宋体"/>
                <w:b w:val="0"/>
                <w:color w:val="111827"/>
                <w:sz w:val="19"/>
              </w:rPr>
              <w:t>ZigBee协调器配置、节点入网退网、数据透传、多节点汇聚</w:t>
            </w:r>
          </w:p>
        </w:tc>
        <w:tc>
          <w:tcPr>
            <w:tcW w:type="dxa" w:w="3231"/>
            <w:vAlign w:val="center"/>
          </w:tcPr>
          <w:p>
            <w:pPr>
              <w:jc w:val="left"/>
            </w:pPr>
            <w:r/>
            <w:r>
              <w:rPr>
                <w:rFonts w:ascii="宋体" w:hAnsi="宋体" w:eastAsia="宋体"/>
                <w:b w:val="0"/>
                <w:color w:val="111827"/>
                <w:sz w:val="19"/>
              </w:rPr>
              <w:t>完成无线传感网络拓扑和网关汇聚。</w:t>
            </w:r>
          </w:p>
        </w:tc>
      </w:tr>
      <w:tr>
        <w:tc>
          <w:tcPr>
            <w:tcW w:type="dxa" w:w="1701"/>
            <w:vAlign w:val="center"/>
            <w:shd w:fill="EFF6FF"/>
          </w:tcPr>
          <w:p>
            <w:pPr>
              <w:jc w:val="left"/>
            </w:pPr>
            <w:r/>
            <w:r>
              <w:rPr>
                <w:rFonts w:ascii="宋体" w:hAnsi="宋体" w:eastAsia="宋体"/>
                <w:b w:val="0"/>
                <w:color w:val="111827"/>
                <w:sz w:val="19"/>
              </w:rPr>
              <w:t>平台实验</w:t>
            </w:r>
          </w:p>
        </w:tc>
        <w:tc>
          <w:tcPr>
            <w:tcW w:type="dxa" w:w="3798"/>
            <w:vAlign w:val="center"/>
          </w:tcPr>
          <w:p>
            <w:pPr>
              <w:jc w:val="left"/>
            </w:pPr>
            <w:r/>
            <w:r>
              <w:rPr>
                <w:rFonts w:ascii="宋体" w:hAnsi="宋体" w:eastAsia="宋体"/>
                <w:b w:val="0"/>
                <w:color w:val="111827"/>
                <w:sz w:val="19"/>
              </w:rPr>
              <w:t>规则引擎、报警记录、历史曲线、项目大屏、虚拟设备接入</w:t>
            </w:r>
          </w:p>
        </w:tc>
        <w:tc>
          <w:tcPr>
            <w:tcW w:type="dxa" w:w="3231"/>
            <w:vAlign w:val="center"/>
          </w:tcPr>
          <w:p>
            <w:pPr>
              <w:jc w:val="left"/>
            </w:pPr>
            <w:r/>
            <w:r>
              <w:rPr>
                <w:rFonts w:ascii="宋体" w:hAnsi="宋体" w:eastAsia="宋体"/>
                <w:b w:val="0"/>
                <w:color w:val="111827"/>
                <w:sz w:val="19"/>
              </w:rPr>
              <w:t>完成可视化看板和平台配置文档。</w:t>
            </w:r>
          </w:p>
        </w:tc>
      </w:tr>
      <w:tr>
        <w:tc>
          <w:tcPr>
            <w:tcW w:type="dxa" w:w="1701"/>
            <w:vAlign w:val="center"/>
            <w:shd w:fill="EFF6FF"/>
          </w:tcPr>
          <w:p>
            <w:pPr>
              <w:jc w:val="left"/>
            </w:pPr>
            <w:r/>
            <w:r>
              <w:rPr>
                <w:rFonts w:ascii="宋体" w:hAnsi="宋体" w:eastAsia="宋体"/>
                <w:b w:val="0"/>
                <w:color w:val="111827"/>
                <w:sz w:val="19"/>
              </w:rPr>
              <w:t>行业项目</w:t>
            </w:r>
          </w:p>
        </w:tc>
        <w:tc>
          <w:tcPr>
            <w:tcW w:type="dxa" w:w="3798"/>
            <w:vAlign w:val="center"/>
          </w:tcPr>
          <w:p>
            <w:pPr>
              <w:jc w:val="left"/>
            </w:pPr>
            <w:r/>
            <w:r>
              <w:rPr>
                <w:rFonts w:ascii="宋体" w:hAnsi="宋体" w:eastAsia="宋体"/>
                <w:b w:val="0"/>
                <w:color w:val="111827"/>
                <w:sz w:val="19"/>
              </w:rPr>
              <w:t>发酵监测、智慧养殖、智慧农业、智能家居、资产识别</w:t>
            </w:r>
          </w:p>
        </w:tc>
        <w:tc>
          <w:tcPr>
            <w:tcW w:type="dxa" w:w="3231"/>
            <w:vAlign w:val="center"/>
          </w:tcPr>
          <w:p>
            <w:pPr>
              <w:jc w:val="left"/>
            </w:pPr>
            <w:r/>
            <w:r>
              <w:rPr>
                <w:rFonts w:ascii="宋体" w:hAnsi="宋体" w:eastAsia="宋体"/>
                <w:b w:val="0"/>
                <w:color w:val="111827"/>
                <w:sz w:val="19"/>
              </w:rPr>
              <w:t>完成需求分析、系统联调、项目展示和答辩。</w:t>
            </w:r>
          </w:p>
        </w:tc>
      </w:tr>
    </w:tbl>
    <w:p/>
    <w:p>
      <w:pPr>
        <w:pStyle w:val="Heading2"/>
        <w:spacing w:before="160" w:after="160"/>
      </w:pPr>
      <w:r>
        <w:rPr>
          <w:rFonts w:ascii="微软雅黑" w:hAnsi="微软雅黑" w:eastAsia="微软雅黑"/>
          <w:color w:val="0F172A"/>
          <w:sz w:val="28"/>
        </w:rPr>
        <w:t>3.6 实验室特色与优势</w:t>
      </w:r>
    </w:p>
    <w:p>
      <w:pPr>
        <w:pStyle w:val="ListBullet"/>
        <w:spacing w:line="300" w:lineRule="auto" w:after="60"/>
      </w:pPr>
      <w:r>
        <w:rPr>
          <w:rFonts w:ascii="宋体" w:hAnsi="宋体" w:eastAsia="宋体"/>
          <w:b w:val="0"/>
          <w:sz w:val="21"/>
        </w:rPr>
        <w:t>鸿蒙特色：引入OpenHarmony轻量设备开发，结合鸿蒙模块完成配网、设备状态上传、云端控制和场景联动。</w:t>
      </w:r>
    </w:p>
    <w:p>
      <w:pPr>
        <w:pStyle w:val="ListBullet"/>
        <w:spacing w:line="300" w:lineRule="auto" w:after="60"/>
      </w:pPr>
      <w:r>
        <w:rPr>
          <w:rFonts w:ascii="宋体" w:hAnsi="宋体" w:eastAsia="宋体"/>
          <w:b w:val="0"/>
          <w:sz w:val="21"/>
        </w:rPr>
        <w:t>工程闭环：围绕“采集-通信-平台-控制-展示-评价”组织课程，避免碎片化实验。</w:t>
      </w:r>
    </w:p>
    <w:p>
      <w:pPr>
        <w:pStyle w:val="ListBullet"/>
        <w:spacing w:line="300" w:lineRule="auto" w:after="60"/>
      </w:pPr>
      <w:r>
        <w:rPr>
          <w:rFonts w:ascii="宋体" w:hAnsi="宋体" w:eastAsia="宋体"/>
          <w:b w:val="0"/>
          <w:sz w:val="21"/>
        </w:rPr>
        <w:t>虚实结合：真实硬件与在线仿真统一接入平台，降低课堂准备成本，增强课前预习和课后复盘能力。</w:t>
      </w:r>
    </w:p>
    <w:p>
      <w:pPr>
        <w:pStyle w:val="ListBullet"/>
        <w:spacing w:line="300" w:lineRule="auto" w:after="60"/>
      </w:pPr>
      <w:r>
        <w:rPr>
          <w:rFonts w:ascii="宋体" w:hAnsi="宋体" w:eastAsia="宋体"/>
          <w:b w:val="0"/>
          <w:sz w:val="21"/>
        </w:rPr>
        <w:t>行业融合：面向智慧农业、智慧养殖、微生物发酵等学院相关专业群，增强跨专业服务能力。</w:t>
      </w:r>
    </w:p>
    <w:p>
      <w:pPr>
        <w:pStyle w:val="ListBullet"/>
        <w:spacing w:line="300" w:lineRule="auto" w:after="60"/>
      </w:pPr>
      <w:r>
        <w:rPr>
          <w:rFonts w:ascii="宋体" w:hAnsi="宋体" w:eastAsia="宋体"/>
          <w:b w:val="0"/>
          <w:sz w:val="21"/>
        </w:rPr>
        <w:t>持续迭代：预留RESTful API、MQTT、HTTP、Modbus、WebSocket等接口，支持后续二次开发和资源更新。</w:t>
      </w:r>
    </w:p>
    <w:p>
      <w:pPr>
        <w:pStyle w:val="Heading1"/>
        <w:spacing w:before="240" w:after="160"/>
      </w:pPr>
      <w:r>
        <w:rPr>
          <w:rFonts w:ascii="微软雅黑" w:hAnsi="微软雅黑" w:eastAsia="微软雅黑"/>
          <w:color w:val="0F172A"/>
          <w:sz w:val="36"/>
        </w:rPr>
        <w:t>四、拓展应用与前瞻发展</w:t>
      </w:r>
    </w:p>
    <w:p>
      <w:pPr>
        <w:pStyle w:val="Heading2"/>
        <w:spacing w:before="160" w:after="160"/>
      </w:pPr>
      <w:r>
        <w:rPr>
          <w:rFonts w:ascii="微软雅黑" w:hAnsi="微软雅黑" w:eastAsia="微软雅黑"/>
          <w:color w:val="0F172A"/>
          <w:sz w:val="28"/>
        </w:rPr>
        <w:t>4.1 前瞻定位</w:t>
      </w:r>
    </w:p>
    <w:p>
      <w:pPr>
        <w:spacing w:line="324" w:lineRule="auto" w:after="120"/>
        <w:ind w:firstLine="440"/>
      </w:pPr>
      <w:r>
        <w:rPr>
          <w:rFonts w:ascii="宋体" w:hAnsi="宋体" w:eastAsia="宋体"/>
          <w:b w:val="0"/>
          <w:sz w:val="22"/>
        </w:rPr>
        <w:t>考虑到当前产教融合、科研创新和竞赛训练尚处于能力预留阶段，本方案不将相关内容表述为既有业绩或已发生成果，而是定位为实训室建成后的拓展方向。通过平台接口、课程资源、项目案例和数据沉淀，后续可逐步支撑校企协同课程共建、教师教学研究、学生创新项目和行业应用样板。</w:t>
      </w:r>
    </w:p>
    <w:p>
      <w:pPr>
        <w:jc w:val="center"/>
      </w:pPr>
      <w:r>
        <w:drawing>
          <wp:inline xmlns:a="http://schemas.openxmlformats.org/drawingml/2006/main" xmlns:pic="http://schemas.openxmlformats.org/drawingml/2006/picture">
            <wp:extent cx="5652000" cy="3461850"/>
            <wp:docPr id="13" name="Picture 13"/>
            <wp:cNvGraphicFramePr>
              <a:graphicFrameLocks noChangeAspect="1"/>
            </wp:cNvGraphicFramePr>
            <a:graphic>
              <a:graphicData uri="http://schemas.openxmlformats.org/drawingml/2006/picture">
                <pic:pic>
                  <pic:nvPicPr>
                    <pic:cNvPr id="0" name="09_extension_route.png"/>
                    <pic:cNvPicPr/>
                  </pic:nvPicPr>
                  <pic:blipFill>
                    <a:blip r:embed="rId22"/>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4-1 拓展应用与前瞻发展路线图</w:t>
      </w:r>
    </w:p>
    <w:p>
      <w:pPr>
        <w:spacing w:after="160"/>
        <w:jc w:val="center"/>
      </w:pPr>
      <w:r>
        <w:rPr>
          <w:rFonts w:ascii="宋体" w:hAnsi="宋体" w:eastAsia="宋体"/>
          <w:b w:val="0"/>
          <w:color w:val="475569"/>
          <w:sz w:val="19"/>
        </w:rPr>
        <w:t>表 4-1 前瞻拓展方向</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fill="1E3A8A"/>
            <w:vAlign w:val="center"/>
          </w:tcPr>
          <w:p>
            <w:pPr>
              <w:jc w:val="center"/>
            </w:pPr>
            <w:r/>
            <w:r>
              <w:rPr>
                <w:rFonts w:ascii="宋体" w:hAnsi="宋体" w:eastAsia="宋体"/>
                <w:b/>
                <w:color w:val="FFFFFF"/>
                <w:sz w:val="20"/>
              </w:rPr>
              <w:t>拓展方向</w:t>
            </w:r>
          </w:p>
        </w:tc>
        <w:tc>
          <w:tcPr>
            <w:tcW w:type="dxa" w:w="3969"/>
            <w:shd w:fill="1E3A8A"/>
            <w:vAlign w:val="center"/>
          </w:tcPr>
          <w:p>
            <w:pPr>
              <w:jc w:val="center"/>
            </w:pPr>
            <w:r/>
            <w:r>
              <w:rPr>
                <w:rFonts w:ascii="宋体" w:hAnsi="宋体" w:eastAsia="宋体"/>
                <w:b/>
                <w:color w:val="FFFFFF"/>
                <w:sz w:val="20"/>
              </w:rPr>
              <w:t>建议开展方式</w:t>
            </w:r>
          </w:p>
        </w:tc>
        <w:tc>
          <w:tcPr>
            <w:tcW w:type="dxa" w:w="2835"/>
            <w:shd w:fill="1E3A8A"/>
            <w:vAlign w:val="center"/>
          </w:tcPr>
          <w:p>
            <w:pPr>
              <w:jc w:val="center"/>
            </w:pPr>
            <w:r/>
            <w:r>
              <w:rPr>
                <w:rFonts w:ascii="宋体" w:hAnsi="宋体" w:eastAsia="宋体"/>
                <w:b/>
                <w:color w:val="FFFFFF"/>
                <w:sz w:val="20"/>
              </w:rPr>
              <w:t>预期价值</w:t>
            </w:r>
          </w:p>
        </w:tc>
      </w:tr>
      <w:tr>
        <w:tc>
          <w:tcPr>
            <w:tcW w:type="dxa" w:w="1928"/>
            <w:vAlign w:val="center"/>
            <w:shd w:fill="EFF6FF"/>
          </w:tcPr>
          <w:p>
            <w:pPr>
              <w:jc w:val="left"/>
            </w:pPr>
            <w:r/>
            <w:r>
              <w:rPr>
                <w:rFonts w:ascii="宋体" w:hAnsi="宋体" w:eastAsia="宋体"/>
                <w:b w:val="0"/>
                <w:color w:val="111827"/>
                <w:sz w:val="19"/>
              </w:rPr>
              <w:t>校企协同课程共建</w:t>
            </w:r>
          </w:p>
        </w:tc>
        <w:tc>
          <w:tcPr>
            <w:tcW w:type="dxa" w:w="3969"/>
            <w:vAlign w:val="center"/>
          </w:tcPr>
          <w:p>
            <w:pPr>
              <w:jc w:val="left"/>
            </w:pPr>
            <w:r/>
            <w:r>
              <w:rPr>
                <w:rFonts w:ascii="宋体" w:hAnsi="宋体" w:eastAsia="宋体"/>
                <w:b w:val="0"/>
                <w:color w:val="111827"/>
                <w:sz w:val="19"/>
              </w:rPr>
              <w:t>围绕鸿蒙设备接入、AIoT平台运维、行业场景实施等模块共建任务书和案例库。</w:t>
            </w:r>
          </w:p>
        </w:tc>
        <w:tc>
          <w:tcPr>
            <w:tcW w:type="dxa" w:w="2835"/>
            <w:vAlign w:val="center"/>
          </w:tcPr>
          <w:p>
            <w:pPr>
              <w:jc w:val="left"/>
            </w:pPr>
            <w:r/>
            <w:r>
              <w:rPr>
                <w:rFonts w:ascii="宋体" w:hAnsi="宋体" w:eastAsia="宋体"/>
                <w:b w:val="0"/>
                <w:color w:val="111827"/>
                <w:sz w:val="19"/>
              </w:rPr>
              <w:t>使课程内容更贴近工程链路，便于后续持续更新。</w:t>
            </w:r>
          </w:p>
        </w:tc>
      </w:tr>
      <w:tr>
        <w:tc>
          <w:tcPr>
            <w:tcW w:type="dxa" w:w="1928"/>
            <w:vAlign w:val="center"/>
            <w:shd w:fill="EFF6FF"/>
          </w:tcPr>
          <w:p>
            <w:pPr>
              <w:jc w:val="left"/>
            </w:pPr>
            <w:r/>
            <w:r>
              <w:rPr>
                <w:rFonts w:ascii="宋体" w:hAnsi="宋体" w:eastAsia="宋体"/>
                <w:b w:val="0"/>
                <w:color w:val="111827"/>
                <w:sz w:val="19"/>
              </w:rPr>
              <w:t>教师培训与教研</w:t>
            </w:r>
          </w:p>
        </w:tc>
        <w:tc>
          <w:tcPr>
            <w:tcW w:type="dxa" w:w="3969"/>
            <w:vAlign w:val="center"/>
          </w:tcPr>
          <w:p>
            <w:pPr>
              <w:jc w:val="left"/>
            </w:pPr>
            <w:r/>
            <w:r>
              <w:rPr>
                <w:rFonts w:ascii="宋体" w:hAnsi="宋体" w:eastAsia="宋体"/>
                <w:b w:val="0"/>
                <w:color w:val="111827"/>
                <w:sz w:val="19"/>
              </w:rPr>
              <w:t>开展平台使用、设备联调、课程组织、项目评价和故障排查培训。</w:t>
            </w:r>
          </w:p>
        </w:tc>
        <w:tc>
          <w:tcPr>
            <w:tcW w:type="dxa" w:w="2835"/>
            <w:vAlign w:val="center"/>
          </w:tcPr>
          <w:p>
            <w:pPr>
              <w:jc w:val="left"/>
            </w:pPr>
            <w:r/>
            <w:r>
              <w:rPr>
                <w:rFonts w:ascii="宋体" w:hAnsi="宋体" w:eastAsia="宋体"/>
                <w:b w:val="0"/>
                <w:color w:val="111827"/>
                <w:sz w:val="19"/>
              </w:rPr>
              <w:t>帮助教师独立完成任务发布、过程监控、报告批阅和课程迭代。</w:t>
            </w:r>
          </w:p>
        </w:tc>
      </w:tr>
      <w:tr>
        <w:tc>
          <w:tcPr>
            <w:tcW w:type="dxa" w:w="1928"/>
            <w:vAlign w:val="center"/>
            <w:shd w:fill="EFF6FF"/>
          </w:tcPr>
          <w:p>
            <w:pPr>
              <w:jc w:val="left"/>
            </w:pPr>
            <w:r/>
            <w:r>
              <w:rPr>
                <w:rFonts w:ascii="宋体" w:hAnsi="宋体" w:eastAsia="宋体"/>
                <w:b w:val="0"/>
                <w:color w:val="111827"/>
                <w:sz w:val="19"/>
              </w:rPr>
              <w:t>学生创新项目</w:t>
            </w:r>
          </w:p>
        </w:tc>
        <w:tc>
          <w:tcPr>
            <w:tcW w:type="dxa" w:w="3969"/>
            <w:vAlign w:val="center"/>
          </w:tcPr>
          <w:p>
            <w:pPr>
              <w:jc w:val="left"/>
            </w:pPr>
            <w:r/>
            <w:r>
              <w:rPr>
                <w:rFonts w:ascii="宋体" w:hAnsi="宋体" w:eastAsia="宋体"/>
                <w:b w:val="0"/>
                <w:color w:val="111827"/>
                <w:sz w:val="19"/>
              </w:rPr>
              <w:t>基于开放接口和模块化设备，支持学生围绕智慧农业、养殖、发酵等场景进行项目开发。</w:t>
            </w:r>
          </w:p>
        </w:tc>
        <w:tc>
          <w:tcPr>
            <w:tcW w:type="dxa" w:w="2835"/>
            <w:vAlign w:val="center"/>
          </w:tcPr>
          <w:p>
            <w:pPr>
              <w:jc w:val="left"/>
            </w:pPr>
            <w:r/>
            <w:r>
              <w:rPr>
                <w:rFonts w:ascii="宋体" w:hAnsi="宋体" w:eastAsia="宋体"/>
                <w:b w:val="0"/>
                <w:color w:val="111827"/>
                <w:sz w:val="19"/>
              </w:rPr>
              <w:t>形成作品库、报告库、数据样例和展示素材。</w:t>
            </w:r>
          </w:p>
        </w:tc>
      </w:tr>
      <w:tr>
        <w:tc>
          <w:tcPr>
            <w:tcW w:type="dxa" w:w="1928"/>
            <w:vAlign w:val="center"/>
            <w:shd w:fill="EFF6FF"/>
          </w:tcPr>
          <w:p>
            <w:pPr>
              <w:jc w:val="left"/>
            </w:pPr>
            <w:r/>
            <w:r>
              <w:rPr>
                <w:rFonts w:ascii="宋体" w:hAnsi="宋体" w:eastAsia="宋体"/>
                <w:b w:val="0"/>
                <w:color w:val="111827"/>
                <w:sz w:val="19"/>
              </w:rPr>
              <w:t>行业场景拓展</w:t>
            </w:r>
          </w:p>
        </w:tc>
        <w:tc>
          <w:tcPr>
            <w:tcW w:type="dxa" w:w="3969"/>
            <w:vAlign w:val="center"/>
          </w:tcPr>
          <w:p>
            <w:pPr>
              <w:jc w:val="left"/>
            </w:pPr>
            <w:r/>
            <w:r>
              <w:rPr>
                <w:rFonts w:ascii="宋体" w:hAnsi="宋体" w:eastAsia="宋体"/>
                <w:b w:val="0"/>
                <w:color w:val="111827"/>
                <w:sz w:val="19"/>
              </w:rPr>
              <w:t>将环境监测、资产识别、仓储管理、智能家居等场景作为后续扩展包。</w:t>
            </w:r>
          </w:p>
        </w:tc>
        <w:tc>
          <w:tcPr>
            <w:tcW w:type="dxa" w:w="2835"/>
            <w:vAlign w:val="center"/>
          </w:tcPr>
          <w:p>
            <w:pPr>
              <w:jc w:val="left"/>
            </w:pPr>
            <w:r/>
            <w:r>
              <w:rPr>
                <w:rFonts w:ascii="宋体" w:hAnsi="宋体" w:eastAsia="宋体"/>
                <w:b w:val="0"/>
                <w:color w:val="111827"/>
                <w:sz w:val="19"/>
              </w:rPr>
              <w:t>提升实训室跨专业服务和持续建设空间。</w:t>
            </w:r>
          </w:p>
        </w:tc>
      </w:tr>
      <w:tr>
        <w:tc>
          <w:tcPr>
            <w:tcW w:type="dxa" w:w="1928"/>
            <w:vAlign w:val="center"/>
            <w:shd w:fill="EFF6FF"/>
          </w:tcPr>
          <w:p>
            <w:pPr>
              <w:jc w:val="left"/>
            </w:pPr>
            <w:r/>
            <w:r>
              <w:rPr>
                <w:rFonts w:ascii="宋体" w:hAnsi="宋体" w:eastAsia="宋体"/>
                <w:b w:val="0"/>
                <w:color w:val="111827"/>
                <w:sz w:val="19"/>
              </w:rPr>
              <w:t>资源持续运营</w:t>
            </w:r>
          </w:p>
        </w:tc>
        <w:tc>
          <w:tcPr>
            <w:tcW w:type="dxa" w:w="3969"/>
            <w:vAlign w:val="center"/>
          </w:tcPr>
          <w:p>
            <w:pPr>
              <w:jc w:val="left"/>
            </w:pPr>
            <w:r/>
            <w:r>
              <w:rPr>
                <w:rFonts w:ascii="宋体" w:hAnsi="宋体" w:eastAsia="宋体"/>
                <w:b w:val="0"/>
                <w:color w:val="111827"/>
                <w:sz w:val="19"/>
              </w:rPr>
              <w:t>每学期复盘课程资源，每年更新通信模块、AI能力或行业案例。</w:t>
            </w:r>
          </w:p>
        </w:tc>
        <w:tc>
          <w:tcPr>
            <w:tcW w:type="dxa" w:w="2835"/>
            <w:vAlign w:val="center"/>
          </w:tcPr>
          <w:p>
            <w:pPr>
              <w:jc w:val="left"/>
            </w:pPr>
            <w:r/>
            <w:r>
              <w:rPr>
                <w:rFonts w:ascii="宋体" w:hAnsi="宋体" w:eastAsia="宋体"/>
                <w:b w:val="0"/>
                <w:color w:val="111827"/>
                <w:sz w:val="19"/>
              </w:rPr>
              <w:t>避免设备一次性建设后资源固化。</w:t>
            </w:r>
          </w:p>
        </w:tc>
      </w:tr>
    </w:tbl>
    <w:p/>
    <w:p>
      <w:pPr>
        <w:pStyle w:val="Heading2"/>
        <w:spacing w:before="160" w:after="160"/>
      </w:pPr>
      <w:r>
        <w:rPr>
          <w:rFonts w:ascii="微软雅黑" w:hAnsi="微软雅黑" w:eastAsia="微软雅黑"/>
          <w:color w:val="0F172A"/>
          <w:sz w:val="28"/>
        </w:rPr>
        <w:t>4.2 行业场景应用建议</w:t>
      </w:r>
    </w:p>
    <w:p>
      <w:pPr>
        <w:spacing w:line="324" w:lineRule="auto" w:after="120"/>
        <w:ind w:firstLine="440"/>
      </w:pPr>
      <w:r>
        <w:rPr>
          <w:rFonts w:ascii="宋体" w:hAnsi="宋体" w:eastAsia="宋体"/>
          <w:b w:val="0"/>
          <w:sz w:val="22"/>
        </w:rPr>
        <w:t>行业场景不作为既有项目成果呈现，而作为实训室建成后可开展的教学应用方向。建议优先围绕学院专业群特征选择微生物发酵环境监测、智慧养殖监测和智慧农业管理等方向。</w:t>
      </w:r>
    </w:p>
    <w:p>
      <w:pPr>
        <w:jc w:val="center"/>
      </w:pPr>
      <w:r>
        <w:drawing>
          <wp:inline xmlns:a="http://schemas.openxmlformats.org/drawingml/2006/main" xmlns:pic="http://schemas.openxmlformats.org/drawingml/2006/picture">
            <wp:extent cx="5652000" cy="3579600"/>
            <wp:docPr id="14" name="Picture 14"/>
            <wp:cNvGraphicFramePr>
              <a:graphicFrameLocks noChangeAspect="1"/>
            </wp:cNvGraphicFramePr>
            <a:graphic>
              <a:graphicData uri="http://schemas.openxmlformats.org/drawingml/2006/picture">
                <pic:pic>
                  <pic:nvPicPr>
                    <pic:cNvPr id="0" name="04.png"/>
                    <pic:cNvPicPr/>
                  </pic:nvPicPr>
                  <pic:blipFill>
                    <a:blip r:embed="rId23"/>
                    <a:stretch>
                      <a:fillRect/>
                    </a:stretch>
                  </pic:blipFill>
                  <pic:spPr>
                    <a:xfrm>
                      <a:off x="0" y="0"/>
                      <a:ext cx="5652000" cy="3579600"/>
                    </a:xfrm>
                    <a:prstGeom prst="rect"/>
                  </pic:spPr>
                </pic:pic>
              </a:graphicData>
            </a:graphic>
          </wp:inline>
        </w:drawing>
      </w:r>
    </w:p>
    <w:p>
      <w:pPr>
        <w:spacing w:after="160"/>
        <w:jc w:val="center"/>
      </w:pPr>
      <w:r>
        <w:rPr>
          <w:rFonts w:ascii="宋体" w:hAnsi="宋体" w:eastAsia="宋体"/>
          <w:b w:val="0"/>
          <w:color w:val="475569"/>
          <w:sz w:val="19"/>
        </w:rPr>
        <w:t>图 4-2 发酵监测与智慧养殖场景拓展示意图（复用本地素材）</w:t>
      </w:r>
    </w:p>
    <w:p>
      <w:pPr>
        <w:spacing w:after="160"/>
        <w:jc w:val="center"/>
      </w:pPr>
      <w:r>
        <w:rPr>
          <w:rFonts w:ascii="宋体" w:hAnsi="宋体" w:eastAsia="宋体"/>
          <w:b w:val="0"/>
          <w:color w:val="475569"/>
          <w:sz w:val="19"/>
        </w:rPr>
        <w:t>表 4-2 行业场景应用建议</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场景</w:t>
            </w:r>
          </w:p>
        </w:tc>
        <w:tc>
          <w:tcPr>
            <w:tcW w:type="dxa" w:w="3061"/>
            <w:shd w:fill="1E3A8A"/>
            <w:vAlign w:val="center"/>
          </w:tcPr>
          <w:p>
            <w:pPr>
              <w:jc w:val="center"/>
            </w:pPr>
            <w:r/>
            <w:r>
              <w:rPr>
                <w:rFonts w:ascii="宋体" w:hAnsi="宋体" w:eastAsia="宋体"/>
                <w:b/>
                <w:color w:val="FFFFFF"/>
                <w:sz w:val="20"/>
              </w:rPr>
              <w:t>关键参数/对象</w:t>
            </w:r>
          </w:p>
        </w:tc>
        <w:tc>
          <w:tcPr>
            <w:tcW w:type="dxa" w:w="3969"/>
            <w:shd w:fill="1E3A8A"/>
            <w:vAlign w:val="center"/>
          </w:tcPr>
          <w:p>
            <w:pPr>
              <w:jc w:val="center"/>
            </w:pPr>
            <w:r/>
            <w:r>
              <w:rPr>
                <w:rFonts w:ascii="宋体" w:hAnsi="宋体" w:eastAsia="宋体"/>
                <w:b/>
                <w:color w:val="FFFFFF"/>
                <w:sz w:val="20"/>
              </w:rPr>
              <w:t>教学任务</w:t>
            </w:r>
          </w:p>
        </w:tc>
      </w:tr>
      <w:tr>
        <w:tc>
          <w:tcPr>
            <w:tcW w:type="dxa" w:w="1701"/>
            <w:vAlign w:val="center"/>
            <w:shd w:fill="EFF6FF"/>
          </w:tcPr>
          <w:p>
            <w:pPr>
              <w:jc w:val="left"/>
            </w:pPr>
            <w:r/>
            <w:r>
              <w:rPr>
                <w:rFonts w:ascii="宋体" w:hAnsi="宋体" w:eastAsia="宋体"/>
                <w:b w:val="0"/>
                <w:color w:val="111827"/>
                <w:sz w:val="19"/>
              </w:rPr>
              <w:t>微生物发酵环境监测</w:t>
            </w:r>
          </w:p>
        </w:tc>
        <w:tc>
          <w:tcPr>
            <w:tcW w:type="dxa" w:w="3061"/>
            <w:vAlign w:val="center"/>
          </w:tcPr>
          <w:p>
            <w:pPr>
              <w:jc w:val="left"/>
            </w:pPr>
            <w:r/>
            <w:r>
              <w:rPr>
                <w:rFonts w:ascii="宋体" w:hAnsi="宋体" w:eastAsia="宋体"/>
                <w:b w:val="0"/>
                <w:color w:val="111827"/>
                <w:sz w:val="19"/>
              </w:rPr>
              <w:t>温度、湿度、CO2、重量、气体、光照、搅拌、补料</w:t>
            </w:r>
          </w:p>
        </w:tc>
        <w:tc>
          <w:tcPr>
            <w:tcW w:type="dxa" w:w="3969"/>
            <w:vAlign w:val="center"/>
          </w:tcPr>
          <w:p>
            <w:pPr>
              <w:jc w:val="left"/>
            </w:pPr>
            <w:r/>
            <w:r>
              <w:rPr>
                <w:rFonts w:ascii="宋体" w:hAnsi="宋体" w:eastAsia="宋体"/>
                <w:b w:val="0"/>
                <w:color w:val="111827"/>
                <w:sz w:val="19"/>
              </w:rPr>
              <w:t>完成多参数采集、PID/阈值控制、网关上报、趋势分析和异常告警。</w:t>
            </w:r>
          </w:p>
        </w:tc>
      </w:tr>
      <w:tr>
        <w:tc>
          <w:tcPr>
            <w:tcW w:type="dxa" w:w="1701"/>
            <w:vAlign w:val="center"/>
            <w:shd w:fill="EFF6FF"/>
          </w:tcPr>
          <w:p>
            <w:pPr>
              <w:jc w:val="left"/>
            </w:pPr>
            <w:r/>
            <w:r>
              <w:rPr>
                <w:rFonts w:ascii="宋体" w:hAnsi="宋体" w:eastAsia="宋体"/>
                <w:b w:val="0"/>
                <w:color w:val="111827"/>
                <w:sz w:val="19"/>
              </w:rPr>
              <w:t>智慧养殖监测</w:t>
            </w:r>
          </w:p>
        </w:tc>
        <w:tc>
          <w:tcPr>
            <w:tcW w:type="dxa" w:w="3061"/>
            <w:vAlign w:val="center"/>
          </w:tcPr>
          <w:p>
            <w:pPr>
              <w:jc w:val="left"/>
            </w:pPr>
            <w:r/>
            <w:r>
              <w:rPr>
                <w:rFonts w:ascii="宋体" w:hAnsi="宋体" w:eastAsia="宋体"/>
                <w:b w:val="0"/>
                <w:color w:val="111827"/>
                <w:sz w:val="19"/>
              </w:rPr>
              <w:t>环境温湿度、氨气/CO2、设备状态、猪舍档案、数据看板</w:t>
            </w:r>
          </w:p>
        </w:tc>
        <w:tc>
          <w:tcPr>
            <w:tcW w:type="dxa" w:w="3969"/>
            <w:vAlign w:val="center"/>
          </w:tcPr>
          <w:p>
            <w:pPr>
              <w:jc w:val="left"/>
            </w:pPr>
            <w:r/>
            <w:r>
              <w:rPr>
                <w:rFonts w:ascii="宋体" w:hAnsi="宋体" w:eastAsia="宋体"/>
                <w:b w:val="0"/>
                <w:color w:val="111827"/>
                <w:sz w:val="19"/>
              </w:rPr>
              <w:t>完成环境监测、生产流程看板、数字孪生大屏和AI问答接口探索。</w:t>
            </w:r>
          </w:p>
        </w:tc>
      </w:tr>
      <w:tr>
        <w:tc>
          <w:tcPr>
            <w:tcW w:type="dxa" w:w="1701"/>
            <w:vAlign w:val="center"/>
            <w:shd w:fill="EFF6FF"/>
          </w:tcPr>
          <w:p>
            <w:pPr>
              <w:jc w:val="left"/>
            </w:pPr>
            <w:r/>
            <w:r>
              <w:rPr>
                <w:rFonts w:ascii="宋体" w:hAnsi="宋体" w:eastAsia="宋体"/>
                <w:b w:val="0"/>
                <w:color w:val="111827"/>
                <w:sz w:val="19"/>
              </w:rPr>
              <w:t>智慧农业</w:t>
            </w:r>
          </w:p>
        </w:tc>
        <w:tc>
          <w:tcPr>
            <w:tcW w:type="dxa" w:w="3061"/>
            <w:vAlign w:val="center"/>
          </w:tcPr>
          <w:p>
            <w:pPr>
              <w:jc w:val="left"/>
            </w:pPr>
            <w:r/>
            <w:r>
              <w:rPr>
                <w:rFonts w:ascii="宋体" w:hAnsi="宋体" w:eastAsia="宋体"/>
                <w:b w:val="0"/>
                <w:color w:val="111827"/>
                <w:sz w:val="19"/>
              </w:rPr>
              <w:t>土壤湿度、光照、温湿度、水泵、喷雾、窗帘/遮阳</w:t>
            </w:r>
          </w:p>
        </w:tc>
        <w:tc>
          <w:tcPr>
            <w:tcW w:type="dxa" w:w="3969"/>
            <w:vAlign w:val="center"/>
          </w:tcPr>
          <w:p>
            <w:pPr>
              <w:jc w:val="left"/>
            </w:pPr>
            <w:r/>
            <w:r>
              <w:rPr>
                <w:rFonts w:ascii="宋体" w:hAnsi="宋体" w:eastAsia="宋体"/>
                <w:b w:val="0"/>
                <w:color w:val="111827"/>
                <w:sz w:val="19"/>
              </w:rPr>
              <w:t>完成自动灌溉、阈值联动、远距通信和农业数据可视化。</w:t>
            </w:r>
          </w:p>
        </w:tc>
      </w:tr>
      <w:tr>
        <w:tc>
          <w:tcPr>
            <w:tcW w:type="dxa" w:w="1701"/>
            <w:vAlign w:val="center"/>
            <w:shd w:fill="EFF6FF"/>
          </w:tcPr>
          <w:p>
            <w:pPr>
              <w:jc w:val="left"/>
            </w:pPr>
            <w:r/>
            <w:r>
              <w:rPr>
                <w:rFonts w:ascii="宋体" w:hAnsi="宋体" w:eastAsia="宋体"/>
                <w:b w:val="0"/>
                <w:color w:val="111827"/>
                <w:sz w:val="19"/>
              </w:rPr>
              <w:t>智能家居</w:t>
            </w:r>
          </w:p>
        </w:tc>
        <w:tc>
          <w:tcPr>
            <w:tcW w:type="dxa" w:w="3061"/>
            <w:vAlign w:val="center"/>
          </w:tcPr>
          <w:p>
            <w:pPr>
              <w:jc w:val="left"/>
            </w:pPr>
            <w:r/>
            <w:r>
              <w:rPr>
                <w:rFonts w:ascii="宋体" w:hAnsi="宋体" w:eastAsia="宋体"/>
                <w:b w:val="0"/>
                <w:color w:val="111827"/>
                <w:sz w:val="19"/>
              </w:rPr>
              <w:t>人体红外、门磁、灯光、窗帘、风扇、安防告警</w:t>
            </w:r>
          </w:p>
        </w:tc>
        <w:tc>
          <w:tcPr>
            <w:tcW w:type="dxa" w:w="3969"/>
            <w:vAlign w:val="center"/>
          </w:tcPr>
          <w:p>
            <w:pPr>
              <w:jc w:val="left"/>
            </w:pPr>
            <w:r/>
            <w:r>
              <w:rPr>
                <w:rFonts w:ascii="宋体" w:hAnsi="宋体" w:eastAsia="宋体"/>
                <w:b w:val="0"/>
                <w:color w:val="111827"/>
                <w:sz w:val="19"/>
              </w:rPr>
              <w:t>完成情景模式、规则联动、远程控制和本地看板。</w:t>
            </w:r>
          </w:p>
        </w:tc>
      </w:tr>
      <w:tr>
        <w:tc>
          <w:tcPr>
            <w:tcW w:type="dxa" w:w="1701"/>
            <w:vAlign w:val="center"/>
            <w:shd w:fill="EFF6FF"/>
          </w:tcPr>
          <w:p>
            <w:pPr>
              <w:jc w:val="left"/>
            </w:pPr>
            <w:r/>
            <w:r>
              <w:rPr>
                <w:rFonts w:ascii="宋体" w:hAnsi="宋体" w:eastAsia="宋体"/>
                <w:b w:val="0"/>
                <w:color w:val="111827"/>
                <w:sz w:val="19"/>
              </w:rPr>
              <w:t>资产识别与仓储</w:t>
            </w:r>
          </w:p>
        </w:tc>
        <w:tc>
          <w:tcPr>
            <w:tcW w:type="dxa" w:w="3061"/>
            <w:vAlign w:val="center"/>
          </w:tcPr>
          <w:p>
            <w:pPr>
              <w:jc w:val="left"/>
            </w:pPr>
            <w:r/>
            <w:r>
              <w:rPr>
                <w:rFonts w:ascii="宋体" w:hAnsi="宋体" w:eastAsia="宋体"/>
                <w:b w:val="0"/>
                <w:color w:val="111827"/>
                <w:sz w:val="19"/>
              </w:rPr>
              <w:t>HF/UHF/NFC、二维码、出入库记录、标签追踪</w:t>
            </w:r>
          </w:p>
        </w:tc>
        <w:tc>
          <w:tcPr>
            <w:tcW w:type="dxa" w:w="3969"/>
            <w:vAlign w:val="center"/>
          </w:tcPr>
          <w:p>
            <w:pPr>
              <w:jc w:val="left"/>
            </w:pPr>
            <w:r/>
            <w:r>
              <w:rPr>
                <w:rFonts w:ascii="宋体" w:hAnsi="宋体" w:eastAsia="宋体"/>
                <w:b w:val="0"/>
                <w:color w:val="111827"/>
                <w:sz w:val="19"/>
              </w:rPr>
              <w:t>完成资产盘点、权限识别、仓储流程模拟和数据追踪。</w:t>
            </w:r>
          </w:p>
        </w:tc>
      </w:tr>
    </w:tbl>
    <w:p/>
    <w:p>
      <w:pPr>
        <w:pStyle w:val="Heading1"/>
        <w:spacing w:before="240" w:after="160"/>
      </w:pPr>
      <w:r>
        <w:rPr>
          <w:rFonts w:ascii="微软雅黑" w:hAnsi="微软雅黑" w:eastAsia="微软雅黑"/>
          <w:color w:val="0F172A"/>
          <w:sz w:val="36"/>
        </w:rPr>
        <w:t>五、竞赛训练与能力提升展望</w:t>
      </w:r>
    </w:p>
    <w:p>
      <w:pPr>
        <w:pStyle w:val="Heading2"/>
        <w:spacing w:before="160" w:after="160"/>
      </w:pPr>
      <w:r>
        <w:rPr>
          <w:rFonts w:ascii="微软雅黑" w:hAnsi="微软雅黑" w:eastAsia="微软雅黑"/>
          <w:color w:val="0F172A"/>
          <w:sz w:val="28"/>
        </w:rPr>
        <w:t>5.1 能力预留原则</w:t>
      </w:r>
    </w:p>
    <w:p>
      <w:pPr>
        <w:spacing w:line="324" w:lineRule="auto" w:after="120"/>
        <w:ind w:firstLine="440"/>
      </w:pPr>
      <w:r>
        <w:rPr>
          <w:rFonts w:ascii="宋体" w:hAnsi="宋体" w:eastAsia="宋体"/>
          <w:b w:val="0"/>
          <w:sz w:val="22"/>
        </w:rPr>
        <w:t>实训室建成后可面向物联网应用开发、嵌入式系统、人工智能应用、鸿蒙生态创新等方向预留训练条件。本方案不写现有参赛案例、相关成绩或合作院校案例，仅从课程和设备能力角度说明后续可支撑的训练方向。</w:t>
      </w:r>
    </w:p>
    <w:p>
      <w:pPr>
        <w:jc w:val="center"/>
      </w:pPr>
      <w:r>
        <w:drawing>
          <wp:inline xmlns:a="http://schemas.openxmlformats.org/drawingml/2006/main" xmlns:pic="http://schemas.openxmlformats.org/drawingml/2006/picture">
            <wp:extent cx="5652000" cy="3461850"/>
            <wp:docPr id="15" name="Picture 15"/>
            <wp:cNvGraphicFramePr>
              <a:graphicFrameLocks noChangeAspect="1"/>
            </wp:cNvGraphicFramePr>
            <a:graphic>
              <a:graphicData uri="http://schemas.openxmlformats.org/drawingml/2006/picture">
                <pic:pic>
                  <pic:nvPicPr>
                    <pic:cNvPr id="0" name="10_competition_map.png"/>
                    <pic:cNvPicPr/>
                  </pic:nvPicPr>
                  <pic:blipFill>
                    <a:blip r:embed="rId24"/>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5-1 竞赛训练能力映射图</w:t>
      </w:r>
    </w:p>
    <w:p>
      <w:pPr>
        <w:spacing w:after="160"/>
        <w:jc w:val="center"/>
      </w:pPr>
      <w:r>
        <w:rPr>
          <w:rFonts w:ascii="宋体" w:hAnsi="宋体" w:eastAsia="宋体"/>
          <w:b w:val="0"/>
          <w:color w:val="475569"/>
          <w:sz w:val="19"/>
        </w:rPr>
        <w:t>表 5-1 竞赛训练能力映射表</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能力方向</w:t>
            </w:r>
          </w:p>
        </w:tc>
        <w:tc>
          <w:tcPr>
            <w:tcW w:type="dxa" w:w="3515"/>
            <w:shd w:fill="1E3A8A"/>
            <w:vAlign w:val="center"/>
          </w:tcPr>
          <w:p>
            <w:pPr>
              <w:jc w:val="center"/>
            </w:pPr>
            <w:r/>
            <w:r>
              <w:rPr>
                <w:rFonts w:ascii="宋体" w:hAnsi="宋体" w:eastAsia="宋体"/>
                <w:b/>
                <w:color w:val="FFFFFF"/>
                <w:sz w:val="20"/>
              </w:rPr>
              <w:t>可训练内容</w:t>
            </w:r>
          </w:p>
        </w:tc>
        <w:tc>
          <w:tcPr>
            <w:tcW w:type="dxa" w:w="3515"/>
            <w:shd w:fill="1E3A8A"/>
            <w:vAlign w:val="center"/>
          </w:tcPr>
          <w:p>
            <w:pPr>
              <w:jc w:val="center"/>
            </w:pPr>
            <w:r/>
            <w:r>
              <w:rPr>
                <w:rFonts w:ascii="宋体" w:hAnsi="宋体" w:eastAsia="宋体"/>
                <w:b/>
                <w:color w:val="FFFFFF"/>
                <w:sz w:val="20"/>
              </w:rPr>
              <w:t>实训室支撑条件</w:t>
            </w:r>
          </w:p>
        </w:tc>
      </w:tr>
      <w:tr>
        <w:tc>
          <w:tcPr>
            <w:tcW w:type="dxa" w:w="1701"/>
            <w:vAlign w:val="center"/>
            <w:shd w:fill="EFF6FF"/>
          </w:tcPr>
          <w:p>
            <w:pPr>
              <w:jc w:val="left"/>
            </w:pPr>
            <w:r/>
            <w:r>
              <w:rPr>
                <w:rFonts w:ascii="宋体" w:hAnsi="宋体" w:eastAsia="宋体"/>
                <w:b w:val="0"/>
                <w:color w:val="111827"/>
                <w:sz w:val="19"/>
              </w:rPr>
              <w:t>物联网应用开发</w:t>
            </w:r>
          </w:p>
        </w:tc>
        <w:tc>
          <w:tcPr>
            <w:tcW w:type="dxa" w:w="3515"/>
            <w:vAlign w:val="center"/>
          </w:tcPr>
          <w:p>
            <w:pPr>
              <w:jc w:val="left"/>
            </w:pPr>
            <w:r/>
            <w:r>
              <w:rPr>
                <w:rFonts w:ascii="宋体" w:hAnsi="宋体" w:eastAsia="宋体"/>
                <w:b w:val="0"/>
                <w:color w:val="111827"/>
                <w:sz w:val="19"/>
              </w:rPr>
              <w:t>设备接入、协议通信、规则联动、数据看板、项目交付</w:t>
            </w:r>
          </w:p>
        </w:tc>
        <w:tc>
          <w:tcPr>
            <w:tcW w:type="dxa" w:w="3515"/>
            <w:vAlign w:val="center"/>
          </w:tcPr>
          <w:p>
            <w:pPr>
              <w:jc w:val="left"/>
            </w:pPr>
            <w:r/>
            <w:r>
              <w:rPr>
                <w:rFonts w:ascii="宋体" w:hAnsi="宋体" w:eastAsia="宋体"/>
                <w:b w:val="0"/>
                <w:color w:val="111827"/>
                <w:sz w:val="19"/>
              </w:rPr>
              <w:t>鸿蒙实验箱、通信开发包、AIoT平台、行业场景项目。</w:t>
            </w:r>
          </w:p>
        </w:tc>
      </w:tr>
      <w:tr>
        <w:tc>
          <w:tcPr>
            <w:tcW w:type="dxa" w:w="1701"/>
            <w:vAlign w:val="center"/>
            <w:shd w:fill="EFF6FF"/>
          </w:tcPr>
          <w:p>
            <w:pPr>
              <w:jc w:val="left"/>
            </w:pPr>
            <w:r/>
            <w:r>
              <w:rPr>
                <w:rFonts w:ascii="宋体" w:hAnsi="宋体" w:eastAsia="宋体"/>
                <w:b w:val="0"/>
                <w:color w:val="111827"/>
                <w:sz w:val="19"/>
              </w:rPr>
              <w:t>嵌入式系统</w:t>
            </w:r>
          </w:p>
        </w:tc>
        <w:tc>
          <w:tcPr>
            <w:tcW w:type="dxa" w:w="3515"/>
            <w:vAlign w:val="center"/>
          </w:tcPr>
          <w:p>
            <w:pPr>
              <w:jc w:val="left"/>
            </w:pPr>
            <w:r/>
            <w:r>
              <w:rPr>
                <w:rFonts w:ascii="宋体" w:hAnsi="宋体" w:eastAsia="宋体"/>
                <w:b w:val="0"/>
                <w:color w:val="111827"/>
                <w:sz w:val="19"/>
              </w:rPr>
              <w:t>MCU外设、传感器驱动、串口调试、执行器控制、故障排查</w:t>
            </w:r>
          </w:p>
        </w:tc>
        <w:tc>
          <w:tcPr>
            <w:tcW w:type="dxa" w:w="3515"/>
            <w:vAlign w:val="center"/>
          </w:tcPr>
          <w:p>
            <w:pPr>
              <w:jc w:val="left"/>
            </w:pPr>
            <w:r/>
            <w:r>
              <w:rPr>
                <w:rFonts w:ascii="宋体" w:hAnsi="宋体" w:eastAsia="宋体"/>
                <w:b w:val="0"/>
                <w:color w:val="111827"/>
                <w:sz w:val="19"/>
              </w:rPr>
              <w:t>STM32模块、传感器开发包、执行器开发包、实验指导书。</w:t>
            </w:r>
          </w:p>
        </w:tc>
      </w:tr>
      <w:tr>
        <w:tc>
          <w:tcPr>
            <w:tcW w:type="dxa" w:w="1701"/>
            <w:vAlign w:val="center"/>
            <w:shd w:fill="EFF6FF"/>
          </w:tcPr>
          <w:p>
            <w:pPr>
              <w:jc w:val="left"/>
            </w:pPr>
            <w:r/>
            <w:r>
              <w:rPr>
                <w:rFonts w:ascii="宋体" w:hAnsi="宋体" w:eastAsia="宋体"/>
                <w:b w:val="0"/>
                <w:color w:val="111827"/>
                <w:sz w:val="19"/>
              </w:rPr>
              <w:t>人工智能应用</w:t>
            </w:r>
          </w:p>
        </w:tc>
        <w:tc>
          <w:tcPr>
            <w:tcW w:type="dxa" w:w="3515"/>
            <w:vAlign w:val="center"/>
          </w:tcPr>
          <w:p>
            <w:pPr>
              <w:jc w:val="left"/>
            </w:pPr>
            <w:r/>
            <w:r>
              <w:rPr>
                <w:rFonts w:ascii="宋体" w:hAnsi="宋体" w:eastAsia="宋体"/>
                <w:b w:val="0"/>
                <w:color w:val="111827"/>
                <w:sz w:val="19"/>
              </w:rPr>
              <w:t>AI助教、语音/视觉接口、边缘AI探索、知识库答疑</w:t>
            </w:r>
          </w:p>
        </w:tc>
        <w:tc>
          <w:tcPr>
            <w:tcW w:type="dxa" w:w="3515"/>
            <w:vAlign w:val="center"/>
          </w:tcPr>
          <w:p>
            <w:pPr>
              <w:jc w:val="left"/>
            </w:pPr>
            <w:r/>
            <w:r>
              <w:rPr>
                <w:rFonts w:ascii="宋体" w:hAnsi="宋体" w:eastAsia="宋体"/>
                <w:b w:val="0"/>
                <w:color w:val="111827"/>
                <w:sz w:val="19"/>
              </w:rPr>
              <w:t>AIoT平台高级能力、开放接口、项目化课程资源。</w:t>
            </w:r>
          </w:p>
        </w:tc>
      </w:tr>
      <w:tr>
        <w:tc>
          <w:tcPr>
            <w:tcW w:type="dxa" w:w="1701"/>
            <w:vAlign w:val="center"/>
            <w:shd w:fill="EFF6FF"/>
          </w:tcPr>
          <w:p>
            <w:pPr>
              <w:jc w:val="left"/>
            </w:pPr>
            <w:r/>
            <w:r>
              <w:rPr>
                <w:rFonts w:ascii="宋体" w:hAnsi="宋体" w:eastAsia="宋体"/>
                <w:b w:val="0"/>
                <w:color w:val="111827"/>
                <w:sz w:val="19"/>
              </w:rPr>
              <w:t>鸿蒙生态创新</w:t>
            </w:r>
          </w:p>
        </w:tc>
        <w:tc>
          <w:tcPr>
            <w:tcW w:type="dxa" w:w="3515"/>
            <w:vAlign w:val="center"/>
          </w:tcPr>
          <w:p>
            <w:pPr>
              <w:jc w:val="left"/>
            </w:pPr>
            <w:r/>
            <w:r>
              <w:rPr>
                <w:rFonts w:ascii="宋体" w:hAnsi="宋体" w:eastAsia="宋体"/>
                <w:b w:val="0"/>
                <w:color w:val="111827"/>
                <w:sz w:val="19"/>
              </w:rPr>
              <w:t>OpenHarmony轻量设备开发、WiFi配网、设备上云、鸿蒙节点联动</w:t>
            </w:r>
          </w:p>
        </w:tc>
        <w:tc>
          <w:tcPr>
            <w:tcW w:type="dxa" w:w="3515"/>
            <w:vAlign w:val="center"/>
          </w:tcPr>
          <w:p>
            <w:pPr>
              <w:jc w:val="left"/>
            </w:pPr>
            <w:r/>
            <w:r>
              <w:rPr>
                <w:rFonts w:ascii="宋体" w:hAnsi="宋体" w:eastAsia="宋体"/>
                <w:b w:val="0"/>
                <w:color w:val="111827"/>
                <w:sz w:val="19"/>
              </w:rPr>
              <w:t>鸿蒙物联网模块、DevEco开发流程、云平台联动案例。</w:t>
            </w:r>
          </w:p>
        </w:tc>
      </w:tr>
      <w:tr>
        <w:tc>
          <w:tcPr>
            <w:tcW w:type="dxa" w:w="1701"/>
            <w:vAlign w:val="center"/>
            <w:shd w:fill="EFF6FF"/>
          </w:tcPr>
          <w:p>
            <w:pPr>
              <w:jc w:val="left"/>
            </w:pPr>
            <w:r/>
            <w:r>
              <w:rPr>
                <w:rFonts w:ascii="宋体" w:hAnsi="宋体" w:eastAsia="宋体"/>
                <w:b w:val="0"/>
                <w:color w:val="111827"/>
                <w:sz w:val="19"/>
              </w:rPr>
              <w:t>工程表达与答辩</w:t>
            </w:r>
          </w:p>
        </w:tc>
        <w:tc>
          <w:tcPr>
            <w:tcW w:type="dxa" w:w="3515"/>
            <w:vAlign w:val="center"/>
          </w:tcPr>
          <w:p>
            <w:pPr>
              <w:jc w:val="left"/>
            </w:pPr>
            <w:r/>
            <w:r>
              <w:rPr>
                <w:rFonts w:ascii="宋体" w:hAnsi="宋体" w:eastAsia="宋体"/>
                <w:b w:val="0"/>
                <w:color w:val="111827"/>
                <w:sz w:val="19"/>
              </w:rPr>
              <w:t>需求分析、方案设计、联调记录、演示汇报、报告撰写</w:t>
            </w:r>
          </w:p>
        </w:tc>
        <w:tc>
          <w:tcPr>
            <w:tcW w:type="dxa" w:w="3515"/>
            <w:vAlign w:val="center"/>
          </w:tcPr>
          <w:p>
            <w:pPr>
              <w:jc w:val="left"/>
            </w:pPr>
            <w:r/>
            <w:r>
              <w:rPr>
                <w:rFonts w:ascii="宋体" w:hAnsi="宋体" w:eastAsia="宋体"/>
                <w:b w:val="0"/>
                <w:color w:val="111827"/>
                <w:sz w:val="19"/>
              </w:rPr>
              <w:t>任务书、报告模板、过程数据、项目大屏和优秀作品库。</w:t>
            </w:r>
          </w:p>
        </w:tc>
      </w:tr>
    </w:tbl>
    <w:p/>
    <w:p>
      <w:pPr>
        <w:pStyle w:val="Heading2"/>
        <w:spacing w:before="160" w:after="160"/>
      </w:pPr>
      <w:r>
        <w:rPr>
          <w:rFonts w:ascii="微软雅黑" w:hAnsi="微软雅黑" w:eastAsia="微软雅黑"/>
          <w:color w:val="0F172A"/>
          <w:sz w:val="28"/>
        </w:rPr>
        <w:t>5.2 能力提升路径</w:t>
      </w:r>
    </w:p>
    <w:p>
      <w:pPr>
        <w:spacing w:line="324" w:lineRule="auto" w:after="120"/>
        <w:ind w:firstLine="440"/>
      </w:pPr>
      <w:r>
        <w:rPr>
          <w:rFonts w:ascii="宋体" w:hAnsi="宋体" w:eastAsia="宋体"/>
          <w:b w:val="0"/>
          <w:sz w:val="22"/>
        </w:rPr>
        <w:t>建议在实训室投入使用后，按照“课程训练—综合项目—校内展示—专项训练—外部赛项对接”的路径逐步推进。初期以课程达标和教师熟练使用为主，中期沉淀优秀作品和训练题库，后期再根据学校专业建设安排选择适配赛项进行专项训练。</w:t>
      </w:r>
    </w:p>
    <w:p>
      <w:pPr>
        <w:pStyle w:val="Heading1"/>
        <w:spacing w:before="240" w:after="160"/>
      </w:pPr>
      <w:r>
        <w:rPr>
          <w:rFonts w:ascii="微软雅黑" w:hAnsi="微软雅黑" w:eastAsia="微软雅黑"/>
          <w:color w:val="0F172A"/>
          <w:sz w:val="36"/>
        </w:rPr>
        <w:t>六、建设清单与实施保障</w:t>
      </w:r>
    </w:p>
    <w:p>
      <w:pPr>
        <w:pStyle w:val="Heading2"/>
        <w:spacing w:before="160" w:after="160"/>
      </w:pPr>
      <w:r>
        <w:rPr>
          <w:rFonts w:ascii="微软雅黑" w:hAnsi="微软雅黑" w:eastAsia="微软雅黑"/>
          <w:color w:val="0F172A"/>
          <w:sz w:val="28"/>
        </w:rPr>
        <w:t>6.1 建设清单</w:t>
      </w:r>
    </w:p>
    <w:p>
      <w:pPr>
        <w:spacing w:after="160"/>
        <w:jc w:val="center"/>
      </w:pPr>
      <w:r>
        <w:rPr>
          <w:rFonts w:ascii="宋体" w:hAnsi="宋体" w:eastAsia="宋体"/>
          <w:b w:val="0"/>
          <w:color w:val="475569"/>
          <w:sz w:val="19"/>
        </w:rPr>
        <w:t>表 6-1 建设内容清单</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737"/>
            <w:shd w:fill="1E3A8A"/>
            <w:vAlign w:val="center"/>
          </w:tcPr>
          <w:p>
            <w:pPr>
              <w:jc w:val="center"/>
            </w:pPr>
            <w:r/>
            <w:r>
              <w:rPr>
                <w:rFonts w:ascii="宋体" w:hAnsi="宋体" w:eastAsia="宋体"/>
                <w:b/>
                <w:color w:val="FFFFFF"/>
                <w:sz w:val="20"/>
              </w:rPr>
              <w:t>序号</w:t>
            </w:r>
          </w:p>
        </w:tc>
        <w:tc>
          <w:tcPr>
            <w:tcW w:type="dxa" w:w="2041"/>
            <w:shd w:fill="1E3A8A"/>
            <w:vAlign w:val="center"/>
          </w:tcPr>
          <w:p>
            <w:pPr>
              <w:jc w:val="center"/>
            </w:pPr>
            <w:r/>
            <w:r>
              <w:rPr>
                <w:rFonts w:ascii="宋体" w:hAnsi="宋体" w:eastAsia="宋体"/>
                <w:b/>
                <w:color w:val="FFFFFF"/>
                <w:sz w:val="20"/>
              </w:rPr>
              <w:t>建设内容</w:t>
            </w:r>
          </w:p>
        </w:tc>
        <w:tc>
          <w:tcPr>
            <w:tcW w:type="dxa" w:w="2948"/>
            <w:shd w:fill="1E3A8A"/>
            <w:vAlign w:val="center"/>
          </w:tcPr>
          <w:p>
            <w:pPr>
              <w:jc w:val="center"/>
            </w:pPr>
            <w:r/>
            <w:r>
              <w:rPr>
                <w:rFonts w:ascii="宋体" w:hAnsi="宋体" w:eastAsia="宋体"/>
                <w:b/>
                <w:color w:val="FFFFFF"/>
                <w:sz w:val="20"/>
              </w:rPr>
              <w:t>建议配置</w:t>
            </w:r>
          </w:p>
        </w:tc>
        <w:tc>
          <w:tcPr>
            <w:tcW w:type="dxa" w:w="3515"/>
            <w:shd w:fill="1E3A8A"/>
            <w:vAlign w:val="center"/>
          </w:tcPr>
          <w:p>
            <w:pPr>
              <w:jc w:val="center"/>
            </w:pPr>
            <w:r/>
            <w:r>
              <w:rPr>
                <w:rFonts w:ascii="宋体" w:hAnsi="宋体" w:eastAsia="宋体"/>
                <w:b/>
                <w:color w:val="FFFFFF"/>
                <w:sz w:val="20"/>
              </w:rPr>
              <w:t>用途说明</w:t>
            </w:r>
          </w:p>
        </w:tc>
      </w:tr>
      <w:tr>
        <w:tc>
          <w:tcPr>
            <w:tcW w:type="dxa" w:w="737"/>
            <w:vAlign w:val="center"/>
            <w:shd w:fill="EFF6FF"/>
          </w:tcPr>
          <w:p>
            <w:pPr>
              <w:jc w:val="left"/>
            </w:pPr>
            <w:r/>
            <w:r>
              <w:rPr>
                <w:rFonts w:ascii="宋体" w:hAnsi="宋体" w:eastAsia="宋体"/>
                <w:b w:val="0"/>
                <w:color w:val="111827"/>
                <w:sz w:val="19"/>
              </w:rPr>
              <w:t>1</w:t>
            </w:r>
          </w:p>
        </w:tc>
        <w:tc>
          <w:tcPr>
            <w:tcW w:type="dxa" w:w="2041"/>
            <w:vAlign w:val="center"/>
          </w:tcPr>
          <w:p>
            <w:pPr>
              <w:jc w:val="left"/>
            </w:pPr>
            <w:r/>
            <w:r>
              <w:rPr>
                <w:rFonts w:ascii="宋体" w:hAnsi="宋体" w:eastAsia="宋体"/>
                <w:b w:val="0"/>
                <w:color w:val="111827"/>
                <w:sz w:val="19"/>
              </w:rPr>
              <w:t>鸿蒙物联网实验箱</w:t>
            </w:r>
          </w:p>
        </w:tc>
        <w:tc>
          <w:tcPr>
            <w:tcW w:type="dxa" w:w="2948"/>
            <w:vAlign w:val="center"/>
          </w:tcPr>
          <w:p>
            <w:pPr>
              <w:jc w:val="left"/>
            </w:pPr>
            <w:r/>
            <w:r>
              <w:rPr>
                <w:rFonts w:ascii="宋体" w:hAnsi="宋体" w:eastAsia="宋体"/>
                <w:b w:val="0"/>
                <w:color w:val="111827"/>
                <w:sz w:val="19"/>
              </w:rPr>
              <w:t>按25组学生工位配置，配套电源、线材和基础教学资源</w:t>
            </w:r>
          </w:p>
        </w:tc>
        <w:tc>
          <w:tcPr>
            <w:tcW w:type="dxa" w:w="3515"/>
            <w:vAlign w:val="center"/>
          </w:tcPr>
          <w:p>
            <w:pPr>
              <w:jc w:val="left"/>
            </w:pPr>
            <w:r/>
            <w:r>
              <w:rPr>
                <w:rFonts w:ascii="宋体" w:hAnsi="宋体" w:eastAsia="宋体"/>
                <w:b w:val="0"/>
                <w:color w:val="111827"/>
                <w:sz w:val="19"/>
              </w:rPr>
              <w:t>学生核心实训终端，支撑鸿蒙、STM32、ZigBee、网关、传感与执行实验。</w:t>
            </w:r>
          </w:p>
        </w:tc>
      </w:tr>
      <w:tr>
        <w:tc>
          <w:tcPr>
            <w:tcW w:type="dxa" w:w="737"/>
            <w:vAlign w:val="center"/>
            <w:shd w:fill="EFF6FF"/>
          </w:tcPr>
          <w:p>
            <w:pPr>
              <w:jc w:val="left"/>
            </w:pPr>
            <w:r/>
            <w:r>
              <w:rPr>
                <w:rFonts w:ascii="宋体" w:hAnsi="宋体" w:eastAsia="宋体"/>
                <w:b w:val="0"/>
                <w:color w:val="111827"/>
                <w:sz w:val="19"/>
              </w:rPr>
              <w:t>2</w:t>
            </w:r>
          </w:p>
        </w:tc>
        <w:tc>
          <w:tcPr>
            <w:tcW w:type="dxa" w:w="2041"/>
            <w:vAlign w:val="center"/>
          </w:tcPr>
          <w:p>
            <w:pPr>
              <w:jc w:val="left"/>
            </w:pPr>
            <w:r/>
            <w:r>
              <w:rPr>
                <w:rFonts w:ascii="宋体" w:hAnsi="宋体" w:eastAsia="宋体"/>
                <w:b w:val="0"/>
                <w:color w:val="111827"/>
                <w:sz w:val="19"/>
              </w:rPr>
              <w:t>主控/通信/传感/RFID/执行器开发包</w:t>
            </w:r>
          </w:p>
        </w:tc>
        <w:tc>
          <w:tcPr>
            <w:tcW w:type="dxa" w:w="2948"/>
            <w:vAlign w:val="center"/>
          </w:tcPr>
          <w:p>
            <w:pPr>
              <w:jc w:val="left"/>
            </w:pPr>
            <w:r/>
            <w:r>
              <w:rPr>
                <w:rFonts w:ascii="宋体" w:hAnsi="宋体" w:eastAsia="宋体"/>
                <w:b w:val="0"/>
                <w:color w:val="111827"/>
                <w:sz w:val="19"/>
              </w:rPr>
              <w:t>按课程需要配置到工位或共享轮换使用</w:t>
            </w:r>
          </w:p>
        </w:tc>
        <w:tc>
          <w:tcPr>
            <w:tcW w:type="dxa" w:w="3515"/>
            <w:vAlign w:val="center"/>
          </w:tcPr>
          <w:p>
            <w:pPr>
              <w:jc w:val="left"/>
            </w:pPr>
            <w:r/>
            <w:r>
              <w:rPr>
                <w:rFonts w:ascii="宋体" w:hAnsi="宋体" w:eastAsia="宋体"/>
                <w:b w:val="0"/>
                <w:color w:val="111827"/>
                <w:sz w:val="19"/>
              </w:rPr>
              <w:t>扩展实验边界，支撑多协议通信、资产识别、环境检测和执行联动。</w:t>
            </w:r>
          </w:p>
        </w:tc>
      </w:tr>
      <w:tr>
        <w:tc>
          <w:tcPr>
            <w:tcW w:type="dxa" w:w="737"/>
            <w:vAlign w:val="center"/>
            <w:shd w:fill="EFF6FF"/>
          </w:tcPr>
          <w:p>
            <w:pPr>
              <w:jc w:val="left"/>
            </w:pPr>
            <w:r/>
            <w:r>
              <w:rPr>
                <w:rFonts w:ascii="宋体" w:hAnsi="宋体" w:eastAsia="宋体"/>
                <w:b w:val="0"/>
                <w:color w:val="111827"/>
                <w:sz w:val="19"/>
              </w:rPr>
              <w:t>3</w:t>
            </w:r>
          </w:p>
        </w:tc>
        <w:tc>
          <w:tcPr>
            <w:tcW w:type="dxa" w:w="2041"/>
            <w:vAlign w:val="center"/>
          </w:tcPr>
          <w:p>
            <w:pPr>
              <w:jc w:val="left"/>
            </w:pPr>
            <w:r/>
            <w:r>
              <w:rPr>
                <w:rFonts w:ascii="宋体" w:hAnsi="宋体" w:eastAsia="宋体"/>
                <w:b w:val="0"/>
                <w:color w:val="111827"/>
                <w:sz w:val="19"/>
              </w:rPr>
              <w:t>AIoT教学云平台</w:t>
            </w:r>
          </w:p>
        </w:tc>
        <w:tc>
          <w:tcPr>
            <w:tcW w:type="dxa" w:w="2948"/>
            <w:vAlign w:val="center"/>
          </w:tcPr>
          <w:p>
            <w:pPr>
              <w:jc w:val="left"/>
            </w:pPr>
            <w:r/>
            <w:r>
              <w:rPr>
                <w:rFonts w:ascii="宋体" w:hAnsi="宋体" w:eastAsia="宋体"/>
                <w:b w:val="0"/>
                <w:color w:val="111827"/>
                <w:sz w:val="19"/>
              </w:rPr>
              <w:t>1套，支持管理员、教师、学生角色</w:t>
            </w:r>
          </w:p>
        </w:tc>
        <w:tc>
          <w:tcPr>
            <w:tcW w:type="dxa" w:w="3515"/>
            <w:vAlign w:val="center"/>
          </w:tcPr>
          <w:p>
            <w:pPr>
              <w:jc w:val="left"/>
            </w:pPr>
            <w:r/>
            <w:r>
              <w:rPr>
                <w:rFonts w:ascii="宋体" w:hAnsi="宋体" w:eastAsia="宋体"/>
                <w:b w:val="0"/>
                <w:color w:val="111827"/>
                <w:sz w:val="19"/>
              </w:rPr>
              <w:t>承担设备接入、任务发布、数据可视化、规则联动、在线仿真和评价。</w:t>
            </w:r>
          </w:p>
        </w:tc>
      </w:tr>
      <w:tr>
        <w:tc>
          <w:tcPr>
            <w:tcW w:type="dxa" w:w="737"/>
            <w:vAlign w:val="center"/>
            <w:shd w:fill="EFF6FF"/>
          </w:tcPr>
          <w:p>
            <w:pPr>
              <w:jc w:val="left"/>
            </w:pPr>
            <w:r/>
            <w:r>
              <w:rPr>
                <w:rFonts w:ascii="宋体" w:hAnsi="宋体" w:eastAsia="宋体"/>
                <w:b w:val="0"/>
                <w:color w:val="111827"/>
                <w:sz w:val="19"/>
              </w:rPr>
              <w:t>4</w:t>
            </w:r>
          </w:p>
        </w:tc>
        <w:tc>
          <w:tcPr>
            <w:tcW w:type="dxa" w:w="2041"/>
            <w:vAlign w:val="center"/>
          </w:tcPr>
          <w:p>
            <w:pPr>
              <w:jc w:val="left"/>
            </w:pPr>
            <w:r/>
            <w:r>
              <w:rPr>
                <w:rFonts w:ascii="宋体" w:hAnsi="宋体" w:eastAsia="宋体"/>
                <w:b w:val="0"/>
                <w:color w:val="111827"/>
                <w:sz w:val="19"/>
              </w:rPr>
              <w:t>课程教学包</w:t>
            </w:r>
          </w:p>
        </w:tc>
        <w:tc>
          <w:tcPr>
            <w:tcW w:type="dxa" w:w="2948"/>
            <w:vAlign w:val="center"/>
          </w:tcPr>
          <w:p>
            <w:pPr>
              <w:jc w:val="left"/>
            </w:pPr>
            <w:r/>
            <w:r>
              <w:rPr>
                <w:rFonts w:ascii="宋体" w:hAnsi="宋体" w:eastAsia="宋体"/>
                <w:b w:val="0"/>
                <w:color w:val="111827"/>
                <w:sz w:val="19"/>
              </w:rPr>
              <w:t>基础实验、综合项目、行业项目、源码、指导书、报告模板</w:t>
            </w:r>
          </w:p>
        </w:tc>
        <w:tc>
          <w:tcPr>
            <w:tcW w:type="dxa" w:w="3515"/>
            <w:vAlign w:val="center"/>
          </w:tcPr>
          <w:p>
            <w:pPr>
              <w:jc w:val="left"/>
            </w:pPr>
            <w:r/>
            <w:r>
              <w:rPr>
                <w:rFonts w:ascii="宋体" w:hAnsi="宋体" w:eastAsia="宋体"/>
                <w:b w:val="0"/>
                <w:color w:val="111827"/>
                <w:sz w:val="19"/>
              </w:rPr>
              <w:t>支撑课堂教学、课后练习、项目答辩和持续资源建设。</w:t>
            </w:r>
          </w:p>
        </w:tc>
      </w:tr>
      <w:tr>
        <w:tc>
          <w:tcPr>
            <w:tcW w:type="dxa" w:w="737"/>
            <w:vAlign w:val="center"/>
            <w:shd w:fill="EFF6FF"/>
          </w:tcPr>
          <w:p>
            <w:pPr>
              <w:jc w:val="left"/>
            </w:pPr>
            <w:r/>
            <w:r>
              <w:rPr>
                <w:rFonts w:ascii="宋体" w:hAnsi="宋体" w:eastAsia="宋体"/>
                <w:b w:val="0"/>
                <w:color w:val="111827"/>
                <w:sz w:val="19"/>
              </w:rPr>
              <w:t>5</w:t>
            </w:r>
          </w:p>
        </w:tc>
        <w:tc>
          <w:tcPr>
            <w:tcW w:type="dxa" w:w="2041"/>
            <w:vAlign w:val="center"/>
          </w:tcPr>
          <w:p>
            <w:pPr>
              <w:jc w:val="left"/>
            </w:pPr>
            <w:r/>
            <w:r>
              <w:rPr>
                <w:rFonts w:ascii="宋体" w:hAnsi="宋体" w:eastAsia="宋体"/>
                <w:b w:val="0"/>
                <w:color w:val="111827"/>
                <w:sz w:val="19"/>
              </w:rPr>
              <w:t>行业场景系统</w:t>
            </w:r>
          </w:p>
        </w:tc>
        <w:tc>
          <w:tcPr>
            <w:tcW w:type="dxa" w:w="2948"/>
            <w:vAlign w:val="center"/>
          </w:tcPr>
          <w:p>
            <w:pPr>
              <w:jc w:val="left"/>
            </w:pPr>
            <w:r/>
            <w:r>
              <w:rPr>
                <w:rFonts w:ascii="宋体" w:hAnsi="宋体" w:eastAsia="宋体"/>
                <w:b w:val="0"/>
                <w:color w:val="111827"/>
                <w:sz w:val="19"/>
              </w:rPr>
              <w:t>智慧农业、智慧养殖、微生物发酵环境监测等按预算深化</w:t>
            </w:r>
          </w:p>
        </w:tc>
        <w:tc>
          <w:tcPr>
            <w:tcW w:type="dxa" w:w="3515"/>
            <w:vAlign w:val="center"/>
          </w:tcPr>
          <w:p>
            <w:pPr>
              <w:jc w:val="left"/>
            </w:pPr>
            <w:r/>
            <w:r>
              <w:rPr>
                <w:rFonts w:ascii="宋体" w:hAnsi="宋体" w:eastAsia="宋体"/>
                <w:b w:val="0"/>
                <w:color w:val="111827"/>
                <w:sz w:val="19"/>
              </w:rPr>
              <w:t>增强跨专业应用能力和项目化教学吸引力。</w:t>
            </w:r>
          </w:p>
        </w:tc>
      </w:tr>
      <w:tr>
        <w:tc>
          <w:tcPr>
            <w:tcW w:type="dxa" w:w="737"/>
            <w:vAlign w:val="center"/>
            <w:shd w:fill="EFF6FF"/>
          </w:tcPr>
          <w:p>
            <w:pPr>
              <w:jc w:val="left"/>
            </w:pPr>
            <w:r/>
            <w:r>
              <w:rPr>
                <w:rFonts w:ascii="宋体" w:hAnsi="宋体" w:eastAsia="宋体"/>
                <w:b w:val="0"/>
                <w:color w:val="111827"/>
                <w:sz w:val="19"/>
              </w:rPr>
              <w:t>6</w:t>
            </w:r>
          </w:p>
        </w:tc>
        <w:tc>
          <w:tcPr>
            <w:tcW w:type="dxa" w:w="2041"/>
            <w:vAlign w:val="center"/>
          </w:tcPr>
          <w:p>
            <w:pPr>
              <w:jc w:val="left"/>
            </w:pPr>
            <w:r/>
            <w:r>
              <w:rPr>
                <w:rFonts w:ascii="宋体" w:hAnsi="宋体" w:eastAsia="宋体"/>
                <w:b w:val="0"/>
                <w:color w:val="111827"/>
                <w:sz w:val="19"/>
              </w:rPr>
              <w:t>网络与基础设施</w:t>
            </w:r>
          </w:p>
        </w:tc>
        <w:tc>
          <w:tcPr>
            <w:tcW w:type="dxa" w:w="2948"/>
            <w:vAlign w:val="center"/>
          </w:tcPr>
          <w:p>
            <w:pPr>
              <w:jc w:val="left"/>
            </w:pPr>
            <w:r/>
            <w:r>
              <w:rPr>
                <w:rFonts w:ascii="宋体" w:hAnsi="宋体" w:eastAsia="宋体"/>
                <w:b w:val="0"/>
                <w:color w:val="111827"/>
                <w:sz w:val="19"/>
              </w:rPr>
              <w:t>交换机、路由器、服务器/边缘计算、收纳柜、教师演示设备</w:t>
            </w:r>
          </w:p>
        </w:tc>
        <w:tc>
          <w:tcPr>
            <w:tcW w:type="dxa" w:w="3515"/>
            <w:vAlign w:val="center"/>
          </w:tcPr>
          <w:p>
            <w:pPr>
              <w:jc w:val="left"/>
            </w:pPr>
            <w:r/>
            <w:r>
              <w:rPr>
                <w:rFonts w:ascii="宋体" w:hAnsi="宋体" w:eastAsia="宋体"/>
                <w:b w:val="0"/>
                <w:color w:val="111827"/>
                <w:sz w:val="19"/>
              </w:rPr>
              <w:t>保障平台稳定运行、设备接入和课堂展示。</w:t>
            </w:r>
          </w:p>
        </w:tc>
      </w:tr>
      <w:tr>
        <w:tc>
          <w:tcPr>
            <w:tcW w:type="dxa" w:w="737"/>
            <w:vAlign w:val="center"/>
            <w:shd w:fill="EFF6FF"/>
          </w:tcPr>
          <w:p>
            <w:pPr>
              <w:jc w:val="left"/>
            </w:pPr>
            <w:r/>
            <w:r>
              <w:rPr>
                <w:rFonts w:ascii="宋体" w:hAnsi="宋体" w:eastAsia="宋体"/>
                <w:b w:val="0"/>
                <w:color w:val="111827"/>
                <w:sz w:val="19"/>
              </w:rPr>
              <w:t>7</w:t>
            </w:r>
          </w:p>
        </w:tc>
        <w:tc>
          <w:tcPr>
            <w:tcW w:type="dxa" w:w="2041"/>
            <w:vAlign w:val="center"/>
          </w:tcPr>
          <w:p>
            <w:pPr>
              <w:jc w:val="left"/>
            </w:pPr>
            <w:r/>
            <w:r>
              <w:rPr>
                <w:rFonts w:ascii="宋体" w:hAnsi="宋体" w:eastAsia="宋体"/>
                <w:b w:val="0"/>
                <w:color w:val="111827"/>
                <w:sz w:val="19"/>
              </w:rPr>
              <w:t>文化建设与装修改造</w:t>
            </w:r>
          </w:p>
        </w:tc>
        <w:tc>
          <w:tcPr>
            <w:tcW w:type="dxa" w:w="2948"/>
            <w:vAlign w:val="center"/>
          </w:tcPr>
          <w:p>
            <w:pPr>
              <w:jc w:val="left"/>
            </w:pPr>
            <w:r/>
            <w:r>
              <w:rPr>
                <w:rFonts w:ascii="宋体" w:hAnsi="宋体" w:eastAsia="宋体"/>
                <w:b w:val="0"/>
                <w:color w:val="111827"/>
                <w:sz w:val="19"/>
              </w:rPr>
              <w:t>专业展示、制度上墙、成果展示、布线整理、安全标识</w:t>
            </w:r>
          </w:p>
        </w:tc>
        <w:tc>
          <w:tcPr>
            <w:tcW w:type="dxa" w:w="3515"/>
            <w:vAlign w:val="center"/>
          </w:tcPr>
          <w:p>
            <w:pPr>
              <w:jc w:val="left"/>
            </w:pPr>
            <w:r/>
            <w:r>
              <w:rPr>
                <w:rFonts w:ascii="宋体" w:hAnsi="宋体" w:eastAsia="宋体"/>
                <w:b w:val="0"/>
                <w:color w:val="111827"/>
                <w:sz w:val="19"/>
              </w:rPr>
              <w:t>营造物联网专业氛围并保障实训安全。</w:t>
            </w:r>
          </w:p>
        </w:tc>
      </w:tr>
    </w:tbl>
    <w:p/>
    <w:p>
      <w:pPr>
        <w:pStyle w:val="Heading2"/>
        <w:spacing w:before="160" w:after="160"/>
      </w:pPr>
      <w:r>
        <w:rPr>
          <w:rFonts w:ascii="微软雅黑" w:hAnsi="微软雅黑" w:eastAsia="微软雅黑"/>
          <w:color w:val="0F172A"/>
          <w:sz w:val="28"/>
        </w:rPr>
        <w:t>6.2 预算控制建议</w:t>
      </w:r>
    </w:p>
    <w:p>
      <w:pPr>
        <w:spacing w:line="324" w:lineRule="auto" w:after="120"/>
        <w:ind w:firstLine="440"/>
      </w:pPr>
      <w:r>
        <w:rPr>
          <w:rFonts w:ascii="宋体" w:hAnsi="宋体" w:eastAsia="宋体"/>
          <w:b w:val="0"/>
          <w:sz w:val="22"/>
        </w:rPr>
        <w:t>以下预算为围绕86万元总额的方案测算口径，便于论证阶段把握建设重心。正式采购可根据学校最终清单、品牌型号、服务范围和现场深化结果调整。</w:t>
      </w:r>
    </w:p>
    <w:p>
      <w:pPr>
        <w:spacing w:after="160"/>
        <w:jc w:val="center"/>
      </w:pPr>
      <w:r>
        <w:rPr>
          <w:rFonts w:ascii="宋体" w:hAnsi="宋体" w:eastAsia="宋体"/>
          <w:b w:val="0"/>
          <w:color w:val="475569"/>
          <w:sz w:val="19"/>
        </w:rPr>
        <w:t>表 6-2 预算分配建议表</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fill="1E3A8A"/>
            <w:vAlign w:val="center"/>
          </w:tcPr>
          <w:p>
            <w:pPr>
              <w:jc w:val="center"/>
            </w:pPr>
            <w:r/>
            <w:r>
              <w:rPr>
                <w:rFonts w:ascii="宋体" w:hAnsi="宋体" w:eastAsia="宋体"/>
                <w:b/>
                <w:color w:val="FFFFFF"/>
                <w:sz w:val="20"/>
              </w:rPr>
              <w:t>类别</w:t>
            </w:r>
          </w:p>
        </w:tc>
        <w:tc>
          <w:tcPr>
            <w:tcW w:type="dxa" w:w="3118"/>
            <w:shd w:fill="1E3A8A"/>
            <w:vAlign w:val="center"/>
          </w:tcPr>
          <w:p>
            <w:pPr>
              <w:jc w:val="center"/>
            </w:pPr>
            <w:r/>
            <w:r>
              <w:rPr>
                <w:rFonts w:ascii="宋体" w:hAnsi="宋体" w:eastAsia="宋体"/>
                <w:b/>
                <w:color w:val="FFFFFF"/>
                <w:sz w:val="20"/>
              </w:rPr>
              <w:t>建设内容</w:t>
            </w:r>
          </w:p>
        </w:tc>
        <w:tc>
          <w:tcPr>
            <w:tcW w:type="dxa" w:w="1361"/>
            <w:shd w:fill="1E3A8A"/>
            <w:vAlign w:val="center"/>
          </w:tcPr>
          <w:p>
            <w:pPr>
              <w:jc w:val="center"/>
            </w:pPr>
            <w:r/>
            <w:r>
              <w:rPr>
                <w:rFonts w:ascii="宋体" w:hAnsi="宋体" w:eastAsia="宋体"/>
                <w:b/>
                <w:color w:val="FFFFFF"/>
                <w:sz w:val="20"/>
              </w:rPr>
              <w:t>预算建议（万元）</w:t>
            </w:r>
          </w:p>
        </w:tc>
        <w:tc>
          <w:tcPr>
            <w:tcW w:type="dxa" w:w="2948"/>
            <w:shd w:fill="1E3A8A"/>
            <w:vAlign w:val="center"/>
          </w:tcPr>
          <w:p>
            <w:pPr>
              <w:jc w:val="center"/>
            </w:pPr>
            <w:r/>
            <w:r>
              <w:rPr>
                <w:rFonts w:ascii="宋体" w:hAnsi="宋体" w:eastAsia="宋体"/>
                <w:b/>
                <w:color w:val="FFFFFF"/>
                <w:sz w:val="20"/>
              </w:rPr>
              <w:t>说明</w:t>
            </w:r>
          </w:p>
        </w:tc>
      </w:tr>
      <w:tr>
        <w:tc>
          <w:tcPr>
            <w:tcW w:type="dxa" w:w="1701"/>
            <w:vAlign w:val="center"/>
            <w:shd w:fill="EFF6FF"/>
          </w:tcPr>
          <w:p>
            <w:pPr>
              <w:jc w:val="left"/>
            </w:pPr>
            <w:r/>
            <w:r>
              <w:rPr>
                <w:rFonts w:ascii="宋体" w:hAnsi="宋体" w:eastAsia="宋体"/>
                <w:b w:val="0"/>
                <w:color w:val="111827"/>
                <w:sz w:val="19"/>
              </w:rPr>
              <w:t>学生端实训设备</w:t>
            </w:r>
          </w:p>
        </w:tc>
        <w:tc>
          <w:tcPr>
            <w:tcW w:type="dxa" w:w="3118"/>
            <w:vAlign w:val="center"/>
          </w:tcPr>
          <w:p>
            <w:pPr>
              <w:jc w:val="left"/>
            </w:pPr>
            <w:r/>
            <w:r>
              <w:rPr>
                <w:rFonts w:ascii="宋体" w:hAnsi="宋体" w:eastAsia="宋体"/>
                <w:b w:val="0"/>
                <w:color w:val="111827"/>
                <w:sz w:val="19"/>
              </w:rPr>
              <w:t>25组鸿蒙物联网实验箱及基础配套</w:t>
            </w:r>
          </w:p>
        </w:tc>
        <w:tc>
          <w:tcPr>
            <w:tcW w:type="dxa" w:w="1361"/>
            <w:vAlign w:val="center"/>
          </w:tcPr>
          <w:p>
            <w:pPr>
              <w:jc w:val="left"/>
            </w:pPr>
            <w:r/>
            <w:r>
              <w:rPr>
                <w:rFonts w:ascii="宋体" w:hAnsi="宋体" w:eastAsia="宋体"/>
                <w:b w:val="0"/>
                <w:color w:val="111827"/>
                <w:sz w:val="19"/>
              </w:rPr>
              <w:t>43</w:t>
            </w:r>
          </w:p>
        </w:tc>
        <w:tc>
          <w:tcPr>
            <w:tcW w:type="dxa" w:w="2948"/>
            <w:vAlign w:val="center"/>
          </w:tcPr>
          <w:p>
            <w:pPr>
              <w:jc w:val="left"/>
            </w:pPr>
            <w:r/>
            <w:r>
              <w:rPr>
                <w:rFonts w:ascii="宋体" w:hAnsi="宋体" w:eastAsia="宋体"/>
                <w:b w:val="0"/>
                <w:color w:val="111827"/>
                <w:sz w:val="19"/>
              </w:rPr>
              <w:t>优先保障50人同步实训的核心条件。</w:t>
            </w:r>
          </w:p>
        </w:tc>
      </w:tr>
      <w:tr>
        <w:tc>
          <w:tcPr>
            <w:tcW w:type="dxa" w:w="1701"/>
            <w:vAlign w:val="center"/>
            <w:shd w:fill="EFF6FF"/>
          </w:tcPr>
          <w:p>
            <w:pPr>
              <w:jc w:val="left"/>
            </w:pPr>
            <w:r/>
            <w:r>
              <w:rPr>
                <w:rFonts w:ascii="宋体" w:hAnsi="宋体" w:eastAsia="宋体"/>
                <w:b w:val="0"/>
                <w:color w:val="111827"/>
                <w:sz w:val="19"/>
              </w:rPr>
              <w:t>扩展开发包</w:t>
            </w:r>
          </w:p>
        </w:tc>
        <w:tc>
          <w:tcPr>
            <w:tcW w:type="dxa" w:w="3118"/>
            <w:vAlign w:val="center"/>
          </w:tcPr>
          <w:p>
            <w:pPr>
              <w:jc w:val="left"/>
            </w:pPr>
            <w:r/>
            <w:r>
              <w:rPr>
                <w:rFonts w:ascii="宋体" w:hAnsi="宋体" w:eastAsia="宋体"/>
                <w:b w:val="0"/>
                <w:color w:val="111827"/>
                <w:sz w:val="19"/>
              </w:rPr>
              <w:t>主控、通信、传感、RFID、执行器扩展模块</w:t>
            </w:r>
          </w:p>
        </w:tc>
        <w:tc>
          <w:tcPr>
            <w:tcW w:type="dxa" w:w="1361"/>
            <w:vAlign w:val="center"/>
          </w:tcPr>
          <w:p>
            <w:pPr>
              <w:jc w:val="left"/>
            </w:pPr>
            <w:r/>
            <w:r>
              <w:rPr>
                <w:rFonts w:ascii="宋体" w:hAnsi="宋体" w:eastAsia="宋体"/>
                <w:b w:val="0"/>
                <w:color w:val="111827"/>
                <w:sz w:val="19"/>
              </w:rPr>
              <w:t>15</w:t>
            </w:r>
          </w:p>
        </w:tc>
        <w:tc>
          <w:tcPr>
            <w:tcW w:type="dxa" w:w="2948"/>
            <w:vAlign w:val="center"/>
          </w:tcPr>
          <w:p>
            <w:pPr>
              <w:jc w:val="left"/>
            </w:pPr>
            <w:r/>
            <w:r>
              <w:rPr>
                <w:rFonts w:ascii="宋体" w:hAnsi="宋体" w:eastAsia="宋体"/>
                <w:b w:val="0"/>
                <w:color w:val="111827"/>
                <w:sz w:val="19"/>
              </w:rPr>
              <w:t>可按课程模块共享轮换，提高预算利用率。</w:t>
            </w:r>
          </w:p>
        </w:tc>
      </w:tr>
      <w:tr>
        <w:tc>
          <w:tcPr>
            <w:tcW w:type="dxa" w:w="1701"/>
            <w:vAlign w:val="center"/>
            <w:shd w:fill="EFF6FF"/>
          </w:tcPr>
          <w:p>
            <w:pPr>
              <w:jc w:val="left"/>
            </w:pPr>
            <w:r/>
            <w:r>
              <w:rPr>
                <w:rFonts w:ascii="宋体" w:hAnsi="宋体" w:eastAsia="宋体"/>
                <w:b w:val="0"/>
                <w:color w:val="111827"/>
                <w:sz w:val="19"/>
              </w:rPr>
              <w:t>平台与仿真</w:t>
            </w:r>
          </w:p>
        </w:tc>
        <w:tc>
          <w:tcPr>
            <w:tcW w:type="dxa" w:w="3118"/>
            <w:vAlign w:val="center"/>
          </w:tcPr>
          <w:p>
            <w:pPr>
              <w:jc w:val="left"/>
            </w:pPr>
            <w:r/>
            <w:r>
              <w:rPr>
                <w:rFonts w:ascii="宋体" w:hAnsi="宋体" w:eastAsia="宋体"/>
                <w:b w:val="0"/>
                <w:color w:val="111827"/>
                <w:sz w:val="19"/>
              </w:rPr>
              <w:t>AIoT教学云平台、设备接入、在线仿真、数据可视化</w:t>
            </w:r>
          </w:p>
        </w:tc>
        <w:tc>
          <w:tcPr>
            <w:tcW w:type="dxa" w:w="1361"/>
            <w:vAlign w:val="center"/>
          </w:tcPr>
          <w:p>
            <w:pPr>
              <w:jc w:val="left"/>
            </w:pPr>
            <w:r/>
            <w:r>
              <w:rPr>
                <w:rFonts w:ascii="宋体" w:hAnsi="宋体" w:eastAsia="宋体"/>
                <w:b w:val="0"/>
                <w:color w:val="111827"/>
                <w:sz w:val="19"/>
              </w:rPr>
              <w:t>9</w:t>
            </w:r>
          </w:p>
        </w:tc>
        <w:tc>
          <w:tcPr>
            <w:tcW w:type="dxa" w:w="2948"/>
            <w:vAlign w:val="center"/>
          </w:tcPr>
          <w:p>
            <w:pPr>
              <w:jc w:val="left"/>
            </w:pPr>
            <w:r/>
            <w:r>
              <w:rPr>
                <w:rFonts w:ascii="宋体" w:hAnsi="宋体" w:eastAsia="宋体"/>
                <w:b w:val="0"/>
                <w:color w:val="111827"/>
                <w:sz w:val="19"/>
              </w:rPr>
              <w:t>支撑教学管理、过程评价和数据沉淀。</w:t>
            </w:r>
          </w:p>
        </w:tc>
      </w:tr>
      <w:tr>
        <w:tc>
          <w:tcPr>
            <w:tcW w:type="dxa" w:w="1701"/>
            <w:vAlign w:val="center"/>
            <w:shd w:fill="EFF6FF"/>
          </w:tcPr>
          <w:p>
            <w:pPr>
              <w:jc w:val="left"/>
            </w:pPr>
            <w:r/>
            <w:r>
              <w:rPr>
                <w:rFonts w:ascii="宋体" w:hAnsi="宋体" w:eastAsia="宋体"/>
                <w:b w:val="0"/>
                <w:color w:val="111827"/>
                <w:sz w:val="19"/>
              </w:rPr>
              <w:t>行业场景系统</w:t>
            </w:r>
          </w:p>
        </w:tc>
        <w:tc>
          <w:tcPr>
            <w:tcW w:type="dxa" w:w="3118"/>
            <w:vAlign w:val="center"/>
          </w:tcPr>
          <w:p>
            <w:pPr>
              <w:jc w:val="left"/>
            </w:pPr>
            <w:r/>
            <w:r>
              <w:rPr>
                <w:rFonts w:ascii="宋体" w:hAnsi="宋体" w:eastAsia="宋体"/>
                <w:b w:val="0"/>
                <w:color w:val="111827"/>
                <w:sz w:val="19"/>
              </w:rPr>
              <w:t>智慧农业、智慧养殖、微生物发酵监测等场景</w:t>
            </w:r>
          </w:p>
        </w:tc>
        <w:tc>
          <w:tcPr>
            <w:tcW w:type="dxa" w:w="1361"/>
            <w:vAlign w:val="center"/>
          </w:tcPr>
          <w:p>
            <w:pPr>
              <w:jc w:val="left"/>
            </w:pPr>
            <w:r/>
            <w:r>
              <w:rPr>
                <w:rFonts w:ascii="宋体" w:hAnsi="宋体" w:eastAsia="宋体"/>
                <w:b w:val="0"/>
                <w:color w:val="111827"/>
                <w:sz w:val="19"/>
              </w:rPr>
              <w:t>6</w:t>
            </w:r>
          </w:p>
        </w:tc>
        <w:tc>
          <w:tcPr>
            <w:tcW w:type="dxa" w:w="2948"/>
            <w:vAlign w:val="center"/>
          </w:tcPr>
          <w:p>
            <w:pPr>
              <w:jc w:val="left"/>
            </w:pPr>
            <w:r/>
            <w:r>
              <w:rPr>
                <w:rFonts w:ascii="宋体" w:hAnsi="宋体" w:eastAsia="宋体"/>
                <w:b w:val="0"/>
                <w:color w:val="111827"/>
                <w:sz w:val="19"/>
              </w:rPr>
              <w:t>突出学院专业群特色，形成项目化教学样板。</w:t>
            </w:r>
          </w:p>
        </w:tc>
      </w:tr>
      <w:tr>
        <w:tc>
          <w:tcPr>
            <w:tcW w:type="dxa" w:w="1701"/>
            <w:vAlign w:val="center"/>
            <w:shd w:fill="EFF6FF"/>
          </w:tcPr>
          <w:p>
            <w:pPr>
              <w:jc w:val="left"/>
            </w:pPr>
            <w:r/>
            <w:r>
              <w:rPr>
                <w:rFonts w:ascii="宋体" w:hAnsi="宋体" w:eastAsia="宋体"/>
                <w:b w:val="0"/>
                <w:color w:val="111827"/>
                <w:sz w:val="19"/>
              </w:rPr>
              <w:t>网络与基础设施</w:t>
            </w:r>
          </w:p>
        </w:tc>
        <w:tc>
          <w:tcPr>
            <w:tcW w:type="dxa" w:w="3118"/>
            <w:vAlign w:val="center"/>
          </w:tcPr>
          <w:p>
            <w:pPr>
              <w:jc w:val="left"/>
            </w:pPr>
            <w:r/>
            <w:r>
              <w:rPr>
                <w:rFonts w:ascii="宋体" w:hAnsi="宋体" w:eastAsia="宋体"/>
                <w:b w:val="0"/>
                <w:color w:val="111827"/>
                <w:sz w:val="19"/>
              </w:rPr>
              <w:t>服务器/边缘设备、交换机、路由、收纳、教师演示配套</w:t>
            </w:r>
          </w:p>
        </w:tc>
        <w:tc>
          <w:tcPr>
            <w:tcW w:type="dxa" w:w="1361"/>
            <w:vAlign w:val="center"/>
          </w:tcPr>
          <w:p>
            <w:pPr>
              <w:jc w:val="left"/>
            </w:pPr>
            <w:r/>
            <w:r>
              <w:rPr>
                <w:rFonts w:ascii="宋体" w:hAnsi="宋体" w:eastAsia="宋体"/>
                <w:b w:val="0"/>
                <w:color w:val="111827"/>
                <w:sz w:val="19"/>
              </w:rPr>
              <w:t>5</w:t>
            </w:r>
          </w:p>
        </w:tc>
        <w:tc>
          <w:tcPr>
            <w:tcW w:type="dxa" w:w="2948"/>
            <w:vAlign w:val="center"/>
          </w:tcPr>
          <w:p>
            <w:pPr>
              <w:jc w:val="left"/>
            </w:pPr>
            <w:r/>
            <w:r>
              <w:rPr>
                <w:rFonts w:ascii="宋体" w:hAnsi="宋体" w:eastAsia="宋体"/>
                <w:b w:val="0"/>
                <w:color w:val="111827"/>
                <w:sz w:val="19"/>
              </w:rPr>
              <w:t>保障设备稳定接入和课堂展示。</w:t>
            </w:r>
          </w:p>
        </w:tc>
      </w:tr>
      <w:tr>
        <w:tc>
          <w:tcPr>
            <w:tcW w:type="dxa" w:w="1701"/>
            <w:vAlign w:val="center"/>
            <w:shd w:fill="EFF6FF"/>
          </w:tcPr>
          <w:p>
            <w:pPr>
              <w:jc w:val="left"/>
            </w:pPr>
            <w:r/>
            <w:r>
              <w:rPr>
                <w:rFonts w:ascii="宋体" w:hAnsi="宋体" w:eastAsia="宋体"/>
                <w:b w:val="0"/>
                <w:color w:val="111827"/>
                <w:sz w:val="19"/>
              </w:rPr>
              <w:t>课程资源与培训</w:t>
            </w:r>
          </w:p>
        </w:tc>
        <w:tc>
          <w:tcPr>
            <w:tcW w:type="dxa" w:w="3118"/>
            <w:vAlign w:val="center"/>
          </w:tcPr>
          <w:p>
            <w:pPr>
              <w:jc w:val="left"/>
            </w:pPr>
            <w:r/>
            <w:r>
              <w:rPr>
                <w:rFonts w:ascii="宋体" w:hAnsi="宋体" w:eastAsia="宋体"/>
                <w:b w:val="0"/>
                <w:color w:val="111827"/>
                <w:sz w:val="19"/>
              </w:rPr>
              <w:t>实验指导书、源码、模板、教师培训、耗材备件</w:t>
            </w:r>
          </w:p>
        </w:tc>
        <w:tc>
          <w:tcPr>
            <w:tcW w:type="dxa" w:w="1361"/>
            <w:vAlign w:val="center"/>
          </w:tcPr>
          <w:p>
            <w:pPr>
              <w:jc w:val="left"/>
            </w:pPr>
            <w:r/>
            <w:r>
              <w:rPr>
                <w:rFonts w:ascii="宋体" w:hAnsi="宋体" w:eastAsia="宋体"/>
                <w:b w:val="0"/>
                <w:color w:val="111827"/>
                <w:sz w:val="19"/>
              </w:rPr>
              <w:t>4</w:t>
            </w:r>
          </w:p>
        </w:tc>
        <w:tc>
          <w:tcPr>
            <w:tcW w:type="dxa" w:w="2948"/>
            <w:vAlign w:val="center"/>
          </w:tcPr>
          <w:p>
            <w:pPr>
              <w:jc w:val="left"/>
            </w:pPr>
            <w:r/>
            <w:r>
              <w:rPr>
                <w:rFonts w:ascii="宋体" w:hAnsi="宋体" w:eastAsia="宋体"/>
                <w:b w:val="0"/>
                <w:color w:val="111827"/>
                <w:sz w:val="19"/>
              </w:rPr>
              <w:t>保障建成后可教学、可运维、可迭代。</w:t>
            </w:r>
          </w:p>
        </w:tc>
      </w:tr>
      <w:tr>
        <w:tc>
          <w:tcPr>
            <w:tcW w:type="dxa" w:w="1701"/>
            <w:vAlign w:val="center"/>
            <w:shd w:fill="EFF6FF"/>
          </w:tcPr>
          <w:p>
            <w:pPr>
              <w:jc w:val="left"/>
            </w:pPr>
            <w:r/>
            <w:r>
              <w:rPr>
                <w:rFonts w:ascii="宋体" w:hAnsi="宋体" w:eastAsia="宋体"/>
                <w:b w:val="0"/>
                <w:color w:val="111827"/>
                <w:sz w:val="19"/>
              </w:rPr>
              <w:t>文化建设与装修改造</w:t>
            </w:r>
          </w:p>
        </w:tc>
        <w:tc>
          <w:tcPr>
            <w:tcW w:type="dxa" w:w="3118"/>
            <w:vAlign w:val="center"/>
          </w:tcPr>
          <w:p>
            <w:pPr>
              <w:jc w:val="left"/>
            </w:pPr>
            <w:r/>
            <w:r>
              <w:rPr>
                <w:rFonts w:ascii="宋体" w:hAnsi="宋体" w:eastAsia="宋体"/>
                <w:b w:val="0"/>
                <w:color w:val="111827"/>
                <w:sz w:val="19"/>
              </w:rPr>
              <w:t>文化墙、安全标识、布线整理、局部环境优化</w:t>
            </w:r>
          </w:p>
        </w:tc>
        <w:tc>
          <w:tcPr>
            <w:tcW w:type="dxa" w:w="1361"/>
            <w:vAlign w:val="center"/>
          </w:tcPr>
          <w:p>
            <w:pPr>
              <w:jc w:val="left"/>
            </w:pPr>
            <w:r/>
            <w:r>
              <w:rPr>
                <w:rFonts w:ascii="宋体" w:hAnsi="宋体" w:eastAsia="宋体"/>
                <w:b w:val="0"/>
                <w:color w:val="111827"/>
                <w:sz w:val="19"/>
              </w:rPr>
              <w:t>4</w:t>
            </w:r>
          </w:p>
        </w:tc>
        <w:tc>
          <w:tcPr>
            <w:tcW w:type="dxa" w:w="2948"/>
            <w:vAlign w:val="center"/>
          </w:tcPr>
          <w:p>
            <w:pPr>
              <w:jc w:val="left"/>
            </w:pPr>
            <w:r/>
            <w:r>
              <w:rPr>
                <w:rFonts w:ascii="宋体" w:hAnsi="宋体" w:eastAsia="宋体"/>
                <w:b w:val="0"/>
                <w:color w:val="111827"/>
                <w:sz w:val="19"/>
              </w:rPr>
              <w:t>满足公告中实训室文化建设及部分装修改造要求。</w:t>
            </w:r>
          </w:p>
        </w:tc>
      </w:tr>
      <w:tr>
        <w:tc>
          <w:tcPr>
            <w:tcW w:type="dxa" w:w="1701"/>
            <w:vAlign w:val="center"/>
            <w:shd w:fill="EFF6FF"/>
          </w:tcPr>
          <w:p>
            <w:pPr>
              <w:jc w:val="left"/>
            </w:pPr>
            <w:r/>
            <w:r>
              <w:rPr>
                <w:rFonts w:ascii="宋体" w:hAnsi="宋体" w:eastAsia="宋体"/>
                <w:b w:val="0"/>
                <w:color w:val="111827"/>
                <w:sz w:val="19"/>
              </w:rPr>
              <w:t>合计</w:t>
            </w:r>
          </w:p>
        </w:tc>
        <w:tc>
          <w:tcPr>
            <w:tcW w:type="dxa" w:w="3118"/>
            <w:vAlign w:val="center"/>
          </w:tcPr>
          <w:p>
            <w:pPr>
              <w:jc w:val="left"/>
            </w:pPr>
            <w:r/>
            <w:r>
              <w:rPr>
                <w:rFonts w:ascii="宋体" w:hAnsi="宋体" w:eastAsia="宋体"/>
                <w:b w:val="0"/>
                <w:color w:val="111827"/>
                <w:sz w:val="19"/>
              </w:rPr>
              <w:t>约86万元预算控制</w:t>
            </w:r>
          </w:p>
        </w:tc>
        <w:tc>
          <w:tcPr>
            <w:tcW w:type="dxa" w:w="1361"/>
            <w:vAlign w:val="center"/>
          </w:tcPr>
          <w:p>
            <w:pPr>
              <w:jc w:val="left"/>
            </w:pPr>
            <w:r/>
            <w:r>
              <w:rPr>
                <w:rFonts w:ascii="宋体" w:hAnsi="宋体" w:eastAsia="宋体"/>
                <w:b w:val="0"/>
                <w:color w:val="111827"/>
                <w:sz w:val="19"/>
              </w:rPr>
              <w:t>86</w:t>
            </w:r>
          </w:p>
        </w:tc>
        <w:tc>
          <w:tcPr>
            <w:tcW w:type="dxa" w:w="2948"/>
            <w:vAlign w:val="center"/>
          </w:tcPr>
          <w:p>
            <w:pPr>
              <w:jc w:val="left"/>
            </w:pPr>
            <w:r/>
            <w:r>
              <w:rPr>
                <w:rFonts w:ascii="宋体" w:hAnsi="宋体" w:eastAsia="宋体"/>
                <w:b w:val="0"/>
                <w:color w:val="111827"/>
                <w:sz w:val="19"/>
              </w:rPr>
              <w:t>最终以深化清单和正式报价为准。</w:t>
            </w:r>
          </w:p>
        </w:tc>
      </w:tr>
    </w:tbl>
    <w:p/>
    <w:p>
      <w:pPr>
        <w:pStyle w:val="Heading2"/>
        <w:spacing w:before="160" w:after="160"/>
      </w:pPr>
      <w:r>
        <w:rPr>
          <w:rFonts w:ascii="微软雅黑" w:hAnsi="微软雅黑" w:eastAsia="微软雅黑"/>
          <w:color w:val="0F172A"/>
          <w:sz w:val="28"/>
        </w:rPr>
        <w:t>6.3 实施进度</w:t>
      </w:r>
    </w:p>
    <w:p>
      <w:pPr>
        <w:jc w:val="center"/>
      </w:pPr>
      <w:r>
        <w:drawing>
          <wp:inline xmlns:a="http://schemas.openxmlformats.org/drawingml/2006/main" xmlns:pic="http://schemas.openxmlformats.org/drawingml/2006/picture">
            <wp:extent cx="5652000" cy="3461850"/>
            <wp:docPr id="16" name="Picture 16"/>
            <wp:cNvGraphicFramePr>
              <a:graphicFrameLocks noChangeAspect="1"/>
            </wp:cNvGraphicFramePr>
            <a:graphic>
              <a:graphicData uri="http://schemas.openxmlformats.org/drawingml/2006/picture">
                <pic:pic>
                  <pic:nvPicPr>
                    <pic:cNvPr id="0" name="11_implementation.png"/>
                    <pic:cNvPicPr/>
                  </pic:nvPicPr>
                  <pic:blipFill>
                    <a:blip r:embed="rId25"/>
                    <a:stretch>
                      <a:fillRect/>
                    </a:stretch>
                  </pic:blipFill>
                  <pic:spPr>
                    <a:xfrm>
                      <a:off x="0" y="0"/>
                      <a:ext cx="5652000" cy="3461850"/>
                    </a:xfrm>
                    <a:prstGeom prst="rect"/>
                  </pic:spPr>
                </pic:pic>
              </a:graphicData>
            </a:graphic>
          </wp:inline>
        </w:drawing>
      </w:r>
    </w:p>
    <w:p>
      <w:pPr>
        <w:spacing w:after="160"/>
        <w:jc w:val="center"/>
      </w:pPr>
      <w:r>
        <w:rPr>
          <w:rFonts w:ascii="宋体" w:hAnsi="宋体" w:eastAsia="宋体"/>
          <w:b w:val="0"/>
          <w:color w:val="475569"/>
          <w:sz w:val="19"/>
        </w:rPr>
        <w:t>图 6-1 实施进度流程图</w:t>
      </w:r>
    </w:p>
    <w:p>
      <w:pPr>
        <w:spacing w:after="160"/>
        <w:jc w:val="center"/>
      </w:pPr>
      <w:r>
        <w:rPr>
          <w:rFonts w:ascii="宋体" w:hAnsi="宋体" w:eastAsia="宋体"/>
          <w:b w:val="0"/>
          <w:color w:val="475569"/>
          <w:sz w:val="19"/>
        </w:rPr>
        <w:t>表 6-3 实施阶段与交付物</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134"/>
            <w:shd w:fill="1E3A8A"/>
            <w:vAlign w:val="center"/>
          </w:tcPr>
          <w:p>
            <w:pPr>
              <w:jc w:val="center"/>
            </w:pPr>
            <w:r/>
            <w:r>
              <w:rPr>
                <w:rFonts w:ascii="宋体" w:hAnsi="宋体" w:eastAsia="宋体"/>
                <w:b/>
                <w:color w:val="FFFFFF"/>
                <w:sz w:val="20"/>
              </w:rPr>
              <w:t>阶段</w:t>
            </w:r>
          </w:p>
        </w:tc>
        <w:tc>
          <w:tcPr>
            <w:tcW w:type="dxa" w:w="1701"/>
            <w:shd w:fill="1E3A8A"/>
            <w:vAlign w:val="center"/>
          </w:tcPr>
          <w:p>
            <w:pPr>
              <w:jc w:val="center"/>
            </w:pPr>
            <w:r/>
            <w:r>
              <w:rPr>
                <w:rFonts w:ascii="宋体" w:hAnsi="宋体" w:eastAsia="宋体"/>
                <w:b/>
                <w:color w:val="FFFFFF"/>
                <w:sz w:val="20"/>
              </w:rPr>
              <w:t>工作项</w:t>
            </w:r>
          </w:p>
        </w:tc>
        <w:tc>
          <w:tcPr>
            <w:tcW w:type="dxa" w:w="3515"/>
            <w:shd w:fill="1E3A8A"/>
            <w:vAlign w:val="center"/>
          </w:tcPr>
          <w:p>
            <w:pPr>
              <w:jc w:val="center"/>
            </w:pPr>
            <w:r/>
            <w:r>
              <w:rPr>
                <w:rFonts w:ascii="宋体" w:hAnsi="宋体" w:eastAsia="宋体"/>
                <w:b/>
                <w:color w:val="FFFFFF"/>
                <w:sz w:val="20"/>
              </w:rPr>
              <w:t>主要内容</w:t>
            </w:r>
          </w:p>
        </w:tc>
        <w:tc>
          <w:tcPr>
            <w:tcW w:type="dxa" w:w="2665"/>
            <w:shd w:fill="1E3A8A"/>
            <w:vAlign w:val="center"/>
          </w:tcPr>
          <w:p>
            <w:pPr>
              <w:jc w:val="center"/>
            </w:pPr>
            <w:r/>
            <w:r>
              <w:rPr>
                <w:rFonts w:ascii="宋体" w:hAnsi="宋体" w:eastAsia="宋体"/>
                <w:b/>
                <w:color w:val="FFFFFF"/>
                <w:sz w:val="20"/>
              </w:rPr>
              <w:t>交付物</w:t>
            </w:r>
          </w:p>
        </w:tc>
      </w:tr>
      <w:tr>
        <w:tc>
          <w:tcPr>
            <w:tcW w:type="dxa" w:w="1134"/>
            <w:vAlign w:val="center"/>
            <w:shd w:fill="EFF6FF"/>
          </w:tcPr>
          <w:p>
            <w:pPr>
              <w:jc w:val="left"/>
            </w:pPr>
            <w:r/>
            <w:r>
              <w:rPr>
                <w:rFonts w:ascii="宋体" w:hAnsi="宋体" w:eastAsia="宋体"/>
                <w:b w:val="0"/>
                <w:color w:val="111827"/>
                <w:sz w:val="19"/>
              </w:rPr>
              <w:t>第1阶段</w:t>
            </w:r>
          </w:p>
        </w:tc>
        <w:tc>
          <w:tcPr>
            <w:tcW w:type="dxa" w:w="1701"/>
            <w:vAlign w:val="center"/>
          </w:tcPr>
          <w:p>
            <w:pPr>
              <w:jc w:val="left"/>
            </w:pPr>
            <w:r/>
            <w:r>
              <w:rPr>
                <w:rFonts w:ascii="宋体" w:hAnsi="宋体" w:eastAsia="宋体"/>
                <w:b w:val="0"/>
                <w:color w:val="111827"/>
                <w:sz w:val="19"/>
              </w:rPr>
              <w:t>现场确认与深化设计</w:t>
            </w:r>
          </w:p>
        </w:tc>
        <w:tc>
          <w:tcPr>
            <w:tcW w:type="dxa" w:w="3515"/>
            <w:vAlign w:val="center"/>
          </w:tcPr>
          <w:p>
            <w:pPr>
              <w:jc w:val="left"/>
            </w:pPr>
            <w:r/>
            <w:r>
              <w:rPr>
                <w:rFonts w:ascii="宋体" w:hAnsi="宋体" w:eastAsia="宋体"/>
                <w:b w:val="0"/>
                <w:color w:val="111827"/>
                <w:sz w:val="19"/>
              </w:rPr>
              <w:t>确认教室尺寸、电力网络、工位数量、服务器部署方式和课程优先级。</w:t>
            </w:r>
          </w:p>
        </w:tc>
        <w:tc>
          <w:tcPr>
            <w:tcW w:type="dxa" w:w="2665"/>
            <w:vAlign w:val="center"/>
          </w:tcPr>
          <w:p>
            <w:pPr>
              <w:jc w:val="left"/>
            </w:pPr>
            <w:r/>
            <w:r>
              <w:rPr>
                <w:rFonts w:ascii="宋体" w:hAnsi="宋体" w:eastAsia="宋体"/>
                <w:b w:val="0"/>
                <w:color w:val="111827"/>
                <w:sz w:val="19"/>
              </w:rPr>
              <w:t>深化设计与施工准备清单。</w:t>
            </w:r>
          </w:p>
        </w:tc>
      </w:tr>
      <w:tr>
        <w:tc>
          <w:tcPr>
            <w:tcW w:type="dxa" w:w="1134"/>
            <w:vAlign w:val="center"/>
            <w:shd w:fill="EFF6FF"/>
          </w:tcPr>
          <w:p>
            <w:pPr>
              <w:jc w:val="left"/>
            </w:pPr>
            <w:r/>
            <w:r>
              <w:rPr>
                <w:rFonts w:ascii="宋体" w:hAnsi="宋体" w:eastAsia="宋体"/>
                <w:b w:val="0"/>
                <w:color w:val="111827"/>
                <w:sz w:val="19"/>
              </w:rPr>
              <w:t>第2阶段</w:t>
            </w:r>
          </w:p>
        </w:tc>
        <w:tc>
          <w:tcPr>
            <w:tcW w:type="dxa" w:w="1701"/>
            <w:vAlign w:val="center"/>
          </w:tcPr>
          <w:p>
            <w:pPr>
              <w:jc w:val="left"/>
            </w:pPr>
            <w:r/>
            <w:r>
              <w:rPr>
                <w:rFonts w:ascii="宋体" w:hAnsi="宋体" w:eastAsia="宋体"/>
                <w:b w:val="0"/>
                <w:color w:val="111827"/>
                <w:sz w:val="19"/>
              </w:rPr>
              <w:t>设备到货与环境部署</w:t>
            </w:r>
          </w:p>
        </w:tc>
        <w:tc>
          <w:tcPr>
            <w:tcW w:type="dxa" w:w="3515"/>
            <w:vAlign w:val="center"/>
          </w:tcPr>
          <w:p>
            <w:pPr>
              <w:jc w:val="left"/>
            </w:pPr>
            <w:r/>
            <w:r>
              <w:rPr>
                <w:rFonts w:ascii="宋体" w:hAnsi="宋体" w:eastAsia="宋体"/>
                <w:b w:val="0"/>
                <w:color w:val="111827"/>
                <w:sz w:val="19"/>
              </w:rPr>
              <w:t>完成实验箱、开发包、平台服务器、网络设备、演示设备和收纳设施到位。</w:t>
            </w:r>
          </w:p>
        </w:tc>
        <w:tc>
          <w:tcPr>
            <w:tcW w:type="dxa" w:w="2665"/>
            <w:vAlign w:val="center"/>
          </w:tcPr>
          <w:p>
            <w:pPr>
              <w:jc w:val="left"/>
            </w:pPr>
            <w:r/>
            <w:r>
              <w:rPr>
                <w:rFonts w:ascii="宋体" w:hAnsi="宋体" w:eastAsia="宋体"/>
                <w:b w:val="0"/>
                <w:color w:val="111827"/>
                <w:sz w:val="19"/>
              </w:rPr>
              <w:t>设备清点、资产编号、网络与供电可用。</w:t>
            </w:r>
          </w:p>
        </w:tc>
      </w:tr>
      <w:tr>
        <w:tc>
          <w:tcPr>
            <w:tcW w:type="dxa" w:w="1134"/>
            <w:vAlign w:val="center"/>
            <w:shd w:fill="EFF6FF"/>
          </w:tcPr>
          <w:p>
            <w:pPr>
              <w:jc w:val="left"/>
            </w:pPr>
            <w:r/>
            <w:r>
              <w:rPr>
                <w:rFonts w:ascii="宋体" w:hAnsi="宋体" w:eastAsia="宋体"/>
                <w:b w:val="0"/>
                <w:color w:val="111827"/>
                <w:sz w:val="19"/>
              </w:rPr>
              <w:t>第3阶段</w:t>
            </w:r>
          </w:p>
        </w:tc>
        <w:tc>
          <w:tcPr>
            <w:tcW w:type="dxa" w:w="1701"/>
            <w:vAlign w:val="center"/>
          </w:tcPr>
          <w:p>
            <w:pPr>
              <w:jc w:val="left"/>
            </w:pPr>
            <w:r/>
            <w:r>
              <w:rPr>
                <w:rFonts w:ascii="宋体" w:hAnsi="宋体" w:eastAsia="宋体"/>
                <w:b w:val="0"/>
                <w:color w:val="111827"/>
                <w:sz w:val="19"/>
              </w:rPr>
              <w:t>平台安装与联调</w:t>
            </w:r>
          </w:p>
        </w:tc>
        <w:tc>
          <w:tcPr>
            <w:tcW w:type="dxa" w:w="3515"/>
            <w:vAlign w:val="center"/>
          </w:tcPr>
          <w:p>
            <w:pPr>
              <w:jc w:val="left"/>
            </w:pPr>
            <w:r/>
            <w:r>
              <w:rPr>
                <w:rFonts w:ascii="宋体" w:hAnsi="宋体" w:eastAsia="宋体"/>
                <w:b w:val="0"/>
                <w:color w:val="111827"/>
                <w:sz w:val="19"/>
              </w:rPr>
              <w:t>部署AIoT平台，接入真实设备和虚拟设备，配置账号、课程、项目和数据大屏。</w:t>
            </w:r>
          </w:p>
        </w:tc>
        <w:tc>
          <w:tcPr>
            <w:tcW w:type="dxa" w:w="2665"/>
            <w:vAlign w:val="center"/>
          </w:tcPr>
          <w:p>
            <w:pPr>
              <w:jc w:val="left"/>
            </w:pPr>
            <w:r/>
            <w:r>
              <w:rPr>
                <w:rFonts w:ascii="宋体" w:hAnsi="宋体" w:eastAsia="宋体"/>
                <w:b w:val="0"/>
                <w:color w:val="111827"/>
                <w:sz w:val="19"/>
              </w:rPr>
              <w:t>平台可登录、设备可接入、数据可采集。</w:t>
            </w:r>
          </w:p>
        </w:tc>
      </w:tr>
      <w:tr>
        <w:tc>
          <w:tcPr>
            <w:tcW w:type="dxa" w:w="1134"/>
            <w:vAlign w:val="center"/>
            <w:shd w:fill="EFF6FF"/>
          </w:tcPr>
          <w:p>
            <w:pPr>
              <w:jc w:val="left"/>
            </w:pPr>
            <w:r/>
            <w:r>
              <w:rPr>
                <w:rFonts w:ascii="宋体" w:hAnsi="宋体" w:eastAsia="宋体"/>
                <w:b w:val="0"/>
                <w:color w:val="111827"/>
                <w:sz w:val="19"/>
              </w:rPr>
              <w:t>第4阶段</w:t>
            </w:r>
          </w:p>
        </w:tc>
        <w:tc>
          <w:tcPr>
            <w:tcW w:type="dxa" w:w="1701"/>
            <w:vAlign w:val="center"/>
          </w:tcPr>
          <w:p>
            <w:pPr>
              <w:jc w:val="left"/>
            </w:pPr>
            <w:r/>
            <w:r>
              <w:rPr>
                <w:rFonts w:ascii="宋体" w:hAnsi="宋体" w:eastAsia="宋体"/>
                <w:b w:val="0"/>
                <w:color w:val="111827"/>
                <w:sz w:val="19"/>
              </w:rPr>
              <w:t>课程资源导入与教师培训</w:t>
            </w:r>
          </w:p>
        </w:tc>
        <w:tc>
          <w:tcPr>
            <w:tcW w:type="dxa" w:w="3515"/>
            <w:vAlign w:val="center"/>
          </w:tcPr>
          <w:p>
            <w:pPr>
              <w:jc w:val="left"/>
            </w:pPr>
            <w:r/>
            <w:r>
              <w:rPr>
                <w:rFonts w:ascii="宋体" w:hAnsi="宋体" w:eastAsia="宋体"/>
                <w:b w:val="0"/>
                <w:color w:val="111827"/>
                <w:sz w:val="19"/>
              </w:rPr>
              <w:t>导入实验指导书、源码、PPT、任务模板和报告模板，完成教师实操培训。</w:t>
            </w:r>
          </w:p>
        </w:tc>
        <w:tc>
          <w:tcPr>
            <w:tcW w:type="dxa" w:w="2665"/>
            <w:vAlign w:val="center"/>
          </w:tcPr>
          <w:p>
            <w:pPr>
              <w:jc w:val="left"/>
            </w:pPr>
            <w:r/>
            <w:r>
              <w:rPr>
                <w:rFonts w:ascii="宋体" w:hAnsi="宋体" w:eastAsia="宋体"/>
                <w:b w:val="0"/>
                <w:color w:val="111827"/>
                <w:sz w:val="19"/>
              </w:rPr>
              <w:t>教师可独立发布任务、查看过程、批阅报告。</w:t>
            </w:r>
          </w:p>
        </w:tc>
      </w:tr>
      <w:tr>
        <w:tc>
          <w:tcPr>
            <w:tcW w:type="dxa" w:w="1134"/>
            <w:vAlign w:val="center"/>
            <w:shd w:fill="EFF6FF"/>
          </w:tcPr>
          <w:p>
            <w:pPr>
              <w:jc w:val="left"/>
            </w:pPr>
            <w:r/>
            <w:r>
              <w:rPr>
                <w:rFonts w:ascii="宋体" w:hAnsi="宋体" w:eastAsia="宋体"/>
                <w:b w:val="0"/>
                <w:color w:val="111827"/>
                <w:sz w:val="19"/>
              </w:rPr>
              <w:t>第5阶段</w:t>
            </w:r>
          </w:p>
        </w:tc>
        <w:tc>
          <w:tcPr>
            <w:tcW w:type="dxa" w:w="1701"/>
            <w:vAlign w:val="center"/>
          </w:tcPr>
          <w:p>
            <w:pPr>
              <w:jc w:val="left"/>
            </w:pPr>
            <w:r/>
            <w:r>
              <w:rPr>
                <w:rFonts w:ascii="宋体" w:hAnsi="宋体" w:eastAsia="宋体"/>
                <w:b w:val="0"/>
                <w:color w:val="111827"/>
                <w:sz w:val="19"/>
              </w:rPr>
              <w:t>试运行与验收</w:t>
            </w:r>
          </w:p>
        </w:tc>
        <w:tc>
          <w:tcPr>
            <w:tcW w:type="dxa" w:w="3515"/>
            <w:vAlign w:val="center"/>
          </w:tcPr>
          <w:p>
            <w:pPr>
              <w:jc w:val="left"/>
            </w:pPr>
            <w:r/>
            <w:r>
              <w:rPr>
                <w:rFonts w:ascii="宋体" w:hAnsi="宋体" w:eastAsia="宋体"/>
                <w:b w:val="0"/>
                <w:color w:val="111827"/>
                <w:sz w:val="19"/>
              </w:rPr>
              <w:t>按基础实验、综合项目、行业场景开展试运行，完成问题整改和验收归档。</w:t>
            </w:r>
          </w:p>
        </w:tc>
        <w:tc>
          <w:tcPr>
            <w:tcW w:type="dxa" w:w="2665"/>
            <w:vAlign w:val="center"/>
          </w:tcPr>
          <w:p>
            <w:pPr>
              <w:jc w:val="left"/>
            </w:pPr>
            <w:r/>
            <w:r>
              <w:rPr>
                <w:rFonts w:ascii="宋体" w:hAnsi="宋体" w:eastAsia="宋体"/>
                <w:b w:val="0"/>
                <w:color w:val="111827"/>
                <w:sz w:val="19"/>
              </w:rPr>
              <w:t>验收报告、运维制度和交付资料。</w:t>
            </w:r>
          </w:p>
        </w:tc>
      </w:tr>
    </w:tbl>
    <w:p/>
    <w:p>
      <w:pPr>
        <w:pStyle w:val="Heading2"/>
        <w:spacing w:before="160" w:after="160"/>
      </w:pPr>
      <w:r>
        <w:rPr>
          <w:rFonts w:ascii="微软雅黑" w:hAnsi="微软雅黑" w:eastAsia="微软雅黑"/>
          <w:color w:val="0F172A"/>
          <w:sz w:val="28"/>
        </w:rPr>
        <w:t>6.4 培训与运维保障</w:t>
      </w:r>
    </w:p>
    <w:p>
      <w:pPr>
        <w:pStyle w:val="ListBullet"/>
        <w:spacing w:line="300" w:lineRule="auto" w:after="60"/>
      </w:pPr>
      <w:r>
        <w:rPr>
          <w:rFonts w:ascii="宋体" w:hAnsi="宋体" w:eastAsia="宋体"/>
          <w:b w:val="0"/>
          <w:sz w:val="21"/>
        </w:rPr>
        <w:t>教师培训：覆盖平台登录、课程发布、设备接入、实验数据查看、报告批阅、常见故障排查和课程资源维护。</w:t>
      </w:r>
    </w:p>
    <w:p>
      <w:pPr>
        <w:pStyle w:val="ListBullet"/>
        <w:spacing w:line="300" w:lineRule="auto" w:after="60"/>
      </w:pPr>
      <w:r>
        <w:rPr>
          <w:rFonts w:ascii="宋体" w:hAnsi="宋体" w:eastAsia="宋体"/>
          <w:b w:val="0"/>
          <w:sz w:val="21"/>
        </w:rPr>
        <w:t>学生培训：覆盖设备安全使用、模块取放、接线规范、账号登录、报告提交和数据引用规范。</w:t>
      </w:r>
    </w:p>
    <w:p>
      <w:pPr>
        <w:pStyle w:val="ListBullet"/>
        <w:spacing w:line="300" w:lineRule="auto" w:after="60"/>
      </w:pPr>
      <w:r>
        <w:rPr>
          <w:rFonts w:ascii="宋体" w:hAnsi="宋体" w:eastAsia="宋体"/>
          <w:b w:val="0"/>
          <w:sz w:val="21"/>
        </w:rPr>
        <w:t>设备运维：建立资产编号、借还记录、损坏登记、耗材补充、备件替换和定期巡检机制。</w:t>
      </w:r>
    </w:p>
    <w:p>
      <w:pPr>
        <w:pStyle w:val="ListBullet"/>
        <w:spacing w:line="300" w:lineRule="auto" w:after="60"/>
      </w:pPr>
      <w:r>
        <w:rPr>
          <w:rFonts w:ascii="宋体" w:hAnsi="宋体" w:eastAsia="宋体"/>
          <w:b w:val="0"/>
          <w:sz w:val="21"/>
        </w:rPr>
        <w:t>平台运维：定期备份数据库、实验报告、项目源码、平台配置和账号权限，确保教学数据安全。</w:t>
      </w:r>
    </w:p>
    <w:p>
      <w:pPr>
        <w:pStyle w:val="ListBullet"/>
        <w:spacing w:line="300" w:lineRule="auto" w:after="60"/>
      </w:pPr>
      <w:r>
        <w:rPr>
          <w:rFonts w:ascii="宋体" w:hAnsi="宋体" w:eastAsia="宋体"/>
          <w:b w:val="0"/>
          <w:sz w:val="21"/>
        </w:rPr>
        <w:t>安全管理：执行低压安全用电、强弱电分离、网络访问控制、账号分级权限和课堂设备归位检查。</w:t>
      </w:r>
    </w:p>
    <w:p>
      <w:pPr>
        <w:spacing w:after="160"/>
        <w:jc w:val="center"/>
      </w:pPr>
      <w:r>
        <w:rPr>
          <w:rFonts w:ascii="宋体" w:hAnsi="宋体" w:eastAsia="宋体"/>
          <w:b w:val="0"/>
          <w:color w:val="475569"/>
          <w:sz w:val="19"/>
        </w:rPr>
        <w:t>表 6-4 验收指标表</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验收类别</w:t>
            </w:r>
          </w:p>
        </w:tc>
        <w:tc>
          <w:tcPr>
            <w:tcW w:type="dxa" w:w="3969"/>
            <w:shd w:fill="1E3A8A"/>
            <w:vAlign w:val="center"/>
          </w:tcPr>
          <w:p>
            <w:pPr>
              <w:jc w:val="center"/>
            </w:pPr>
            <w:r/>
            <w:r>
              <w:rPr>
                <w:rFonts w:ascii="宋体" w:hAnsi="宋体" w:eastAsia="宋体"/>
                <w:b/>
                <w:color w:val="FFFFFF"/>
                <w:sz w:val="20"/>
              </w:rPr>
              <w:t>验收指标</w:t>
            </w:r>
          </w:p>
        </w:tc>
        <w:tc>
          <w:tcPr>
            <w:tcW w:type="dxa" w:w="3061"/>
            <w:shd w:fill="1E3A8A"/>
            <w:vAlign w:val="center"/>
          </w:tcPr>
          <w:p>
            <w:pPr>
              <w:jc w:val="center"/>
            </w:pPr>
            <w:r/>
            <w:r>
              <w:rPr>
                <w:rFonts w:ascii="宋体" w:hAnsi="宋体" w:eastAsia="宋体"/>
                <w:b/>
                <w:color w:val="FFFFFF"/>
                <w:sz w:val="20"/>
              </w:rPr>
              <w:t>建议验收方式</w:t>
            </w:r>
          </w:p>
        </w:tc>
      </w:tr>
      <w:tr>
        <w:tc>
          <w:tcPr>
            <w:tcW w:type="dxa" w:w="1701"/>
            <w:vAlign w:val="center"/>
            <w:shd w:fill="EFF6FF"/>
          </w:tcPr>
          <w:p>
            <w:pPr>
              <w:jc w:val="left"/>
            </w:pPr>
            <w:r/>
            <w:r>
              <w:rPr>
                <w:rFonts w:ascii="宋体" w:hAnsi="宋体" w:eastAsia="宋体"/>
                <w:b w:val="0"/>
                <w:color w:val="111827"/>
                <w:sz w:val="19"/>
              </w:rPr>
              <w:t>容量验收</w:t>
            </w:r>
          </w:p>
        </w:tc>
        <w:tc>
          <w:tcPr>
            <w:tcW w:type="dxa" w:w="3969"/>
            <w:vAlign w:val="center"/>
          </w:tcPr>
          <w:p>
            <w:pPr>
              <w:jc w:val="left"/>
            </w:pPr>
            <w:r/>
            <w:r>
              <w:rPr>
                <w:rFonts w:ascii="宋体" w:hAnsi="宋体" w:eastAsia="宋体"/>
                <w:b w:val="0"/>
                <w:color w:val="111827"/>
                <w:sz w:val="19"/>
              </w:rPr>
              <w:t>25组工位可支撑50人同步开展物联网实训。</w:t>
            </w:r>
          </w:p>
        </w:tc>
        <w:tc>
          <w:tcPr>
            <w:tcW w:type="dxa" w:w="3061"/>
            <w:vAlign w:val="center"/>
          </w:tcPr>
          <w:p>
            <w:pPr>
              <w:jc w:val="left"/>
            </w:pPr>
            <w:r/>
            <w:r>
              <w:rPr>
                <w:rFonts w:ascii="宋体" w:hAnsi="宋体" w:eastAsia="宋体"/>
                <w:b w:val="0"/>
                <w:color w:val="111827"/>
                <w:sz w:val="19"/>
              </w:rPr>
              <w:t>现场抽查工位、设备和网络接入情况。</w:t>
            </w:r>
          </w:p>
        </w:tc>
      </w:tr>
      <w:tr>
        <w:tc>
          <w:tcPr>
            <w:tcW w:type="dxa" w:w="1701"/>
            <w:vAlign w:val="center"/>
            <w:shd w:fill="EFF6FF"/>
          </w:tcPr>
          <w:p>
            <w:pPr>
              <w:jc w:val="left"/>
            </w:pPr>
            <w:r/>
            <w:r>
              <w:rPr>
                <w:rFonts w:ascii="宋体" w:hAnsi="宋体" w:eastAsia="宋体"/>
                <w:b w:val="0"/>
                <w:color w:val="111827"/>
                <w:sz w:val="19"/>
              </w:rPr>
              <w:t>设备验收</w:t>
            </w:r>
          </w:p>
        </w:tc>
        <w:tc>
          <w:tcPr>
            <w:tcW w:type="dxa" w:w="3969"/>
            <w:vAlign w:val="center"/>
          </w:tcPr>
          <w:p>
            <w:pPr>
              <w:jc w:val="left"/>
            </w:pPr>
            <w:r/>
            <w:r>
              <w:rPr>
                <w:rFonts w:ascii="宋体" w:hAnsi="宋体" w:eastAsia="宋体"/>
                <w:b w:val="0"/>
                <w:color w:val="111827"/>
                <w:sz w:val="19"/>
              </w:rPr>
              <w:t>实验箱、开发包、平台服务器、网络设备、场景系统和耗材与清单一致。</w:t>
            </w:r>
          </w:p>
        </w:tc>
        <w:tc>
          <w:tcPr>
            <w:tcW w:type="dxa" w:w="3061"/>
            <w:vAlign w:val="center"/>
          </w:tcPr>
          <w:p>
            <w:pPr>
              <w:jc w:val="left"/>
            </w:pPr>
            <w:r/>
            <w:r>
              <w:rPr>
                <w:rFonts w:ascii="宋体" w:hAnsi="宋体" w:eastAsia="宋体"/>
                <w:b w:val="0"/>
                <w:color w:val="111827"/>
                <w:sz w:val="19"/>
              </w:rPr>
              <w:t>清点资产编号、规格参数和配套资料。</w:t>
            </w:r>
          </w:p>
        </w:tc>
      </w:tr>
      <w:tr>
        <w:tc>
          <w:tcPr>
            <w:tcW w:type="dxa" w:w="1701"/>
            <w:vAlign w:val="center"/>
            <w:shd w:fill="EFF6FF"/>
          </w:tcPr>
          <w:p>
            <w:pPr>
              <w:jc w:val="left"/>
            </w:pPr>
            <w:r/>
            <w:r>
              <w:rPr>
                <w:rFonts w:ascii="宋体" w:hAnsi="宋体" w:eastAsia="宋体"/>
                <w:b w:val="0"/>
                <w:color w:val="111827"/>
                <w:sz w:val="19"/>
              </w:rPr>
              <w:t>平台验收</w:t>
            </w:r>
          </w:p>
        </w:tc>
        <w:tc>
          <w:tcPr>
            <w:tcW w:type="dxa" w:w="3969"/>
            <w:vAlign w:val="center"/>
          </w:tcPr>
          <w:p>
            <w:pPr>
              <w:jc w:val="left"/>
            </w:pPr>
            <w:r/>
            <w:r>
              <w:rPr>
                <w:rFonts w:ascii="宋体" w:hAnsi="宋体" w:eastAsia="宋体"/>
                <w:b w:val="0"/>
                <w:color w:val="111827"/>
                <w:sz w:val="19"/>
              </w:rPr>
              <w:t>教师、学生、管理员角色可用，真实设备和虚拟设备可接入，数据可展示。</w:t>
            </w:r>
          </w:p>
        </w:tc>
        <w:tc>
          <w:tcPr>
            <w:tcW w:type="dxa" w:w="3061"/>
            <w:vAlign w:val="center"/>
          </w:tcPr>
          <w:p>
            <w:pPr>
              <w:jc w:val="left"/>
            </w:pPr>
            <w:r/>
            <w:r>
              <w:rPr>
                <w:rFonts w:ascii="宋体" w:hAnsi="宋体" w:eastAsia="宋体"/>
                <w:b w:val="0"/>
                <w:color w:val="111827"/>
                <w:sz w:val="19"/>
              </w:rPr>
              <w:t>登录平台并完成设备建模、数据上报和命令下发。</w:t>
            </w:r>
          </w:p>
        </w:tc>
      </w:tr>
      <w:tr>
        <w:tc>
          <w:tcPr>
            <w:tcW w:type="dxa" w:w="1701"/>
            <w:vAlign w:val="center"/>
            <w:shd w:fill="EFF6FF"/>
          </w:tcPr>
          <w:p>
            <w:pPr>
              <w:jc w:val="left"/>
            </w:pPr>
            <w:r/>
            <w:r>
              <w:rPr>
                <w:rFonts w:ascii="宋体" w:hAnsi="宋体" w:eastAsia="宋体"/>
                <w:b w:val="0"/>
                <w:color w:val="111827"/>
                <w:sz w:val="19"/>
              </w:rPr>
              <w:t>课程验收</w:t>
            </w:r>
          </w:p>
        </w:tc>
        <w:tc>
          <w:tcPr>
            <w:tcW w:type="dxa" w:w="3969"/>
            <w:vAlign w:val="center"/>
          </w:tcPr>
          <w:p>
            <w:pPr>
              <w:jc w:val="left"/>
            </w:pPr>
            <w:r/>
            <w:r>
              <w:rPr>
                <w:rFonts w:ascii="宋体" w:hAnsi="宋体" w:eastAsia="宋体"/>
                <w:b w:val="0"/>
                <w:color w:val="111827"/>
                <w:sz w:val="19"/>
              </w:rPr>
              <w:t>基础实验、综合项目、行业项目、源码、指导书、报告模板可使用。</w:t>
            </w:r>
          </w:p>
        </w:tc>
        <w:tc>
          <w:tcPr>
            <w:tcW w:type="dxa" w:w="3061"/>
            <w:vAlign w:val="center"/>
          </w:tcPr>
          <w:p>
            <w:pPr>
              <w:jc w:val="left"/>
            </w:pPr>
            <w:r/>
            <w:r>
              <w:rPr>
                <w:rFonts w:ascii="宋体" w:hAnsi="宋体" w:eastAsia="宋体"/>
                <w:b w:val="0"/>
                <w:color w:val="111827"/>
                <w:sz w:val="19"/>
              </w:rPr>
              <w:t>抽取样例实验完成全流程演示。</w:t>
            </w:r>
          </w:p>
        </w:tc>
      </w:tr>
      <w:tr>
        <w:tc>
          <w:tcPr>
            <w:tcW w:type="dxa" w:w="1701"/>
            <w:vAlign w:val="center"/>
            <w:shd w:fill="EFF6FF"/>
          </w:tcPr>
          <w:p>
            <w:pPr>
              <w:jc w:val="left"/>
            </w:pPr>
            <w:r/>
            <w:r>
              <w:rPr>
                <w:rFonts w:ascii="宋体" w:hAnsi="宋体" w:eastAsia="宋体"/>
                <w:b w:val="0"/>
                <w:color w:val="111827"/>
                <w:sz w:val="19"/>
              </w:rPr>
              <w:t>图文资料验收</w:t>
            </w:r>
          </w:p>
        </w:tc>
        <w:tc>
          <w:tcPr>
            <w:tcW w:type="dxa" w:w="3969"/>
            <w:vAlign w:val="center"/>
          </w:tcPr>
          <w:p>
            <w:pPr>
              <w:jc w:val="left"/>
            </w:pPr>
            <w:r/>
            <w:r>
              <w:rPr>
                <w:rFonts w:ascii="宋体" w:hAnsi="宋体" w:eastAsia="宋体"/>
                <w:b w:val="0"/>
                <w:color w:val="111827"/>
                <w:sz w:val="19"/>
              </w:rPr>
              <w:t>深化方案、设备清单、网络拓扑、空间布局、培训记录、运维制度完整。</w:t>
            </w:r>
          </w:p>
        </w:tc>
        <w:tc>
          <w:tcPr>
            <w:tcW w:type="dxa" w:w="3061"/>
            <w:vAlign w:val="center"/>
          </w:tcPr>
          <w:p>
            <w:pPr>
              <w:jc w:val="left"/>
            </w:pPr>
            <w:r/>
            <w:r>
              <w:rPr>
                <w:rFonts w:ascii="宋体" w:hAnsi="宋体" w:eastAsia="宋体"/>
                <w:b w:val="0"/>
                <w:color w:val="111827"/>
                <w:sz w:val="19"/>
              </w:rPr>
              <w:t>查验交付文档和培训签到/记录。</w:t>
            </w:r>
          </w:p>
        </w:tc>
      </w:tr>
      <w:tr>
        <w:tc>
          <w:tcPr>
            <w:tcW w:type="dxa" w:w="1701"/>
            <w:vAlign w:val="center"/>
            <w:shd w:fill="EFF6FF"/>
          </w:tcPr>
          <w:p>
            <w:pPr>
              <w:jc w:val="left"/>
            </w:pPr>
            <w:r/>
            <w:r>
              <w:rPr>
                <w:rFonts w:ascii="宋体" w:hAnsi="宋体" w:eastAsia="宋体"/>
                <w:b w:val="0"/>
                <w:color w:val="111827"/>
                <w:sz w:val="19"/>
              </w:rPr>
              <w:t>安全验收</w:t>
            </w:r>
          </w:p>
        </w:tc>
        <w:tc>
          <w:tcPr>
            <w:tcW w:type="dxa" w:w="3969"/>
            <w:vAlign w:val="center"/>
          </w:tcPr>
          <w:p>
            <w:pPr>
              <w:jc w:val="left"/>
            </w:pPr>
            <w:r/>
            <w:r>
              <w:rPr>
                <w:rFonts w:ascii="宋体" w:hAnsi="宋体" w:eastAsia="宋体"/>
                <w:b w:val="0"/>
                <w:color w:val="111827"/>
                <w:sz w:val="19"/>
              </w:rPr>
              <w:t>强弱电布置、安全标识、设备收纳、低压供电和账号权限满足实训管理要求。</w:t>
            </w:r>
          </w:p>
        </w:tc>
        <w:tc>
          <w:tcPr>
            <w:tcW w:type="dxa" w:w="3061"/>
            <w:vAlign w:val="center"/>
          </w:tcPr>
          <w:p>
            <w:pPr>
              <w:jc w:val="left"/>
            </w:pPr>
            <w:r/>
            <w:r>
              <w:rPr>
                <w:rFonts w:ascii="宋体" w:hAnsi="宋体" w:eastAsia="宋体"/>
                <w:b w:val="0"/>
                <w:color w:val="111827"/>
                <w:sz w:val="19"/>
              </w:rPr>
              <w:t>现场检查和试运行记录确认。</w:t>
            </w:r>
          </w:p>
        </w:tc>
      </w:tr>
    </w:tbl>
    <w:p/>
    <w:p>
      <w:pPr>
        <w:pStyle w:val="Heading1"/>
        <w:spacing w:before="240" w:after="160"/>
      </w:pPr>
      <w:r>
        <w:rPr>
          <w:rFonts w:ascii="微软雅黑" w:hAnsi="微软雅黑" w:eastAsia="微软雅黑"/>
          <w:color w:val="0F172A"/>
          <w:sz w:val="36"/>
        </w:rPr>
        <w:t>七、资料依据</w:t>
      </w:r>
    </w:p>
    <w:p>
      <w:pPr>
        <w:spacing w:line="324" w:lineRule="auto" w:after="120"/>
        <w:ind w:firstLine="440"/>
      </w:pPr>
      <w:r>
        <w:rPr>
          <w:rFonts w:ascii="宋体" w:hAnsi="宋体" w:eastAsia="宋体"/>
          <w:b w:val="0"/>
          <w:sz w:val="22"/>
        </w:rPr>
        <w:t>本方案综合使用本地项目资料和公开资料进行论证。公开资料仅用于政策、专业建设和技术趋势说明，不作为供应商业绩、合作案例或奖项证明。</w:t>
      </w:r>
    </w:p>
    <w:p>
      <w:pPr>
        <w:spacing w:after="160"/>
        <w:jc w:val="center"/>
      </w:pPr>
      <w:r>
        <w:rPr>
          <w:rFonts w:ascii="宋体" w:hAnsi="宋体" w:eastAsia="宋体"/>
          <w:b w:val="0"/>
          <w:color w:val="475569"/>
          <w:sz w:val="19"/>
        </w:rPr>
        <w:t>表 7-1 主要资料来源</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fill="1E3A8A"/>
            <w:vAlign w:val="center"/>
          </w:tcPr>
          <w:p>
            <w:pPr>
              <w:jc w:val="center"/>
            </w:pPr>
            <w:r/>
            <w:r>
              <w:rPr>
                <w:rFonts w:ascii="宋体" w:hAnsi="宋体" w:eastAsia="宋体"/>
                <w:b/>
                <w:color w:val="FFFFFF"/>
                <w:sz w:val="20"/>
              </w:rPr>
              <w:t>资料类别</w:t>
            </w:r>
          </w:p>
        </w:tc>
        <w:tc>
          <w:tcPr>
            <w:tcW w:type="dxa" w:w="3798"/>
            <w:shd w:fill="1E3A8A"/>
            <w:vAlign w:val="center"/>
          </w:tcPr>
          <w:p>
            <w:pPr>
              <w:jc w:val="center"/>
            </w:pPr>
            <w:r/>
            <w:r>
              <w:rPr>
                <w:rFonts w:ascii="宋体" w:hAnsi="宋体" w:eastAsia="宋体"/>
                <w:b/>
                <w:color w:val="FFFFFF"/>
                <w:sz w:val="20"/>
              </w:rPr>
              <w:t>来源</w:t>
            </w:r>
          </w:p>
        </w:tc>
        <w:tc>
          <w:tcPr>
            <w:tcW w:type="dxa" w:w="3231"/>
            <w:shd w:fill="1E3A8A"/>
            <w:vAlign w:val="center"/>
          </w:tcPr>
          <w:p>
            <w:pPr>
              <w:jc w:val="center"/>
            </w:pPr>
            <w:r/>
            <w:r>
              <w:rPr>
                <w:rFonts w:ascii="宋体" w:hAnsi="宋体" w:eastAsia="宋体"/>
                <w:b/>
                <w:color w:val="FFFFFF"/>
                <w:sz w:val="20"/>
              </w:rPr>
              <w:t>用途</w:t>
            </w:r>
          </w:p>
        </w:tc>
      </w:tr>
      <w:tr>
        <w:tc>
          <w:tcPr>
            <w:tcW w:type="dxa" w:w="1701"/>
            <w:vAlign w:val="center"/>
            <w:shd w:fill="EFF6FF"/>
          </w:tcPr>
          <w:p>
            <w:pPr>
              <w:jc w:val="left"/>
            </w:pPr>
            <w:r/>
            <w:r>
              <w:rPr>
                <w:rFonts w:ascii="宋体" w:hAnsi="宋体" w:eastAsia="宋体"/>
                <w:b w:val="0"/>
                <w:color w:val="111827"/>
                <w:sz w:val="19"/>
              </w:rPr>
              <w:t>本地公告</w:t>
            </w:r>
          </w:p>
        </w:tc>
        <w:tc>
          <w:tcPr>
            <w:tcW w:type="dxa" w:w="3798"/>
            <w:vAlign w:val="center"/>
          </w:tcPr>
          <w:p>
            <w:pPr>
              <w:jc w:val="left"/>
            </w:pPr>
            <w:r/>
            <w:r>
              <w:rPr>
                <w:rFonts w:ascii="宋体" w:hAnsi="宋体" w:eastAsia="宋体"/>
                <w:b w:val="0"/>
                <w:color w:val="111827"/>
                <w:sz w:val="19"/>
              </w:rPr>
              <w:t>《信息工程学院.txt》</w:t>
            </w:r>
          </w:p>
        </w:tc>
        <w:tc>
          <w:tcPr>
            <w:tcW w:type="dxa" w:w="3231"/>
            <w:vAlign w:val="center"/>
          </w:tcPr>
          <w:p>
            <w:pPr>
              <w:jc w:val="left"/>
            </w:pPr>
            <w:r/>
            <w:r>
              <w:rPr>
                <w:rFonts w:ascii="宋体" w:hAnsi="宋体" w:eastAsia="宋体"/>
                <w:b w:val="0"/>
                <w:color w:val="111827"/>
                <w:sz w:val="19"/>
              </w:rPr>
              <w:t>确定项目名称、预算约86万元、面积约120㎡、50人容量和建设内容。</w:t>
            </w:r>
          </w:p>
        </w:tc>
      </w:tr>
      <w:tr>
        <w:tc>
          <w:tcPr>
            <w:tcW w:type="dxa" w:w="1701"/>
            <w:vAlign w:val="center"/>
            <w:shd w:fill="EFF6FF"/>
          </w:tcPr>
          <w:p>
            <w:pPr>
              <w:jc w:val="left"/>
            </w:pPr>
            <w:r/>
            <w:r>
              <w:rPr>
                <w:rFonts w:ascii="宋体" w:hAnsi="宋体" w:eastAsia="宋体"/>
                <w:b w:val="0"/>
                <w:color w:val="111827"/>
                <w:sz w:val="19"/>
              </w:rPr>
              <w:t>结构底稿</w:t>
            </w:r>
          </w:p>
        </w:tc>
        <w:tc>
          <w:tcPr>
            <w:tcW w:type="dxa" w:w="3798"/>
            <w:vAlign w:val="center"/>
          </w:tcPr>
          <w:p>
            <w:pPr>
              <w:jc w:val="left"/>
            </w:pPr>
            <w:r/>
            <w:r>
              <w:rPr>
                <w:rFonts w:ascii="宋体" w:hAnsi="宋体" w:eastAsia="宋体"/>
                <w:b w:val="0"/>
                <w:color w:val="111827"/>
                <w:sz w:val="19"/>
              </w:rPr>
              <w:t>《传感器与检测技术创新实验室解决方案(1)(1).docx》</w:t>
            </w:r>
          </w:p>
        </w:tc>
        <w:tc>
          <w:tcPr>
            <w:tcW w:type="dxa" w:w="3231"/>
            <w:vAlign w:val="center"/>
          </w:tcPr>
          <w:p>
            <w:pPr>
              <w:jc w:val="left"/>
            </w:pPr>
            <w:r/>
            <w:r>
              <w:rPr>
                <w:rFonts w:ascii="宋体" w:hAnsi="宋体" w:eastAsia="宋体"/>
                <w:b w:val="0"/>
                <w:color w:val="111827"/>
                <w:sz w:val="19"/>
              </w:rPr>
              <w:t>借鉴项目概述、总体设计、建设内容、拓展应用、建设清单等章节结构。</w:t>
            </w:r>
          </w:p>
        </w:tc>
      </w:tr>
      <w:tr>
        <w:tc>
          <w:tcPr>
            <w:tcW w:type="dxa" w:w="1701"/>
            <w:vAlign w:val="center"/>
            <w:shd w:fill="EFF6FF"/>
          </w:tcPr>
          <w:p>
            <w:pPr>
              <w:jc w:val="left"/>
            </w:pPr>
            <w:r/>
            <w:r>
              <w:rPr>
                <w:rFonts w:ascii="宋体" w:hAnsi="宋体" w:eastAsia="宋体"/>
                <w:b w:val="0"/>
                <w:color w:val="111827"/>
                <w:sz w:val="19"/>
              </w:rPr>
              <w:t>设备参数</w:t>
            </w:r>
          </w:p>
        </w:tc>
        <w:tc>
          <w:tcPr>
            <w:tcW w:type="dxa" w:w="3798"/>
            <w:vAlign w:val="center"/>
          </w:tcPr>
          <w:p>
            <w:pPr>
              <w:jc w:val="left"/>
            </w:pPr>
            <w:r/>
            <w:r>
              <w:rPr>
                <w:rFonts w:ascii="宋体" w:hAnsi="宋体" w:eastAsia="宋体"/>
                <w:b w:val="0"/>
                <w:color w:val="111827"/>
                <w:sz w:val="19"/>
              </w:rPr>
              <w:t>《新南云鸿蒙物联网实验箱技术参数-7.2.xlsx》</w:t>
            </w:r>
          </w:p>
        </w:tc>
        <w:tc>
          <w:tcPr>
            <w:tcW w:type="dxa" w:w="3231"/>
            <w:vAlign w:val="center"/>
          </w:tcPr>
          <w:p>
            <w:pPr>
              <w:jc w:val="left"/>
            </w:pPr>
            <w:r/>
            <w:r>
              <w:rPr>
                <w:rFonts w:ascii="宋体" w:hAnsi="宋体" w:eastAsia="宋体"/>
                <w:b w:val="0"/>
                <w:color w:val="111827"/>
                <w:sz w:val="19"/>
              </w:rPr>
              <w:t>提炼鸿蒙实验箱、开发包、AIoT平台、课程包和行业系统配置。</w:t>
            </w:r>
          </w:p>
        </w:tc>
      </w:tr>
      <w:tr>
        <w:tc>
          <w:tcPr>
            <w:tcW w:type="dxa" w:w="1701"/>
            <w:vAlign w:val="center"/>
            <w:shd w:fill="EFF6FF"/>
          </w:tcPr>
          <w:p>
            <w:pPr>
              <w:jc w:val="left"/>
            </w:pPr>
            <w:r/>
            <w:r>
              <w:rPr>
                <w:rFonts w:ascii="宋体" w:hAnsi="宋体" w:eastAsia="宋体"/>
                <w:b w:val="0"/>
                <w:color w:val="111827"/>
                <w:sz w:val="19"/>
              </w:rPr>
              <w:t>鸿蒙底稿</w:t>
            </w:r>
          </w:p>
        </w:tc>
        <w:tc>
          <w:tcPr>
            <w:tcW w:type="dxa" w:w="3798"/>
            <w:vAlign w:val="center"/>
          </w:tcPr>
          <w:p>
            <w:pPr>
              <w:jc w:val="left"/>
            </w:pPr>
            <w:r/>
            <w:r>
              <w:rPr>
                <w:rFonts w:ascii="宋体" w:hAnsi="宋体" w:eastAsia="宋体"/>
                <w:b w:val="0"/>
                <w:color w:val="111827"/>
                <w:sz w:val="19"/>
              </w:rPr>
              <w:t>《鸿蒙物联网实训室建设方案-图片全优化版(1).docx》</w:t>
            </w:r>
          </w:p>
        </w:tc>
        <w:tc>
          <w:tcPr>
            <w:tcW w:type="dxa" w:w="3231"/>
            <w:vAlign w:val="center"/>
          </w:tcPr>
          <w:p>
            <w:pPr>
              <w:jc w:val="left"/>
            </w:pPr>
            <w:r/>
            <w:r>
              <w:rPr>
                <w:rFonts w:ascii="宋体" w:hAnsi="宋体" w:eastAsia="宋体"/>
                <w:b w:val="0"/>
                <w:color w:val="111827"/>
                <w:sz w:val="19"/>
              </w:rPr>
              <w:t>复用总体架构、空间部署、教学闭环和行业场景等本地图片素材。</w:t>
            </w:r>
          </w:p>
        </w:tc>
      </w:tr>
      <w:tr>
        <w:tc>
          <w:tcPr>
            <w:tcW w:type="dxa" w:w="1701"/>
            <w:vAlign w:val="center"/>
            <w:shd w:fill="EFF6FF"/>
          </w:tcPr>
          <w:p>
            <w:pPr>
              <w:jc w:val="left"/>
            </w:pPr>
            <w:r/>
            <w:r>
              <w:rPr>
                <w:rFonts w:ascii="宋体" w:hAnsi="宋体" w:eastAsia="宋体"/>
                <w:b w:val="0"/>
                <w:color w:val="111827"/>
                <w:sz w:val="19"/>
              </w:rPr>
              <w:t>教育政策</w:t>
            </w:r>
          </w:p>
        </w:tc>
        <w:tc>
          <w:tcPr>
            <w:tcW w:type="dxa" w:w="3798"/>
            <w:vAlign w:val="center"/>
          </w:tcPr>
          <w:p>
            <w:pPr>
              <w:jc w:val="left"/>
            </w:pPr>
            <w:r/>
            <w:r>
              <w:rPr>
                <w:rFonts w:ascii="宋体" w:hAnsi="宋体" w:eastAsia="宋体"/>
                <w:b w:val="0"/>
                <w:color w:val="111827"/>
                <w:sz w:val="19"/>
              </w:rPr>
              <w:t>教育部现代职业教育体系建设改革、职业教育数字化相关公开资料</w:t>
            </w:r>
          </w:p>
        </w:tc>
        <w:tc>
          <w:tcPr>
            <w:tcW w:type="dxa" w:w="3231"/>
            <w:vAlign w:val="center"/>
          </w:tcPr>
          <w:p>
            <w:pPr>
              <w:jc w:val="left"/>
            </w:pPr>
            <w:r/>
            <w:r>
              <w:rPr>
                <w:rFonts w:ascii="宋体" w:hAnsi="宋体" w:eastAsia="宋体"/>
                <w:b w:val="0"/>
                <w:color w:val="111827"/>
                <w:sz w:val="19"/>
              </w:rPr>
              <w:t>支撑建设必要性和专业升级方向。</w:t>
            </w:r>
          </w:p>
        </w:tc>
      </w:tr>
      <w:tr>
        <w:tc>
          <w:tcPr>
            <w:tcW w:type="dxa" w:w="1701"/>
            <w:vAlign w:val="center"/>
            <w:shd w:fill="EFF6FF"/>
          </w:tcPr>
          <w:p>
            <w:pPr>
              <w:jc w:val="left"/>
            </w:pPr>
            <w:r/>
            <w:r>
              <w:rPr>
                <w:rFonts w:ascii="宋体" w:hAnsi="宋体" w:eastAsia="宋体"/>
                <w:b w:val="0"/>
                <w:color w:val="111827"/>
                <w:sz w:val="19"/>
              </w:rPr>
              <w:t>专业标准</w:t>
            </w:r>
          </w:p>
        </w:tc>
        <w:tc>
          <w:tcPr>
            <w:tcW w:type="dxa" w:w="3798"/>
            <w:vAlign w:val="center"/>
          </w:tcPr>
          <w:p>
            <w:pPr>
              <w:jc w:val="left"/>
            </w:pPr>
            <w:r/>
            <w:r>
              <w:rPr>
                <w:rFonts w:ascii="宋体" w:hAnsi="宋体" w:eastAsia="宋体"/>
                <w:b w:val="0"/>
                <w:color w:val="111827"/>
                <w:sz w:val="19"/>
              </w:rPr>
              <w:t>物联网应用技术专业教学标准及职业院校技能训练公开资料</w:t>
            </w:r>
          </w:p>
        </w:tc>
        <w:tc>
          <w:tcPr>
            <w:tcW w:type="dxa" w:w="3231"/>
            <w:vAlign w:val="center"/>
          </w:tcPr>
          <w:p>
            <w:pPr>
              <w:jc w:val="left"/>
            </w:pPr>
            <w:r/>
            <w:r>
              <w:rPr>
                <w:rFonts w:ascii="宋体" w:hAnsi="宋体" w:eastAsia="宋体"/>
                <w:b w:val="0"/>
                <w:color w:val="111827"/>
                <w:sz w:val="19"/>
              </w:rPr>
              <w:t>支撑课程体系、岗位能力和竞赛训练能力映射。</w:t>
            </w:r>
          </w:p>
        </w:tc>
      </w:tr>
      <w:tr>
        <w:tc>
          <w:tcPr>
            <w:tcW w:type="dxa" w:w="1701"/>
            <w:vAlign w:val="center"/>
            <w:shd w:fill="EFF6FF"/>
          </w:tcPr>
          <w:p>
            <w:pPr>
              <w:jc w:val="left"/>
            </w:pPr>
            <w:r/>
            <w:r>
              <w:rPr>
                <w:rFonts w:ascii="宋体" w:hAnsi="宋体" w:eastAsia="宋体"/>
                <w:b w:val="0"/>
                <w:color w:val="111827"/>
                <w:sz w:val="19"/>
              </w:rPr>
              <w:t>技术资料</w:t>
            </w:r>
          </w:p>
        </w:tc>
        <w:tc>
          <w:tcPr>
            <w:tcW w:type="dxa" w:w="3798"/>
            <w:vAlign w:val="center"/>
          </w:tcPr>
          <w:p>
            <w:pPr>
              <w:jc w:val="left"/>
            </w:pPr>
            <w:r/>
            <w:r>
              <w:rPr>
                <w:rFonts w:ascii="宋体" w:hAnsi="宋体" w:eastAsia="宋体"/>
                <w:b w:val="0"/>
                <w:color w:val="111827"/>
                <w:sz w:val="19"/>
              </w:rPr>
              <w:t>OpenHarmony官方文档、HarmonyOS设备开发官网</w:t>
            </w:r>
          </w:p>
        </w:tc>
        <w:tc>
          <w:tcPr>
            <w:tcW w:type="dxa" w:w="3231"/>
            <w:vAlign w:val="center"/>
          </w:tcPr>
          <w:p>
            <w:pPr>
              <w:jc w:val="left"/>
            </w:pPr>
            <w:r/>
            <w:r>
              <w:rPr>
                <w:rFonts w:ascii="宋体" w:hAnsi="宋体" w:eastAsia="宋体"/>
                <w:b w:val="0"/>
                <w:color w:val="111827"/>
                <w:sz w:val="19"/>
              </w:rPr>
              <w:t>支撑OpenHarmony轻量设备开发、设备接入和鸿蒙物联网技术路线。</w:t>
            </w:r>
          </w:p>
        </w:tc>
      </w:tr>
    </w:tbl>
    <w:p/>
    <w:p>
      <w:pPr>
        <w:spacing w:line="324" w:lineRule="auto" w:after="120"/>
      </w:pPr>
      <w:r>
        <w:rPr>
          <w:rFonts w:ascii="宋体" w:hAnsi="宋体" w:eastAsia="宋体"/>
          <w:b w:val="0"/>
          <w:sz w:val="22"/>
        </w:rPr>
        <w:t>参考网址：教育部官网 https://www.moe.gov.cn/；OpenHarmony文档 https://docs.openharmony.cn/；HarmonyOS设备开发 https://device.harmonyos.com/；全国职业院校技能大赛公开资料 https://www.chinaskills-jsw.org/。</w:t>
      </w:r>
    </w:p>
    <w:sectPr w:rsidR="00FC693F" w:rsidRPr="0006063C" w:rsidSect="00034616">
      <w:headerReference w:type="default" r:id="rId9"/>
      <w:footerReference w:type="default" r:id="rId10"/>
      <w:pgSz w:w="11906" w:h="16838"/>
      <w:pgMar w:top="1247" w:right="1247" w:bottom="1134" w:left="124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fldChar w:fldCharType="begin"/>
      <w:instrText xml:space="preserve">PAGE</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b w:val="0"/>
        <w:color w:val="64748B"/>
        <w:sz w:val="18"/>
      </w:rPr>
      <w:t>鸿蒙物联网综合实训室建设方案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
  <cp:revision>1</cp:revision>
  <dcterms:created xsi:type="dcterms:W3CDTF">2013-12-23T23:15:00Z</dcterms:created>
  <dcterms:modified xsi:type="dcterms:W3CDTF">2013-12-23T23:15:00Z</dcterms:modified>
  <cp:category/>
</cp:coreProperties>
</file>